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32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32E4" w:rsidRDefault="004A0104" w:rsidP="0010095E">
            <w:pPr>
              <w:pStyle w:val="EPName"/>
            </w:pPr>
            <w:r w:rsidRPr="009D32E4">
              <w:t>Europski parlament</w:t>
            </w:r>
          </w:p>
          <w:p w:rsidR="00751A4A" w:rsidRPr="009D32E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32E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32E4" w:rsidRDefault="00187494" w:rsidP="0010095E">
            <w:pPr>
              <w:pStyle w:val="EPLogo"/>
            </w:pPr>
            <w:r w:rsidRPr="009D32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32E4" w:rsidRDefault="00D058B8" w:rsidP="004C5D52">
      <w:pPr>
        <w:pStyle w:val="LineTop"/>
      </w:pPr>
    </w:p>
    <w:p w:rsidR="00680577" w:rsidRPr="009D32E4" w:rsidRDefault="004A0104" w:rsidP="00680577">
      <w:pPr>
        <w:pStyle w:val="EPBodyTA1"/>
      </w:pPr>
      <w:r w:rsidRPr="009D32E4">
        <w:t>USVOJENI TEKSTOVI</w:t>
      </w:r>
    </w:p>
    <w:p w:rsidR="00D058B8" w:rsidRPr="009D32E4" w:rsidRDefault="00D058B8" w:rsidP="00D058B8">
      <w:pPr>
        <w:pStyle w:val="LineBottom"/>
      </w:pPr>
    </w:p>
    <w:p w:rsidR="004A0104" w:rsidRPr="009D32E4" w:rsidRDefault="004A0104" w:rsidP="004A0104">
      <w:pPr>
        <w:pStyle w:val="ATHeading1"/>
      </w:pPr>
      <w:bookmarkStart w:id="0" w:name="TANumber"/>
      <w:r w:rsidRPr="009D32E4">
        <w:t>P9_TA(2024)00</w:t>
      </w:r>
      <w:r w:rsidR="00992793">
        <w:t>49</w:t>
      </w:r>
      <w:bookmarkEnd w:id="0"/>
    </w:p>
    <w:p w:rsidR="004A0104" w:rsidRPr="009D32E4" w:rsidRDefault="00F42772" w:rsidP="004A0104">
      <w:pPr>
        <w:pStyle w:val="ATHeading2"/>
      </w:pPr>
      <w:bookmarkStart w:id="1" w:name="title"/>
      <w:r>
        <w:t>Geotermalna energija</w:t>
      </w:r>
      <w:bookmarkEnd w:id="1"/>
    </w:p>
    <w:p w:rsidR="004A0104" w:rsidRPr="009D32E4" w:rsidRDefault="004A0104" w:rsidP="004A0104">
      <w:pPr>
        <w:rPr>
          <w:i/>
          <w:vanish/>
        </w:rPr>
      </w:pPr>
      <w:r w:rsidRPr="009D32E4">
        <w:rPr>
          <w:i/>
        </w:rPr>
        <w:fldChar w:fldCharType="begin"/>
      </w:r>
      <w:r w:rsidRPr="009D32E4">
        <w:rPr>
          <w:i/>
        </w:rPr>
        <w:instrText xml:space="preserve"> TC"(</w:instrText>
      </w:r>
      <w:bookmarkStart w:id="2" w:name="DocNumber"/>
      <w:r w:rsidRPr="009D32E4">
        <w:rPr>
          <w:i/>
        </w:rPr>
        <w:instrText>A9-0432/2023</w:instrText>
      </w:r>
      <w:bookmarkEnd w:id="2"/>
      <w:r w:rsidRPr="009D32E4">
        <w:rPr>
          <w:i/>
        </w:rPr>
        <w:instrText xml:space="preserve"> - Izvjestitelj: Zdzisław Krasnodębski)"\l3 \n&gt; \* MERGEFORMAT </w:instrText>
      </w:r>
      <w:r w:rsidRPr="009D32E4">
        <w:rPr>
          <w:i/>
        </w:rPr>
        <w:fldChar w:fldCharType="end"/>
      </w:r>
    </w:p>
    <w:p w:rsidR="004A0104" w:rsidRPr="009D32E4" w:rsidRDefault="004A0104" w:rsidP="004A0104">
      <w:pPr>
        <w:rPr>
          <w:vanish/>
        </w:rPr>
      </w:pPr>
      <w:bookmarkStart w:id="3" w:name="Commission"/>
      <w:r w:rsidRPr="009D32E4">
        <w:rPr>
          <w:vanish/>
        </w:rPr>
        <w:t>Odbor za industriju, istraživanje i energetiku</w:t>
      </w:r>
      <w:bookmarkEnd w:id="3"/>
    </w:p>
    <w:p w:rsidR="004A0104" w:rsidRPr="009D32E4" w:rsidRDefault="004A0104" w:rsidP="004A0104">
      <w:pPr>
        <w:rPr>
          <w:vanish/>
        </w:rPr>
      </w:pPr>
      <w:bookmarkStart w:id="4" w:name="PE"/>
      <w:r w:rsidRPr="009D32E4">
        <w:rPr>
          <w:vanish/>
        </w:rPr>
        <w:t>PE752.863</w:t>
      </w:r>
      <w:bookmarkEnd w:id="4"/>
    </w:p>
    <w:p w:rsidR="004A0104" w:rsidRPr="009D32E4" w:rsidRDefault="004A0104" w:rsidP="004A0104">
      <w:pPr>
        <w:pStyle w:val="ATHeading3"/>
      </w:pPr>
      <w:bookmarkStart w:id="5" w:name="Sujet"/>
      <w:r w:rsidRPr="009D32E4">
        <w:t>Rezolu</w:t>
      </w:r>
      <w:r w:rsidR="00F42772">
        <w:t>cija Europskog parlamenta od 18</w:t>
      </w:r>
      <w:r w:rsidRPr="009D32E4">
        <w:t xml:space="preserve">. </w:t>
      </w:r>
      <w:r w:rsidR="009D32E4">
        <w:t xml:space="preserve">siječnja </w:t>
      </w:r>
      <w:r w:rsidRPr="009D32E4">
        <w:t>2024. o geotermalnoj energiji</w:t>
      </w:r>
      <w:bookmarkEnd w:id="5"/>
      <w:r w:rsidRPr="009D32E4">
        <w:t xml:space="preserve"> </w:t>
      </w:r>
      <w:bookmarkStart w:id="6" w:name="References"/>
      <w:r w:rsidRPr="009D32E4">
        <w:t>(2023/2111(INI))</w:t>
      </w:r>
      <w:bookmarkEnd w:id="6"/>
    </w:p>
    <w:p w:rsidR="0093139D" w:rsidRPr="009D32E4" w:rsidRDefault="0093139D" w:rsidP="0093139D">
      <w:pPr>
        <w:pStyle w:val="EPComma"/>
      </w:pPr>
      <w:bookmarkStart w:id="7" w:name="TextBodyBegin"/>
      <w:bookmarkEnd w:id="7"/>
      <w:r w:rsidRPr="009D32E4">
        <w:rPr>
          <w:rStyle w:val="Italic"/>
        </w:rPr>
        <w:t>Europski parlament</w:t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članak 194. Ugovora o funkcioniranju Europske unije (UFEU),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Uredbu (EU) 2021/1119 Europskog parlamenta i Vijeća od 30. lipnja 2021. o uspostavi okvira za postizanje klimatske neutralnosti i o izmjeni uredaba (EZ) br. 401/2009 i (EU) 2018/1999 („Europski zakon o klimi”)</w:t>
      </w:r>
      <w:r w:rsidRPr="009D32E4">
        <w:rPr>
          <w:rStyle w:val="FootnoteReference"/>
        </w:rPr>
        <w:footnoteReference w:id="1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Direktivu (EU) 2023/2413 Europskog parlamenta i Vijeća od 18. listopada 2023. o izmjeni Direktive (EU) 2018/2001, Uredbe (EU) 2018/1999 i Direktive 98/70/EZ u pogledu promicanja energije iz obnovljivih izvora te o stavljanju izvan snage Direktive Vijeća (EU) 2015/652</w:t>
      </w:r>
      <w:r w:rsidRPr="009D32E4">
        <w:rPr>
          <w:rStyle w:val="FootnoteReference"/>
        </w:rPr>
        <w:footnoteReference w:id="2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amandmane koje je donio Parlament 14. ožujka 2023. o Prijedlogu direktive Europskog parlamenta i Vijeća o energetskim svojstvima zgrada (preinaka)</w:t>
      </w:r>
      <w:r w:rsidRPr="009D32E4">
        <w:rPr>
          <w:rStyle w:val="FootnoteReference"/>
        </w:rPr>
        <w:footnoteReference w:id="3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Komisijin Prijedlog uredbe Europskog parlamenta i Vijeća o izmjeni uredbi (EU) 2019/943 i (EU) 2019/942 te direktiva (EU) 2018/2001 i (EU) 2019/944 radi poboljšanja modela tržišta električne energije u Uniji,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amandmane koje je donio Parlament 14. rujna 2023. o Prijedlogu uredbe Europskog parlamenta i Vijeća o uspostavi okvira za sigurnu i održivu opskrbu kritičnim sirovinama i o izmjeni uredbi (EU) br. 168/2013, (EU) 2018/858, (EU) 2018/1724 i (EU) 2019/1020</w:t>
      </w:r>
      <w:r w:rsidRPr="009D32E4">
        <w:rPr>
          <w:rStyle w:val="FootnoteReference"/>
        </w:rPr>
        <w:footnoteReference w:id="4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 xml:space="preserve">uzimajući u obzir amandmane koje je donio Parlament 21. studenoga 2023. o Prijedlogu uredbe Europskog parlamenta i Vijeća o uspostavi okvira mjera za jačanje europskog </w:t>
      </w:r>
      <w:r w:rsidRPr="009D32E4">
        <w:lastRenderedPageBreak/>
        <w:t>ekosustava za proizvodnju proizvoda tehnologija s nultom neto stopom emisija (Akt o industriji s nultom neto stopom emisija) (COM(2023)0161)</w:t>
      </w:r>
      <w:r w:rsidRPr="009D32E4">
        <w:rPr>
          <w:rStyle w:val="FootnoteReference"/>
        </w:rPr>
        <w:footnoteReference w:id="5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komunikaciju Komisije</w:t>
      </w:r>
      <w:r w:rsidR="001A13AD">
        <w:t xml:space="preserve"> od 18. svibnja 2022.</w:t>
      </w:r>
      <w:r w:rsidR="001A13AD" w:rsidRPr="009A2A87">
        <w:rPr>
          <w:sz w:val="20"/>
        </w:rPr>
        <w:t xml:space="preserve"> </w:t>
      </w:r>
      <w:r w:rsidRPr="009D32E4">
        <w:t>naslovljenu „Plan REPowerEU” (COM(2022)0230),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amandmane koje je donio Parlament 14. prosinca 2022. o Prijedlogu direktive Europskog parlamenta i Vijeća o izmjeni Direktive (EU) 2018/2001 o promicanju uporabe energije iz obnovljivih izvora, Direktive 2010/31/EU o energetskim svojstvima zgrada i Direktive 2012/27/EU o energetskoj učinkovitosti</w:t>
      </w:r>
      <w:r w:rsidRPr="009D32E4">
        <w:rPr>
          <w:rStyle w:val="FootnoteReference"/>
        </w:rPr>
        <w:footnoteReference w:id="6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Uredbu (EU) 2019/2088 o taksonomiji održivog financiranja</w:t>
      </w:r>
      <w:r w:rsidRPr="009D32E4">
        <w:rPr>
          <w:rStyle w:val="FootnoteReference"/>
        </w:rPr>
        <w:footnoteReference w:id="7"/>
      </w:r>
      <w:r w:rsidRPr="009D32E4">
        <w:t xml:space="preserve"> i povezanu Delegiranu uredbu o utvrđivanju kriterija tehničke provjere na temelju kojih se određuje pod kojim se uvjetima smatra da ekonomska djelatnost znatno doprinosi ublažavanju klimatskih promjena ili prilagodbi klimatskim promjenama i nanosi li ta ekonomska djelatnost bitnu štetu kojem drugom okolišnom cilju</w:t>
      </w:r>
      <w:r w:rsidRPr="009D32E4">
        <w:rPr>
          <w:rStyle w:val="FootnoteReference"/>
        </w:rPr>
        <w:footnoteReference w:id="8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Uredbu Komisije (EU) br. 813/2013 оd 2. kolovoza 2013. o provedbi Direktive 2009/125/EZ Europskog parlamenta i Vijeća o zahtjevima za ekološki dizajn grijača prostora i kombiniranih grijača</w:t>
      </w:r>
      <w:r w:rsidRPr="009D32E4">
        <w:rPr>
          <w:rStyle w:val="FootnoteReference"/>
        </w:rPr>
        <w:footnoteReference w:id="9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Direktivu 2014/52/EU Europskog parlamenta i Vijeća od 16. travnja 2014. o izmjeni Direktive 2011/92/EU o procjeni učinaka određenih javnih i privatnih projekata na okoliš</w:t>
      </w:r>
      <w:r w:rsidRPr="009D32E4">
        <w:rPr>
          <w:rStyle w:val="FootnoteReference"/>
        </w:rPr>
        <w:footnoteReference w:id="10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Provedbenu uredbu Komisije (EU) 2023/138 оd 21. prosinca 2022. o utvrđivanju popisa posebnih visokovrijednih skupova podataka i modaliteta njihova objavljivanja i ponovne uporabe</w:t>
      </w:r>
      <w:r w:rsidRPr="009D32E4">
        <w:rPr>
          <w:rStyle w:val="FootnoteReference"/>
        </w:rPr>
        <w:footnoteReference w:id="11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izvješće Međunarodne agencije za obnovljivu energiju iz veljače 2023. naslovljeno „Global geothermal market and technology assessment” (Procjena globalnog geotermalnog tržišta i tehnologije)</w:t>
      </w:r>
      <w:r w:rsidRPr="009D32E4">
        <w:rPr>
          <w:rStyle w:val="FootnoteReference"/>
        </w:rPr>
        <w:footnoteReference w:id="12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 xml:space="preserve">uzimajući u obzir izvješće Opservatorija za tehnologiju čiste energije naslovljeno „Deep Geothermal Heat and Power in the European Union – 2022 Status Report on Technology Development, Trends, Value Chains and Markets” (Duboka geotermalna </w:t>
      </w:r>
      <w:r w:rsidRPr="009D32E4">
        <w:lastRenderedPageBreak/>
        <w:t>toplina i energija u Europskoj uniji – Izvješće za 2022. o stanju u području razvoja, trendova, lanaca vrijednosti i tržišta energije)</w:t>
      </w:r>
      <w:r w:rsidRPr="009D32E4">
        <w:rPr>
          <w:rStyle w:val="FootnoteReference"/>
        </w:rPr>
        <w:footnoteReference w:id="13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izvješće Opservatorija za tehnologiju čiste energije naslovljeno „Overall Strategic Analysis of Clean Energy Technology in the European Union – 2022 Status Report” (Ukupna strateška analiza tehnologije čiste energije u Europskoj uniji – Izvješće o stanju za 2022.)</w:t>
      </w:r>
      <w:r w:rsidRPr="009D32E4">
        <w:rPr>
          <w:rStyle w:val="FootnoteReference"/>
        </w:rPr>
        <w:footnoteReference w:id="14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studiju Europske komisije naslovljenu „Geothermal plants and applications emissions: overview and analysis” (Emisije iz geotermalnih postrojenja i primjena: pregled i analiza)</w:t>
      </w:r>
      <w:r w:rsidRPr="009D32E4">
        <w:rPr>
          <w:rStyle w:val="FootnoteReference"/>
        </w:rPr>
        <w:footnoteReference w:id="15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izvješće Komisije naslovljeno „District heating and cooling in the EU – Overview of markets and regulatory frameworks under the revised Renewable Energy Directive” (Centralizirano grijanje i hlađenje u EU-u – Pregled tržišta i regulatornih okvira u skladu s revidiranom Direktivom o obnovljivim izvorima energije)</w:t>
      </w:r>
      <w:r w:rsidRPr="009D32E4">
        <w:rPr>
          <w:rStyle w:val="FootnoteReference"/>
        </w:rPr>
        <w:footnoteReference w:id="16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izvješće Zajedničkog istraživačkog centra naslovljeno „The heat pump wave: opportunities and challenges” (Val dizalica topline: prilike i izazovi)</w:t>
      </w:r>
      <w:r w:rsidRPr="009D32E4">
        <w:rPr>
          <w:rStyle w:val="FootnoteReference"/>
        </w:rPr>
        <w:footnoteReference w:id="17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studiju Europske komisije iz 2023. naslovljenu „Overview of heating and cooling - Perceptions, markets and regulatory frameworks for decarbonisation” (Pregled grijanja i hlađenja – Percepcije, tržišta i regulatorni okviri za dekarbonizaciju)</w:t>
      </w:r>
      <w:r w:rsidRPr="009D32E4">
        <w:rPr>
          <w:rStyle w:val="FootnoteReference"/>
        </w:rPr>
        <w:footnoteReference w:id="18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svoju Rezoluciju od 15. prosinca 2021. o provedbi Direktive o energetskim svojstvima zgrada</w:t>
      </w:r>
      <w:r w:rsidRPr="009D32E4">
        <w:rPr>
          <w:rStyle w:val="FootnoteReference"/>
        </w:rPr>
        <w:footnoteReference w:id="19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lastRenderedPageBreak/>
        <w:t>–</w:t>
      </w:r>
      <w:r w:rsidRPr="009D32E4">
        <w:tab/>
        <w:t>uzimajući u obzir svoju Rezoluciju od 10. srpnja 2020. o sveobuhvatnom europskom pristupu skladištenju energije</w:t>
      </w:r>
      <w:r w:rsidRPr="009D32E4">
        <w:rPr>
          <w:rStyle w:val="FootnoteReference"/>
        </w:rPr>
        <w:footnoteReference w:id="20"/>
      </w:r>
      <w:r w:rsidRPr="009D32E4">
        <w:t xml:space="preserve"> i Preporuku Komisije od 14. ožujka 2023. o skladištenju energije – temelj dekarboniziranog i zaštićenog energetskog sustava EU-a</w:t>
      </w:r>
      <w:r w:rsidRPr="009D32E4">
        <w:rPr>
          <w:rStyle w:val="FootnoteReference"/>
        </w:rPr>
        <w:footnoteReference w:id="21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svoju Rezoluciju od 21. siječnja 2021. o pristupu pristojnim i cjenovno pristupačnim mogućnostima stanovanja za sve</w:t>
      </w:r>
      <w:r w:rsidRPr="009D32E4">
        <w:rPr>
          <w:rStyle w:val="FootnoteReference"/>
        </w:rPr>
        <w:footnoteReference w:id="22"/>
      </w:r>
      <w:r w:rsidRPr="009D32E4">
        <w:t>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članak 54. Poslovnika,</w:t>
      </w:r>
    </w:p>
    <w:p w:rsidR="0093139D" w:rsidRPr="009D32E4" w:rsidRDefault="0093139D" w:rsidP="0093139D">
      <w:pPr>
        <w:pStyle w:val="NormalHanging12a"/>
      </w:pPr>
      <w:r w:rsidRPr="009D32E4">
        <w:t>–</w:t>
      </w:r>
      <w:r w:rsidRPr="009D32E4">
        <w:tab/>
        <w:t>uzimajući u obzir izvješće Odbora za industriju, istraživanje i energetiku (A9</w:t>
      </w:r>
      <w:r w:rsidRPr="009D32E4">
        <w:noBreakHyphen/>
        <w:t>0432/2023),</w:t>
      </w:r>
    </w:p>
    <w:p w:rsidR="0093139D" w:rsidRPr="009D32E4" w:rsidRDefault="0093139D" w:rsidP="0093139D">
      <w:pPr>
        <w:pStyle w:val="NormalHanging12a"/>
      </w:pPr>
      <w:r w:rsidRPr="009D32E4">
        <w:t>A.</w:t>
      </w:r>
      <w:r w:rsidRPr="009D32E4">
        <w:tab/>
        <w:t>budući da je geotermalna energija vrijedan i lokalan izvor obnovljive energije iz kojeg se na troškovno učinkovit način može dobiti otpremljiva električna energija, toplinska energija ili njihova kombinacija te koji ima velik potencijal za energetski sektor i proizvodnju toplinske energije, kao i za održivu proizvodnju sirovina, a može biti i izvor kvalitetnih radnih mjesta;</w:t>
      </w:r>
    </w:p>
    <w:p w:rsidR="0093139D" w:rsidRPr="009D32E4" w:rsidRDefault="0093139D" w:rsidP="0093139D">
      <w:pPr>
        <w:pStyle w:val="NormalHanging12a"/>
      </w:pPr>
      <w:r w:rsidRPr="009D32E4">
        <w:t>B.</w:t>
      </w:r>
      <w:r w:rsidRPr="009D32E4">
        <w:tab/>
        <w:t>budući da je u Strategiji EU-a za solarnu energiju navedeno da se udio potražnje za energijom koji se podmiruje solarnom toplinskom i geotermalnom energijom mora povećati barem trostruko kako bi EU ostvario svoje klimatske i energetske ciljeve za 2030.;</w:t>
      </w:r>
    </w:p>
    <w:p w:rsidR="0093139D" w:rsidRPr="009D32E4" w:rsidRDefault="0093139D" w:rsidP="0093139D">
      <w:pPr>
        <w:pStyle w:val="NormalHanging12a"/>
      </w:pPr>
      <w:r w:rsidRPr="009D32E4">
        <w:t>C.</w:t>
      </w:r>
      <w:r w:rsidRPr="009D32E4">
        <w:tab/>
        <w:t>budući da su proizvodnja i uporaba energije izvor više od 75 % emisija stakleničkih plinova u EU-u; budući da je nažalost više od polovine potrošnje konačne energije za grijanje prostora u stambenom sektoru pokriveno fosilnim gorivima</w:t>
      </w:r>
      <w:r w:rsidRPr="009D32E4">
        <w:rPr>
          <w:rStyle w:val="FootnoteReference"/>
        </w:rPr>
        <w:footnoteReference w:id="23"/>
      </w:r>
      <w:r w:rsidRPr="009D32E4">
        <w:t>;</w:t>
      </w:r>
    </w:p>
    <w:p w:rsidR="0093139D" w:rsidRPr="009D32E4" w:rsidRDefault="0093139D" w:rsidP="0093139D">
      <w:pPr>
        <w:pStyle w:val="NormalHanging12a"/>
      </w:pPr>
      <w:r w:rsidRPr="009D32E4">
        <w:t>D.</w:t>
      </w:r>
      <w:r w:rsidRPr="009D32E4">
        <w:tab/>
        <w:t>budući da je zbog krize cijena energije i ruskog agresivnog rata protiv Ukrajine postalo jasno da hitno treba povećati otvorenu stratešku autonomiju Europe; budući da su geotermalno grijanje, hlađenje i električna energija već doprinijeli naporima EU-a da smanji uvoz fosilnih goriva;</w:t>
      </w:r>
    </w:p>
    <w:p w:rsidR="0093139D" w:rsidRPr="009D32E4" w:rsidRDefault="0093139D" w:rsidP="0093139D">
      <w:pPr>
        <w:pStyle w:val="NormalHanging12a"/>
      </w:pPr>
      <w:r w:rsidRPr="009D32E4">
        <w:t>E.</w:t>
      </w:r>
      <w:r w:rsidRPr="009D32E4">
        <w:tab/>
        <w:t>budući da geotermalna energija može doprinijeti ciljevima utvrđenima u planu REPowerEU, posebno povećanju proizvodnje čiste energije i diversifikaciji opskrbe energijom, te ima potencijal za pružanje pouzdane i cjenovno pristupačne električne i toplinske energije industrijama i poduzećima, posebno MSP-ovima, čime bi se ojačala njihova konkurentnost, kao i građanima, čime bi se pomoglo rješavanju, među ostalim, problema energetskog siromaštva;</w:t>
      </w:r>
    </w:p>
    <w:p w:rsidR="0093139D" w:rsidRPr="009D32E4" w:rsidRDefault="0093139D" w:rsidP="0093139D">
      <w:pPr>
        <w:pStyle w:val="NormalHanging12a"/>
      </w:pPr>
      <w:r w:rsidRPr="009D32E4">
        <w:t>F.</w:t>
      </w:r>
      <w:r w:rsidRPr="009D32E4">
        <w:tab/>
        <w:t>budući da je geotermalna energija obnovljiv, konstantan i pouzdan izvor energije koji je trenutno dostupan nakon uspostave potrebne infrastrukture i koji pruža lokalno rješenje s nultom neto stopom emisija za dekarbonizaciju mreža centraliziranog grijanja, u skladu s definicijom „učinkovitih sustava centraliziranog grijanja i hlađenja” iz Direktive o energetskoj učinkovitosti</w:t>
      </w:r>
      <w:r w:rsidRPr="009D32E4">
        <w:rPr>
          <w:rStyle w:val="FootnoteReference"/>
        </w:rPr>
        <w:footnoteReference w:id="24"/>
      </w:r>
      <w:r w:rsidRPr="009D32E4">
        <w:t xml:space="preserve">, te koji može pridonijeti izgradnji lokalnih </w:t>
      </w:r>
      <w:r w:rsidRPr="009D32E4">
        <w:lastRenderedPageBreak/>
        <w:t>„energetskih zajednica” i kolektivnoj samodostatnosti u potrošnji energije iz obnovljivih izvora;</w:t>
      </w:r>
    </w:p>
    <w:p w:rsidR="0093139D" w:rsidRPr="009D32E4" w:rsidRDefault="0093139D" w:rsidP="0093139D">
      <w:pPr>
        <w:pStyle w:val="NormalHanging12a"/>
      </w:pPr>
      <w:r w:rsidRPr="009D32E4">
        <w:t>G.</w:t>
      </w:r>
      <w:r w:rsidRPr="009D32E4">
        <w:tab/>
        <w:t>budući da će integracija geotermalnih tehnologija u energetski sektor imati ključnu ulogu u poboljšanju fleksibilnosti i učinkovitosti energetskog sektora i smanjenju njegova ugljičnog otiska;</w:t>
      </w:r>
    </w:p>
    <w:p w:rsidR="0093139D" w:rsidRPr="009D32E4" w:rsidRDefault="0093139D" w:rsidP="0093139D">
      <w:pPr>
        <w:pStyle w:val="NormalHanging12a"/>
      </w:pPr>
      <w:r w:rsidRPr="009D32E4">
        <w:t>H.</w:t>
      </w:r>
      <w:r w:rsidRPr="009D32E4">
        <w:tab/>
        <w:t>budući da su dizalice topline i tehnologije geotermalne energije u prilogu Komisijinom Prijedlogu akta o industriji s nultom neto stopom emisija uvrštene na popis strateških tehnologija s nultom neto stopom emisija za Europu;</w:t>
      </w:r>
    </w:p>
    <w:p w:rsidR="0093139D" w:rsidRPr="009D32E4" w:rsidRDefault="0093139D" w:rsidP="0093139D">
      <w:pPr>
        <w:pStyle w:val="NormalHanging12a"/>
      </w:pPr>
      <w:r w:rsidRPr="009D32E4">
        <w:t>I.</w:t>
      </w:r>
      <w:r w:rsidRPr="009D32E4">
        <w:tab/>
        <w:t>budući da industrija procjenjuje da se geotermalnom energijom može podmiriti više od 75 % potrošnje grijanja i hlađenja u Europi te više od 15 % električne energije do 2040.;</w:t>
      </w:r>
    </w:p>
    <w:p w:rsidR="0093139D" w:rsidRPr="009D32E4" w:rsidRDefault="002E407D" w:rsidP="0093139D">
      <w:pPr>
        <w:pStyle w:val="NormalHanging12a"/>
      </w:pPr>
      <w:r>
        <w:t>J</w:t>
      </w:r>
      <w:r w:rsidR="0093139D" w:rsidRPr="009D32E4">
        <w:t>.</w:t>
      </w:r>
      <w:r w:rsidR="0093139D" w:rsidRPr="009D32E4">
        <w:tab/>
        <w:t>budući da na razini EU-a još uvijek ne postoje sveobuhvatni politički uvjeti i okviri potrebni za poticanje razvoja i uporabe geotermalne energije u Europi; budući da je hitno potreban i napredak u različitim područjima politika na nacionalnoj razini kako bi se geotermalnim akterima omogućilo da potiču provedbu projekata poboljšanim istraživanjem, jačanjem lanca opskrbe, učinkovitim programima potpore i boljim osvješćivanjem javnosti;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Razvoj i potencijal</w:t>
      </w:r>
    </w:p>
    <w:p w:rsidR="0093139D" w:rsidRPr="009D32E4" w:rsidRDefault="0093139D" w:rsidP="0093139D">
      <w:pPr>
        <w:pStyle w:val="NormalHanging12a"/>
      </w:pPr>
      <w:r w:rsidRPr="009D32E4">
        <w:t>1.</w:t>
      </w:r>
      <w:r w:rsidRPr="009D32E4">
        <w:tab/>
        <w:t>napominje da je razvojem tehnologija prošireno područje pogodno za troškovno učinkovite geotermalne projekte, kao i njihov opseg;</w:t>
      </w:r>
    </w:p>
    <w:p w:rsidR="0093139D" w:rsidRPr="009D32E4" w:rsidRDefault="0093139D" w:rsidP="0093139D">
      <w:pPr>
        <w:pStyle w:val="NormalHanging12a"/>
      </w:pPr>
      <w:r w:rsidRPr="009D32E4">
        <w:t>2.</w:t>
      </w:r>
      <w:r w:rsidRPr="009D32E4">
        <w:tab/>
        <w:t>ističe potencijal sveprisutnih plitkih geotermalnih resursa niske temperature koji su dostupni u svim državama članicama; ističe potencijal duboke geotermalne energije koja se može izravno koristiti za proizvodnju toplinske i električne energije;</w:t>
      </w:r>
    </w:p>
    <w:p w:rsidR="0093139D" w:rsidRPr="009D32E4" w:rsidRDefault="0093139D" w:rsidP="0093139D">
      <w:pPr>
        <w:pStyle w:val="NormalHanging12a"/>
      </w:pPr>
      <w:r w:rsidRPr="009D32E4">
        <w:t>3.</w:t>
      </w:r>
      <w:r w:rsidRPr="009D32E4">
        <w:tab/>
        <w:t>primjećuje da geotermalna energija i dalje često ima perifernu ulogu u raspravi o obnovljivoj energiji; skreće pozornost na to da geotermalna postrojenja ne iziskuju kritične sirovine u mjeri u kojoj je to slučaj kod drugih tehnologija za proizvodnju energije iz obnovljivih izvora; napominje da, na temelju pristupa održivog životnog ciklusa, geotermalna energija ima nizak utjecaj na okoliš i obično iziskuje ograničenu uporabu zemljišta te se može lako integrirati u krajolik;</w:t>
      </w:r>
    </w:p>
    <w:p w:rsidR="0093139D" w:rsidRPr="009D32E4" w:rsidRDefault="0093139D" w:rsidP="0093139D">
      <w:pPr>
        <w:pStyle w:val="NormalHanging12a"/>
      </w:pPr>
      <w:r w:rsidRPr="009D32E4">
        <w:t>4.</w:t>
      </w:r>
      <w:r w:rsidRPr="009D32E4">
        <w:tab/>
        <w:t>naglašava da geotermalna energija omogućava dugoročne koristi koje mogu nadmašiti visoke početne troškove povezane s njezinim razvojem, kao što je činjenica da je riječ o održivom izvoru energije s malim utjecajem na okoliš, stabilnim i predvidljivim troškovima energije, niskim operativnim troškovima, dugotrajnim životnim vijekom i pouzdanošću, kojim se stvaraju poslovne prilike i prilike za zapošljavanje u lokalnim zajednicama te doprinosi smanjenju ovisnosti o uvezenim gorivima;</w:t>
      </w:r>
    </w:p>
    <w:p w:rsidR="0093139D" w:rsidRPr="009D32E4" w:rsidRDefault="0093139D" w:rsidP="0093139D">
      <w:pPr>
        <w:pStyle w:val="NormalHanging12a"/>
      </w:pPr>
      <w:r w:rsidRPr="009D32E4">
        <w:t>5.</w:t>
      </w:r>
      <w:r w:rsidRPr="009D32E4">
        <w:tab/>
        <w:t>žali zbog toga što potencijal geotermalne energije nije ranije dovoljno iskorišten i što je njezino nedavno uvođenje u velikoj mjeri potaknuto energetskom krizom i hitnom potrebom za smanjenjem socioekonomskog pritiska potražnje za grijanjem i hlađenjem u Europi; upozorava da priljev subvencioniranog plina, ograničena osviještenost javnosti i potreba za visokim početnim ulaganjima već godinama u praksi koče razvoj geotermalne energije;</w:t>
      </w:r>
    </w:p>
    <w:p w:rsidR="0093139D" w:rsidRPr="009D32E4" w:rsidRDefault="0093139D" w:rsidP="0093139D">
      <w:pPr>
        <w:pStyle w:val="NormalHanging12a"/>
      </w:pPr>
      <w:r w:rsidRPr="009D32E4">
        <w:lastRenderedPageBreak/>
        <w:t>6.</w:t>
      </w:r>
      <w:r w:rsidRPr="009D32E4">
        <w:tab/>
        <w:t>naglašava da geotermalna energija može znatno doprinijeti postizanju nekih od ključnih strateških ciljeva EU-a, uključujući postizanje klimatskih ciljeva dekarbonizacijom različitih industrijskih sektora, jačanje otvorene strateške autonomije EU-a boljim zadovoljavanjem potreba za energetskom sigurnošću, okončanje ovisnosti o fosilnim gorivima iz nepouzdanih trećih zemalja kao što je Rusija, povećanje konkurentnosti europskih industrija i osnaživanje potrošača zahvaljujući cjenovno pristupačnoj i pouzdanoj opskrbi toplinskom i električnom energijom;</w:t>
      </w:r>
    </w:p>
    <w:p w:rsidR="0093139D" w:rsidRPr="009D32E4" w:rsidRDefault="0093139D" w:rsidP="0093139D">
      <w:pPr>
        <w:pStyle w:val="NormalHanging12a"/>
      </w:pPr>
      <w:r w:rsidRPr="009D32E4">
        <w:t>7.</w:t>
      </w:r>
      <w:r w:rsidRPr="009D32E4">
        <w:tab/>
        <w:t>naglašava da bi okolišno održiv postupak izdvajanja sirovina iz geotermalnih voda mogao doprinijeti osiguravanju lokalne i pouzdane opskrbe strateškim kritičnim sirovinama, uključujući litij, čime bi se ojačala gospodarska otpornost EU-a; u tom pogledu napominje da postrojenja koja vade i geotermalnu energiju i sirovine imaju veći učinak u smislu otvaranja radnih mjesta od klasičnih geotermalnih postrojenja te da privlače poduzeća koja žele iskoristiti višestruke tokove resursa;</w:t>
      </w:r>
    </w:p>
    <w:p w:rsidR="0093139D" w:rsidRPr="009D32E4" w:rsidRDefault="0093139D" w:rsidP="0093139D">
      <w:pPr>
        <w:pStyle w:val="NormalHanging12a"/>
      </w:pPr>
      <w:r w:rsidRPr="009D32E4">
        <w:t>8.</w:t>
      </w:r>
      <w:r w:rsidRPr="009D32E4">
        <w:tab/>
        <w:t>skreće pozornost na geotermalna rješenja kojima se može skladištiti višak energije vjetra i solarne energije za naknadnu uporabu u grijanju, hlađenju i proizvodnji električne energije te ističe njihovu ključnu ulogu u razvoju energetskih sustava koji se temelje na obnovljivim izvorima energije; u tom pogledu naglašava ulogu neaktivnih rudnika ugljena koji su posebno prikladni za sezonsko skladištenje toplinske energije na veliko ili dugoročno skladištenje električne energije; ističe potencijal geotermalne energije za uravnoteženje mreže i pomoćne usluge zbog toga što je odlikuje visok kapacitet, fleksibilnost opskrbe i potencijal za otpremanje;</w:t>
      </w:r>
    </w:p>
    <w:p w:rsidR="0093139D" w:rsidRPr="009D32E4" w:rsidRDefault="0093139D" w:rsidP="0093139D">
      <w:pPr>
        <w:pStyle w:val="NormalHanging12a"/>
      </w:pPr>
      <w:r w:rsidRPr="009D32E4">
        <w:t>9.</w:t>
      </w:r>
      <w:r w:rsidRPr="009D32E4">
        <w:tab/>
        <w:t>naglašava da najveći potencijal za uporabu geotermalne energije u EU-u imaju sustavi centraliziranog grijanja i hlađenja te mreže plitkih geotermalnih uređaja; ističe da oni mogu pružiti lokalnu, baznu i fleksibilnu obnovljivu energiju te zaštitu od nestabilnih i rastućih cijena fosilnih goriva; ističe da geotermalna energija može pomoći dekarbonizirati sektor grijanja i hlađenja koji je odgovoran za gotovo polovinu ukupne potrošnje konačne energije u EU-u i koji uzrokuje do 35 % emisija stakleničkih plinova EU-a povezanih s potrošnjom energije; ističe potencijal i sve veću potrebu za geotermalnim centraliziranim hlađenjem koje će biti važan element održive prilagodbe klimatskim promjenama u gradovima jer se očekuje da će više temperature i toplinski valovi postati sve češći;</w:t>
      </w:r>
    </w:p>
    <w:p w:rsidR="0093139D" w:rsidRPr="009D32E4" w:rsidRDefault="0093139D" w:rsidP="0093139D">
      <w:pPr>
        <w:pStyle w:val="NormalHanging12a"/>
      </w:pPr>
      <w:r w:rsidRPr="009D32E4">
        <w:t>10.</w:t>
      </w:r>
      <w:r w:rsidRPr="009D32E4">
        <w:tab/>
        <w:t>prima na znanje znatan potencijal geotermalne toplinske energije za industrijske procese, posebno za procese koji troše niske i srednje količine energije (manje od 200 stupnjeva), a koji čine gotovo polovinu industrijske proizvodnje toplinske energije u Europi; u tom pogledu naglašava da bi razvoj uporabe geotermalne toplinske energije u tu svrhu povećao konkurentnost europskih poduzeća pružanjem pouzdanog i cjenovno pristupačnog izvora topline;</w:t>
      </w:r>
    </w:p>
    <w:p w:rsidR="0093139D" w:rsidRPr="009D32E4" w:rsidRDefault="0093139D" w:rsidP="0093139D">
      <w:pPr>
        <w:pStyle w:val="NormalHanging12a"/>
      </w:pPr>
      <w:r w:rsidRPr="009D32E4">
        <w:t>11.</w:t>
      </w:r>
      <w:r w:rsidRPr="009D32E4">
        <w:tab/>
        <w:t>također ističe potencijal geotermalne toplinske energije u domaćoj proizvodnji hrane, posebno za proizvodnju poljoprivrednih proizvoda, hortikulturu i akvakulturu; napominje da već postoje uspješni primjeri primjene geotermalne energije u tim sektorima u različitim europskim regijama; naglašava da će uporaba geotermalne toplinske energije doprinijeti dekarbonizaciji tih sektora te održivijim i ekološki prihvatljivijim praksama, uz istodobno smanjenje troškova proizvodnje, visokih troškova energije i nestabilnosti cijena za poljoprivrednike, te će se njome promicati otpornost prehrambenih sustava;</w:t>
      </w:r>
    </w:p>
    <w:p w:rsidR="0093139D" w:rsidRPr="009D32E4" w:rsidRDefault="0093139D" w:rsidP="0093139D">
      <w:pPr>
        <w:pStyle w:val="NormalHanging12a"/>
      </w:pPr>
      <w:r w:rsidRPr="009D32E4">
        <w:lastRenderedPageBreak/>
        <w:t>12.</w:t>
      </w:r>
      <w:r w:rsidRPr="009D32E4">
        <w:tab/>
        <w:t>primjećuje potencijal kaskadne uporabe, pri čemu se ista geotermalna tekućina koristi u više namjena; naglašava da je potrebno poticati međusektorske sinergije između geotermalnog i drugih sektora, među ostalim zajedničkim korištenjem lokacija, infrastrukture, podataka i vještina radne snage;</w:t>
      </w:r>
    </w:p>
    <w:p w:rsidR="0093139D" w:rsidRPr="009D32E4" w:rsidRDefault="0093139D" w:rsidP="0093139D">
      <w:pPr>
        <w:pStyle w:val="NormalHanging12a"/>
      </w:pPr>
      <w:r w:rsidRPr="009D32E4">
        <w:t>13.</w:t>
      </w:r>
      <w:r w:rsidRPr="009D32E4">
        <w:tab/>
        <w:t>smatra da bi se prisutnost geotermalne energije trebala uzeti u obzir pri određivanju geografskog položaja „dolina industrije s nultom neto stopom emisija” u sklopu Akta o industriji s nultom neto stopom emisija;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Preporuke politika</w:t>
      </w:r>
    </w:p>
    <w:p w:rsidR="0093139D" w:rsidRPr="009D32E4" w:rsidRDefault="0093139D" w:rsidP="0093139D">
      <w:pPr>
        <w:pStyle w:val="NormalHanging12a"/>
      </w:pPr>
      <w:r w:rsidRPr="009D32E4">
        <w:t>14.</w:t>
      </w:r>
      <w:r w:rsidRPr="009D32E4">
        <w:tab/>
        <w:t>poziva Komisiju da predstavi geotermalnu strategiju EU-a kojom bi se državama članicama i lokalnim upravama pružile konkretne smjernice za ubrzavanje uvođenja geotermalne energije za dekarbonizaciju grijanja i doprinos energetskoj neovisnosti EU-a te kako bi se ostvario cilj barem utrostručenja udjela potražnje za energijom koji se podmiruje solarnom toplinskom i geotermalnom energijom do 2030., kako je najavljeno u Strategiji EU-a za solarnu energiju; ističe da su 151 poduzeće i industrije 2022. godine pozvali Komisiju da pripremi europsku strategiju za iskorištavanje punog potencijala geotermalne energije;</w:t>
      </w:r>
    </w:p>
    <w:p w:rsidR="0093139D" w:rsidRPr="009D32E4" w:rsidRDefault="0093139D" w:rsidP="0093139D">
      <w:pPr>
        <w:pStyle w:val="NormalHanging12a"/>
      </w:pPr>
      <w:r w:rsidRPr="009D32E4">
        <w:t>15.</w:t>
      </w:r>
      <w:r w:rsidRPr="009D32E4">
        <w:tab/>
        <w:t>naglašava da bi se mjere na nacionalnoj razini i na razini EU-a u području geotermalne energije trebale temeljiti na procjeni geotermalnog potencijala Europe, uzimajući u obzir različite geološke i klimatske uvjete, te na procjeni troškovne učinkovitosti primjene geotermalnih rješenja;</w:t>
      </w:r>
    </w:p>
    <w:p w:rsidR="0093139D" w:rsidRPr="009D32E4" w:rsidRDefault="0093139D" w:rsidP="0093139D">
      <w:pPr>
        <w:pStyle w:val="NormalHanging12a"/>
      </w:pPr>
      <w:r w:rsidRPr="009D32E4">
        <w:t>16.</w:t>
      </w:r>
      <w:r w:rsidRPr="009D32E4">
        <w:tab/>
        <w:t>poziva Komisiju da strategiju utemelji na sveobuhvatnoj procjeni potencijala geotermalne energije na plitkim, srednjim, dubokim i ultradubokim razinama podzemlja u svih 27 država članica; napominje da bi ta procjena trebala pomoći u utvrđivanju potencijala geotermalne energije za različite namjene, uključujući, ali ne ograničavajući se na centralizirano grijanje, hlađenje, industrijske procese, proizvodnju hrane, dizalice topline, proizvodnju električne energije te proizvodnju obnovljivog vodika i litija; napominje da bi se tom studijom također trebao procijeniti učinak razvoja geotermalne energije na dekarbonizaciju gospodarstva, otvaranje radnih mjesta, konkurentnost, osnaživanje potrošača i troškovnu učinkovitost u usporedbi s drugim izvorima energije;</w:t>
      </w:r>
    </w:p>
    <w:p w:rsidR="0093139D" w:rsidRPr="009D32E4" w:rsidRDefault="0093139D" w:rsidP="0093139D">
      <w:pPr>
        <w:pStyle w:val="NormalHanging12a"/>
      </w:pPr>
      <w:r w:rsidRPr="009D32E4">
        <w:t>17.</w:t>
      </w:r>
      <w:r w:rsidRPr="009D32E4">
        <w:tab/>
        <w:t>poziva Komisiju da se u strategiji pozabavi preprekama razvoju geotermalnih projekata, uključujući prekogranična pitanja, te da nacionalnim i lokalnim vlastima, nositeljima projekata i financijskim institucijama pruži smjernice o najboljim praksama uporabe geotermalne energije u EU-u;</w:t>
      </w:r>
    </w:p>
    <w:p w:rsidR="0093139D" w:rsidRPr="009D32E4" w:rsidRDefault="0093139D" w:rsidP="0093139D">
      <w:pPr>
        <w:pStyle w:val="NormalHanging12a"/>
      </w:pPr>
      <w:r w:rsidRPr="009D32E4">
        <w:t>18.</w:t>
      </w:r>
      <w:r w:rsidRPr="009D32E4">
        <w:tab/>
        <w:t>pozdravlja sve veću osviještenost i potporu u području geotermalne energije na nacionalnoj razini; traži od država članica da slijede primjer zemalja koje su razvile geotermalne planove, ciljeve i namjenske mjere politike za geotermalnu energiju</w:t>
      </w:r>
      <w:r w:rsidRPr="009D32E4">
        <w:rPr>
          <w:rStyle w:val="FootnoteReference"/>
        </w:rPr>
        <w:footnoteReference w:id="25"/>
      </w:r>
      <w:r w:rsidRPr="009D32E4">
        <w:t>; ističe da je potrebno olakšati razmjenu informacija o tim mjerama i podacima kako bi se poduprle geotermalne politike i promicale postojeće najbolje prakse i razmjena znanja;</w:t>
      </w:r>
    </w:p>
    <w:p w:rsidR="0093139D" w:rsidRPr="009D32E4" w:rsidRDefault="0093139D" w:rsidP="0093139D">
      <w:pPr>
        <w:pStyle w:val="NormalHanging12a"/>
      </w:pPr>
      <w:r w:rsidRPr="009D32E4">
        <w:lastRenderedPageBreak/>
        <w:t>19.</w:t>
      </w:r>
      <w:r w:rsidRPr="009D32E4">
        <w:tab/>
        <w:t>poziva Komisiju da uspostavi „savez za geotermalnu energiju”, koji bi uključivao države članice, pospješitelje uvođenja geotermalne energije, industriju, znanstvenu zajednicu i civilno društvo, a koji bi omogućio razmjenu najboljih praksi i provodio buduću geotermalnu strategiju;</w:t>
      </w:r>
    </w:p>
    <w:p w:rsidR="0093139D" w:rsidRPr="009D32E4" w:rsidRDefault="0093139D" w:rsidP="0093139D">
      <w:pPr>
        <w:pStyle w:val="NormalHanging12a"/>
      </w:pPr>
      <w:r w:rsidRPr="009D32E4">
        <w:t>20.</w:t>
      </w:r>
      <w:r w:rsidRPr="009D32E4">
        <w:tab/>
        <w:t>poziva Komisiju da istraži potencijal geotermalne energije za doprinos ciljevima proizvodnje čistog vodika utvrđenima u planu REPowerEU;</w:t>
      </w:r>
    </w:p>
    <w:p w:rsidR="0093139D" w:rsidRPr="009D32E4" w:rsidRDefault="0093139D" w:rsidP="0093139D">
      <w:pPr>
        <w:pStyle w:val="NormalHanging12a"/>
        <w:rPr>
          <w:b/>
          <w:i/>
        </w:rPr>
      </w:pPr>
      <w:r w:rsidRPr="009D32E4">
        <w:rPr>
          <w:b/>
          <w:i/>
        </w:rPr>
        <w:t>Geotermalno centralizirano grijanje i hlađenje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21.</w:t>
      </w:r>
      <w:r w:rsidRPr="009D32E4">
        <w:tab/>
        <w:t>naglašava potrebu za modernizacijom postojećih mreža grijanja i hlađenja te za izgradnjom novih mreža uz korištenje potencijala geotermalne energije; poziva Komisiju i države članice da stvore snažne poticaje za potporu gore navedenom i da daju prednost sustavima grijanja i hlađenja 4. i 5. generacije; napominje da je razvoj mreža grijanja i hlađenja sastavni dio izrade sveobuhvatnih općinskih planova za grijanje, kako se zahtijeva Direktivom o energetskoj učinkovitosti, te je u skladu s ciljevima nacionalnih energetskih i klimatskih planova; poziva Komisiju da državama članicama pruži smjernice za pripremu tih planova, među ostalim i za procjenu geotermalnog potencijala;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22.</w:t>
      </w:r>
      <w:r w:rsidRPr="009D32E4">
        <w:tab/>
        <w:t>pozdravlja sve veći broj projekata koji uključuju prenamjenu postojeće infrastrukture za centralizirano grijanje i hlađenje u infrastrukturu za centralizirano grijanje i hlađenje na temelju geotermalne energije; posebno naglašava potencijal takvih prenamjena u zemljama srednje i istočne Europe, u kojima one mogu znatno doprinijeti politikama dekarbonizacije; naglašava da bi se te mjere trebale široko podržavati s pomoću Modernizacijskog fonda, Fonda za pravednu tranziciju i Kohezijskog fonda; poziva na to da se u ulaganjima sredstava iz Modernizacijskog fonda za prenamjenu sustava centraliziranog grijanja uvijek razmotri potencijal za opskrbu takvih sustava geotermalnom energijom;</w:t>
      </w:r>
    </w:p>
    <w:p w:rsidR="0093139D" w:rsidRPr="009D32E4" w:rsidRDefault="0093139D" w:rsidP="0093139D">
      <w:pPr>
        <w:pStyle w:val="NormalHanging12a"/>
      </w:pPr>
      <w:r w:rsidRPr="009D32E4">
        <w:t>23.</w:t>
      </w:r>
      <w:r w:rsidRPr="009D32E4">
        <w:tab/>
        <w:t>izražava zabrinutost zbog toga što nedostatak razvijenih mreža za centralizirano grijanje i hlađenje prečesto sprečava ili znatno odgađa razvoj geotermalnih projekata; naglašava da je potrebno osigurati koordinaciju između energetskih poduzeća i lokalnih tijela vlasti kako bi se zajednički planirale mreže za centralizirano grijanje i hlađenje te kako bi se zajednički u njih ulagalo i njima upravljalo;</w:t>
      </w:r>
    </w:p>
    <w:p w:rsidR="0093139D" w:rsidRPr="009D32E4" w:rsidRDefault="0093139D" w:rsidP="0093139D">
      <w:pPr>
        <w:pStyle w:val="NormalHanging12a"/>
      </w:pPr>
      <w:r w:rsidRPr="009D32E4">
        <w:t>24.</w:t>
      </w:r>
      <w:r w:rsidRPr="009D32E4">
        <w:tab/>
        <w:t>skreće pozornost na činjenicu da su neki od nedavnih projekata centraliziranog grijanja i hlađenja na temelju geotermalne energije provedeni s novim poslovnim modelima koji privatnim poduzećima, uključujući komunalna poduzeća, omogućuju izgradnju javne infrastrukture u ime lokalnih tijela; poziva države članice da istraže inovativne regulatorne mogućnosti za poticanje razvoja centraliziranog grijanja i hlađenja na temelju geotermalne energije;</w:t>
      </w:r>
    </w:p>
    <w:p w:rsidR="0093139D" w:rsidRPr="009D32E4" w:rsidRDefault="0093139D" w:rsidP="0093139D">
      <w:pPr>
        <w:pStyle w:val="NormalHanging12a"/>
      </w:pPr>
      <w:r w:rsidRPr="009D32E4">
        <w:t>25.</w:t>
      </w:r>
      <w:r w:rsidRPr="009D32E4">
        <w:tab/>
        <w:t>ističe da je važno dionicima u području geotermalne energije širom Europe staviti na raspolaganje podatke iz postojećih mreža centraliziranog grijanja, uključujući razinu modernizacije i potražnje za toplinom; naglašava da su ti podaci ključni za procjenu potencijala regija i suradnju s lokalnim tijelima u početnim fazama projekata; poziva Komisiju da omogući i koordinira dostupnost postojećih podataka o centraliziranom grijanju i hlađenju;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Dostupnost podataka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lastRenderedPageBreak/>
        <w:t>26.</w:t>
      </w:r>
      <w:r w:rsidRPr="009D32E4">
        <w:tab/>
        <w:t>napominje da je nedostatak jednostavnog pristupa podacima o podzemlju trenutačno velika prepreka smanjenju rizika, a time i brzom uvođenju projekata geotermalne energije; naglašava da je jednostavan i pravedan pristup podacima o podzemlju u državama članicama ključan za fazu ocjenjivanja projekata; nadalje ističe da taj nedostatak pristupa podacima sprečava znanstvenike u stvaranju geoloških modela koji su bitni za predviđanje potencijala i prinosa geotermalne energije u određenom podzemnom području te su stoga ključni za smanjenje nesigurnosti za nositelje projekata;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27.</w:t>
      </w:r>
      <w:r w:rsidRPr="009D32E4">
        <w:tab/>
        <w:t>potiče države članice i Komisiju da istraže metode prikupljanja različitih vrsta geoloških podataka od javnih i privatnih subjekata u cilju njihova organiziranja, sistematizacije i stavljanja na raspolaganje javnosti tako što će proširiti postojeće osnovne geološke baze podataka koristeći se digitalnim formatima za prikupljanje podataka i stavljajući ih na raspolaganje; napominje da bi se to trebalo postići u skladu s primjenjivim pravilima o zaštiti podataka, zaštiti poslovno osjetljivih podataka, uključujući zaštitu poslovnih tajni, i zaštiti prava intelektualnog vlasništva, kao i sigurnosnim pitanjima te bi prema potrebi trebalo uključivati poticaje ili naknade za razmjenu podataka od strane privatnih subjekata; smatra da bi javno financirani geološki podaci potrebni za geotermalne projekte (kao što su oni dobiveni javnom potporom primljenom za istraživačko bušenje) trebali biti dostupni javnosti u kratkom roku koji odredi dotična država članica; skreće pozornost na činjenicu da se u nekim državama članicama geološki podaci koje posjeduju privatni subjekti besplatno stavljaju na raspolaganje javnosti nakon određenog razdoblja;</w:t>
      </w:r>
    </w:p>
    <w:p w:rsidR="0093139D" w:rsidRPr="009D32E4" w:rsidRDefault="0093139D" w:rsidP="0093139D">
      <w:pPr>
        <w:pStyle w:val="NormalHanging12a"/>
      </w:pPr>
      <w:r w:rsidRPr="009D32E4">
        <w:t>28.</w:t>
      </w:r>
      <w:r w:rsidRPr="009D32E4">
        <w:tab/>
        <w:t>potiče Komisiju da istraži prednosti usklađivanja i prepreke usklađivanju nacionalnog zakonodavstva o odobravanju pristupa podacima o podzemlju i pohranjivanju geoloških podataka na centraliziranom portalu na razini EU-a koji je besplatno i lako dostupan svima;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29.</w:t>
      </w:r>
      <w:r w:rsidRPr="009D32E4">
        <w:tab/>
        <w:t>naglašava da vlade mogu imati ulogu u financiranju mapiranja geotermalnih resursa i istraživačkog bušenja na područjima za koja ne postoji dovoljno podataka o podzemlju; pozdravlja činjenicu da su neke države članice već poduzele korake u tom smjeru; poziva Komisiju da nastavi podupirati to prikupljanje podataka putem relevantnih projekata, kao što je Europska infrastruktura za geološke podatke (EGDI), čiji je cilj stvoriti atlas geotermalnih resursa na razini EU-a; ističe važnost usluge praćenja stanja kopna programa Copernicus (CLMS), koja može pružiti pouzdane podatke o temperaturi tla, koji su posebno korisni za površinsku geotermalnu energiju;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30.</w:t>
      </w:r>
      <w:r w:rsidRPr="009D32E4">
        <w:tab/>
        <w:t>naglašava geotermalni potencijal prenamjene neaktivnih naftnih i plinskih bušotina te rudnika; poziva države članice da, u suradnji s naftnim i plinskim poduzećima te poduzećima za ugljen, pripreme javne popise i karte, uključujući specifikacije, iscrpljene i napuštene infrastrukture i infrastrukture na kraju životnog ciklusa ugljikovodika koja bi se mogla koristiti kao geotermalni resurs; naglašava da je potrebno dati prednost financijskim sredstvima za provedbu detaljnih studija o uvjetima te infrastrukture kako bi se procijenio potencijal svake lokacije;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31.</w:t>
      </w:r>
      <w:r w:rsidRPr="009D32E4">
        <w:tab/>
        <w:t xml:space="preserve">izražava zabrinutost zbog rascjepkanosti statističkih podataka o geotermalnoj energiji; ističe da je vrlo teško procijeniti uporabu geotermalne energije u Europi zbog nepostojanja standarda za dostavljanje podataka iz industrije; poziva države članice da u suradnji s industrijom i Komisijom reformiraju postojeće postupke prikupljanja statističkih podataka za geotermalnu energiju i da repliciraju najbolje prakse u tom </w:t>
      </w:r>
      <w:r w:rsidRPr="009D32E4">
        <w:lastRenderedPageBreak/>
        <w:t>sektoru utvrđivanjem standarda za dostavljanje podataka iz industrije;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Financiranje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32.</w:t>
      </w:r>
      <w:r w:rsidRPr="009D32E4">
        <w:tab/>
        <w:t>ponavlja da je zbog nesigurnosti u pogledu podzemnih resursa teško osigurati financiranje projekata; napominje da početna faza projekta, kao što je faza istraživanja i izgradnje, iziskuje znatan iznos početnih troškova i podrazumijeva velike poduzetničke rizike koji ometaju odluku o ulaganju; poziva države članice da istraže rješenja za smanjenje financijskog rizika primjerena zrelosti njihovih lokalnih tržišta, kao što su bespovratna sredstva, zajmovi koji se mogu pretvoriti u bespovratna sredstva, državna jamstva, osiguranje za istraživanje i mehanizmi zaštite od rizika; prima na znanje primjere mehanizama pokrivanja rizika koji su osigurani ne samo javnim sredstvima nego i doprinosima privatnog sektora; u tom pogledu napominje da bi program EU-a za ublažavanje financijskih rizika bio posebno koristan za najmanje zrela tržišta u geotermalnom sektoru; uviđa važnost drugih mjera za smanjenje rizika kao što su omogućavanje jednostavnog pristupa podacima o podzemlju i razmjena najboljih praksi o novim vrstama poslovnih modela koji nude sinergije između javnog i privatnog financiranja;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33.</w:t>
      </w:r>
      <w:r w:rsidRPr="009D32E4">
        <w:tab/>
        <w:t>izražava zabrinutost zbog toga što visoki početni troškovi bušenja i instalacije često odvraćaju korisnike od odabira geotermalnih dizalica topline, koji se umjesto toga radije odlučuju za manje učinkovita tehnološka rješenja; poziva države članice da istraže moguće financijske poticaje kako bi se premostio taj jaz, među ostalim s pomoću načela financiranja „plati kad uštediš”; poziva Komisiju da riješi to pitanje u predstojećem akcijskom planu EU-a za dizalice topline;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34.</w:t>
      </w:r>
      <w:r w:rsidRPr="009D32E4">
        <w:tab/>
        <w:t>naglašava da visoki početni troškovi koče rast geotermalne energije, posebno za aktere s ograničenim financijskim sredstvima, zbog čega se odlučuju za ulaganja koja su kratkoročno profitabilnija, ali nude nižu ekološku održivost; poziva Komisiju da poduzme odgovarajuće korake kako bi osigurala da se pri korištenju postojećih europskih fondova i instrumenata u većoj mjeri uzimaju u obzir geotermalni projekti; traži od Komisije da u okviru postojećih fondova namijeni sredstva za potporu istraživanju, razvoju i modernizaciji geotermalnih projekata, posebno na temelju inovativnih tehnologija, kao i prekvalifikaciji i usavršavanju radnika;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Regulatorna pitanja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35.</w:t>
      </w:r>
      <w:r w:rsidRPr="009D32E4">
        <w:tab/>
        <w:t xml:space="preserve">ističe da bi se pravilima za brže izdavanje dozvola za geotermalnu energiju, u skladu s postojećim zakonodavstvom EU-a o okolišu, olakšala provedba projekata u području geotermalne energije širom Europske unije; napominje da projekti u području duboke geotermalne energije trenutačno podliježu zakonima koji su osmišljeni za velike rudarske projekte, čije je zahtjeve teško ispuniti, posebno za manje geotermalne projekte; stoga poziva države članice da preispitaju postojeće zakone o rudarstvu kako bi se bolje odrazila specifičnost geotermalnih projekata i da razviju namjenska pravila za izdavanje dozvola za geotermalnu energiju, pri čemu treba uzeti u obzir činjenicu da različite geotermalne tehnologije imaju znatno različite učinke i rizike za geologiju i okoliš; traži od Komisije da pruži smjernice kako bi se zajamčila potrebna razina usklađenosti, slično pristupu primijenjenom za regulatorni okvir kojim se podupire </w:t>
      </w:r>
      <w:r w:rsidRPr="009D32E4">
        <w:lastRenderedPageBreak/>
        <w:t>skladištenje CO</w:t>
      </w:r>
      <w:r w:rsidRPr="009D32E4">
        <w:rPr>
          <w:vertAlign w:val="subscript"/>
        </w:rPr>
        <w:t>2</w:t>
      </w:r>
      <w:r w:rsidRPr="009D32E4">
        <w:t xml:space="preserve"> (Direktiva 2009/31/EZ</w:t>
      </w:r>
      <w:r w:rsidRPr="009D32E4">
        <w:rPr>
          <w:rStyle w:val="FootnoteReference"/>
        </w:rPr>
        <w:footnoteReference w:id="26"/>
      </w:r>
      <w:r w:rsidRPr="009D32E4">
        <w:t xml:space="preserve">); 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36.</w:t>
      </w:r>
      <w:r w:rsidRPr="009D32E4">
        <w:tab/>
        <w:t>skreće pozornost na činjenicu da se u nekim državama članicama rokovi za procjenu projekata temelje na načelu prešutnog odobrenja pod jasno definiranim uvjetima, osim ako je odgovor propisan pravom EU-a ili nacionalnim pravom; poziva države članice da istraže prednosti i prepreke primjeni tog načela na geotermalne projekte te da razmotre njegovo uvođenje u svoje zakonodavstvo;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37.</w:t>
      </w:r>
      <w:r w:rsidRPr="009D32E4">
        <w:tab/>
        <w:t xml:space="preserve">izražava zabrinutost zbog dugih postupaka izdavanja dozvola za geotermalne projekte; potiče države članice da uspostave učinkovitije pojednostavnjene i digitalizirane postupke izdavanja dozvola za nove geotermalne projekte i za proširenje postojećih objekata, među ostalim uspostavom jedinstvene kontaktne točke, ako to već nije učinjeno, za cijeli postupak izdavanja dozvola u svim tijelima vlasti te da pruže potporu lokalnim tijelima kako bi se osiguralo da njihova radna snaga bude odgovarajuće kvalificirana; smatra da bi te jedinstvene kontaktne točke također trebale promicati razmjenu informacija o mogućnostima financiranja koje prikuplja Komisija putem centraliziranog portala; </w:t>
      </w:r>
    </w:p>
    <w:p w:rsidR="0093139D" w:rsidRPr="009D32E4" w:rsidRDefault="0093139D" w:rsidP="0093139D">
      <w:pPr>
        <w:pStyle w:val="NormalHanging12a"/>
      </w:pPr>
      <w:r w:rsidRPr="009D32E4">
        <w:t>38.</w:t>
      </w:r>
      <w:r w:rsidRPr="009D32E4">
        <w:tab/>
        <w:t>primjećuje razlike između iskorištavanja geotermalnih resursa u urbanim i ruralnim sredinama; skreće pozornost na specifičnost projekata urbanog geotermalnog grijanja i poziva države članice da razviju učinkovitije i pojednostavnjene postupke izdavanja dozvola za projekte geotermalnog grijanja, uključujući olakšavanje pristupa gradskim česticama pogodnima za geotermalna postrojenja; stoga poziva Komisiju da operatorima distribucijskih sustava izda preporuke o načinima suradnje s lokalnim vlastima na izradi lokalnih planova za grijanje i hlađenje usmjerenih na geotermalnu energiju kako bi se olakšala integracija korištenja geotermalne energije u gradskim planovima upravljanja, kao i moderni pristupi upravljanju podzemnim prostorom;</w:t>
      </w:r>
    </w:p>
    <w:p w:rsidR="0093139D" w:rsidRPr="009D32E4" w:rsidRDefault="0093139D" w:rsidP="0093139D">
      <w:pPr>
        <w:pStyle w:val="NormalHanging12a"/>
      </w:pPr>
      <w:r w:rsidRPr="009D32E4">
        <w:t>39.</w:t>
      </w:r>
      <w:r w:rsidRPr="009D32E4">
        <w:tab/>
        <w:t>napominje da je nositeljima projekta potrebno olakšati proširenje dozvola za geotermalna postrojenja kako bi se obuhvatilo vađenje sirovina ili proizvodnja vodika iz postojećih kapaciteta u okviru istog ugovora o najmu;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40.</w:t>
      </w:r>
      <w:r w:rsidRPr="009D32E4">
        <w:tab/>
        <w:t>poziva Komisiju da objavi smjernice namijenjene agencijama za izdavanje dozvola o najboljim praksama upravljanja zahtjevima za izdavanje dozvola za plitku geotermalnu energiju i o mogućem utjecaju na vodu za piće kako bi se ubrzao postupak izdavanja dozvola uz istodobno osiguravanje potpune primjene okolišnih standarda;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41.</w:t>
      </w:r>
      <w:r w:rsidRPr="009D32E4">
        <w:tab/>
        <w:t>žali zbog toga što se analiza životnog ciklusa primjenjuje na geotermalnu energiju, ali ne i na druge vrste energije iz obnovljivih izvora, što je u suprotnosti s tehnološki neutralnim pristupom Uredbe o taksonomiji</w:t>
      </w:r>
      <w:r w:rsidRPr="009D32E4">
        <w:rPr>
          <w:rStyle w:val="FootnoteReference"/>
        </w:rPr>
        <w:footnoteReference w:id="27"/>
      </w:r>
      <w:r w:rsidRPr="009D32E4">
        <w:t xml:space="preserve"> te što smanjuje znatan potencijal geotermalne energije kao doprinosa dekarbonizaciji, posebno u opskrbi toplinskom energijom, te je izlaže nejednakim uvjetima tržišnog natjecanja u odnosu na druge obnovljive izvore energije; stoga poziva Komisiju da preispita klasifikaciju primjena </w:t>
      </w:r>
      <w:r w:rsidRPr="009D32E4">
        <w:lastRenderedPageBreak/>
        <w:t>geotermalne energije u odredbama o taksonomiji kako bi se geotermalna energija podjednako regulirala kao i energija vjetra i solarna energija;</w:t>
      </w:r>
    </w:p>
    <w:p w:rsidR="0093139D" w:rsidRPr="009D32E4" w:rsidRDefault="0093139D" w:rsidP="0093139D">
      <w:pPr>
        <w:tabs>
          <w:tab w:val="left" w:pos="567"/>
        </w:tabs>
        <w:spacing w:after="240"/>
        <w:ind w:left="567" w:hanging="567"/>
      </w:pPr>
      <w:r w:rsidRPr="009D32E4">
        <w:t>42.</w:t>
      </w:r>
      <w:r w:rsidRPr="009D32E4">
        <w:tab/>
        <w:t>naglašava da bi geotermalna energija trebala imati isti regulatorni status, među ostalim u javnoj nabavi EU-a, kao što je već slučaj s drugim obnovljivim izvorima energije, i u privremenom okviru za državne potpore u kriznim situacijama i tranziciji te u svim naknadnim mjerama;</w:t>
      </w:r>
    </w:p>
    <w:p w:rsidR="0093139D" w:rsidRPr="009D32E4" w:rsidRDefault="0093139D" w:rsidP="0093139D">
      <w:pPr>
        <w:pStyle w:val="Normal12a24b"/>
        <w:tabs>
          <w:tab w:val="left" w:pos="567"/>
        </w:tabs>
        <w:ind w:left="567" w:hanging="567"/>
        <w:rPr>
          <w:b/>
        </w:rPr>
      </w:pPr>
      <w:r w:rsidRPr="009D32E4">
        <w:rPr>
          <w:b/>
          <w:i/>
        </w:rPr>
        <w:t>Radna snaga, osposobljavanje i vještine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43.</w:t>
      </w:r>
      <w:r w:rsidRPr="009D32E4">
        <w:tab/>
        <w:t>izražava zabrinutost zbog prijavljenih zaostataka i kašnjenja u instalaciji geotermalnih dizalica topline, bušenju bušotina i izdavanju potrebnih dozvola, koji su uzrokovani nedostatkom kvalificiranog osoblja; ističe da će se potreba za kvalificiranom radnom snagom u budućnosti dodatno povećati i potiče države članice da u suradnji s industrijom i, prema potrebi, sindikatima pojačaju mjere za stjecanje vještina i prekvalifikaciju stručnjaka za geotermalnu energiju s obzirom na to da će odgovarajuća baza radnika biti ključna za postizanje ciljeva u području primjene geotermalne energije;</w:t>
      </w:r>
    </w:p>
    <w:p w:rsidR="0093139D" w:rsidRPr="009D32E4" w:rsidRDefault="0093139D" w:rsidP="0093139D">
      <w:pPr>
        <w:pStyle w:val="NormalHanging12a"/>
      </w:pPr>
      <w:r w:rsidRPr="009D32E4">
        <w:t>44.</w:t>
      </w:r>
      <w:r w:rsidRPr="009D32E4">
        <w:tab/>
        <w:t>poziva države članice da osiguraju dostupnost sustava certificiranja ili jednakovrijednih sustava kvalifikacija, posebno instalaterima malih plitkih geotermalnih sustava i dizalica topline;</w:t>
      </w:r>
    </w:p>
    <w:p w:rsidR="0093139D" w:rsidRPr="009D32E4" w:rsidRDefault="0093139D" w:rsidP="0093139D">
      <w:pPr>
        <w:pStyle w:val="NormalHanging12a"/>
      </w:pPr>
      <w:r w:rsidRPr="009D32E4">
        <w:t>45.</w:t>
      </w:r>
      <w:r w:rsidRPr="009D32E4">
        <w:tab/>
        <w:t>napominje da je tek ograničen broj sveučilišnih programa posvećen geotermalnoj energiji, da su ti programi kratki i fakultativni i da većina njih obuhvaća samo osnovne vještine; stoga potiče države članice da surađuju s obrazovnim ustanovama u cilju ažuriranja i jačanja sveučilišnih programa namijenjenih geotermalnoj energiji kako bi se na odgovarajući način osposobile buduće generacije radnika u tom sektoru; pozdravlja projekte koji se podupiru u sklopu programa Erasmus+ kako bi se riješio problem nedostatka kvalificiranih mlađih diplomanata u vrijednosnom lancu geotermalne energije, kao što je program Geo3En, čiji je cilj postavljanje temelja za budući diplomski studij geotermalnog inženjerstva u okviru programa Erasmus Mundus; ističe da geotermalna industrija mora podići razinu osviještenosti studenata i nastavnog osoblja o geotermalnom sektoru i mogućnostima za razvoj karijere koje taj sektor nudi;</w:t>
      </w:r>
    </w:p>
    <w:p w:rsidR="0093139D" w:rsidRPr="009D32E4" w:rsidRDefault="0093139D" w:rsidP="0093139D">
      <w:pPr>
        <w:spacing w:after="240"/>
        <w:ind w:left="567" w:hanging="567"/>
        <w:rPr>
          <w:b/>
          <w:i/>
        </w:rPr>
      </w:pPr>
      <w:r w:rsidRPr="009D32E4">
        <w:rPr>
          <w:b/>
          <w:i/>
        </w:rPr>
        <w:t>Razvoj tehnologije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46.</w:t>
      </w:r>
      <w:r w:rsidRPr="009D32E4">
        <w:tab/>
        <w:t>naglašava da su, iako je EU predvodnik u geotermalnom istraživanju i razvoju, patentima visoke vrijednosti, publikacijama i proizvodnji, potrebne mjere potpore za geotermalne tehnologije sljedeće generacije na europskoj i nacionalnoj razini kako bi se održao taj položaj, posebno kad je riječ o skladištenju geotermalne energije i industrijskim primjenama;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47</w:t>
      </w:r>
      <w:r w:rsidR="00103847">
        <w:t>.</w:t>
      </w:r>
      <w:bookmarkStart w:id="8" w:name="_GoBack"/>
      <w:bookmarkEnd w:id="8"/>
      <w:r w:rsidRPr="009D32E4">
        <w:tab/>
        <w:t>konstatira da su ulaganja u istraživanje i razvoj u području geotermalne energije primila znatno manje financijskih sredstava od drugih sektora, pri čemu su do sada samo dva projekta u području geotermalne energije primila potporu iz Inovacijskog fonda; stoga poziva Komisiju da podrži ulaganja u istraživanje i razvoj geotermalnih tehnologija, kao što su razvoj pouzdane tehnologije dizalica i nove tehnike bušenja;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48.</w:t>
      </w:r>
      <w:r w:rsidRPr="009D32E4">
        <w:tab/>
        <w:t xml:space="preserve">posebno ističe važnost projekata podzemnog skladištenja električne energije iz reverzibilnih hidroelektrana i podzemnog skladištenja toplinske energije; poziva </w:t>
      </w:r>
      <w:r w:rsidRPr="009D32E4">
        <w:lastRenderedPageBreak/>
        <w:t>Komisiju i države članice da podupru istraživanja i razvoj tih rješenja te da uvedu pilot-postrojenja velikih razmjera; traži širu potporu tim projektima, posebno onima razvijenima na temelju rudnika stavljenih izvan pogona i kamenoloma koji se mogu pretvoriti u rezervoare vode, u pozivima za podnošenje prijedloga u okviru Inovacijskog fonda EU-a i programa Obzor Europa, jer to rješenje može biti ključan element u razvoju dekarboniziranih elektroenergetskih sustava;</w:t>
      </w:r>
    </w:p>
    <w:p w:rsidR="0093139D" w:rsidRPr="009D32E4" w:rsidRDefault="0093139D" w:rsidP="0093139D">
      <w:pPr>
        <w:pStyle w:val="NormalHanging12a"/>
      </w:pPr>
      <w:r w:rsidRPr="009D32E4">
        <w:t>49.</w:t>
      </w:r>
      <w:r w:rsidRPr="009D32E4">
        <w:tab/>
        <w:t>ističe da su neke države članice izrazile zabrinutost zbog neusklađenosti određenih uvezenih dizalica topline s njihovim deklariranim statusom energetske učinkovitosti; naglašava da bi se u okviru revizije pravila o ekološkom dizajnu i označivanju energetske učinkovitosti trebalo razmotriti ocjenjivanje sukladnosti koje provodi treća strana (umjesto vlastite izjave);</w:t>
      </w:r>
    </w:p>
    <w:p w:rsidR="0093139D" w:rsidRPr="009D32E4" w:rsidRDefault="0093139D" w:rsidP="0093139D">
      <w:pPr>
        <w:pStyle w:val="Normal12a24b"/>
      </w:pPr>
      <w:r w:rsidRPr="009D32E4">
        <w:rPr>
          <w:rStyle w:val="BoldItalic"/>
        </w:rPr>
        <w:t>Područja u tranziciji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50.</w:t>
      </w:r>
      <w:r w:rsidRPr="009D32E4">
        <w:tab/>
        <w:t>naglašava da je iskorištavanje geotermalnog potencijala, posebno za centralizirano grijanje, jedan od prirodnih resursa koji može doprinijeti pravednoj energetskoj tranziciji u pogođenim područjima kompenzacijom radnih mjesta koja su izgubljena zbog zatvaranja rudnika i drugih postrojenja za vađenje minerala, iskorjenjivanju energetskog siromaštva i jačanju samodostatnosti lokalnih zajednica i njihovih uprava smanjenjem njihove ovisnosti o uvozu energije;</w:t>
      </w:r>
    </w:p>
    <w:p w:rsidR="0093139D" w:rsidRPr="009D32E4" w:rsidRDefault="0093139D" w:rsidP="0093139D">
      <w:pPr>
        <w:pStyle w:val="NormalHanging12a"/>
      </w:pPr>
      <w:r w:rsidRPr="009D32E4">
        <w:t>51.</w:t>
      </w:r>
      <w:r w:rsidRPr="009D32E4">
        <w:tab/>
        <w:t>žali zbog toga što se ne iskorištava u potpunosti potencijal prenamjene postojećih iscrpljenih ili napuštenih ležišta ugljikovodika ili ležišta ugljikovodika na kraju životnog ciklusa, kao i naftnih i plinskih bušotina, za geotermalne primjene;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52.</w:t>
      </w:r>
      <w:r w:rsidRPr="009D32E4">
        <w:tab/>
        <w:t>skreće pozornost na postojeće projekte prenamjene u rudnicima koji su stavljeni izvan pogona, gdje se primijenjena tehnologija za skladištenje toplinske energije u špilji može iskoristiti za grijanje ili hlađenje; prima na znanje razvoj projekata u okviru kojih se planira uporaba ležišta nafte za skladištenje geotermalne energije; prima na znanje tekuće projekte za prenamjenu naftnih i plinskih bušotina koje su stavljene izvan pogona za geotermalne primjene, čime se znatno smanjuju istraživački rizici i troškovi bušenja;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53.</w:t>
      </w:r>
      <w:r w:rsidRPr="009D32E4">
        <w:tab/>
        <w:t>napominje da mnoge od tih projekata provodi industrija fosilnih goriva, koja to smatra prilikom za sudjelovanje u energetskoj tranziciji, te da postoji potreba za još većom uključenošću te industrije u istraživanje potencijala za geotermalnu energiju; naglašava da se ranom procjenom resursa, dok su rudnici još uvijek dostupni, osigurava učinkovitiji razvoj njihove alternativne uporabe; napominje da bi na odgovarajući način trebalo uzeti u obzir režim odgovornosti;</w:t>
      </w:r>
    </w:p>
    <w:p w:rsidR="0093139D" w:rsidRPr="009D32E4" w:rsidRDefault="0093139D" w:rsidP="0093139D">
      <w:pPr>
        <w:pStyle w:val="NormalHanging12a"/>
      </w:pPr>
      <w:r w:rsidRPr="009D32E4">
        <w:t>54.</w:t>
      </w:r>
      <w:r w:rsidRPr="009D32E4">
        <w:tab/>
        <w:t>poziva države članice da iskoriste postojeće mogućnosti financiranja na europskoj razini za podupiranje prekvalifikacije radne snage u tranzicijskim područjima kako bi se iskoristila radna mjesta koja se otvaraju zahvaljujući geotermalnim projektima; konstatira da se vještine iz industrije nafte i plina mogu primijeniti i imati veliku vrijednost u sektoru geotermalne energije; stoga naglašava potrebu za privlačenjem relevantnih radnika u geotermalni sektor i njihovo podupiranje, među ostalim stvaranjem poticaja i programa osposobljavanja;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55.</w:t>
      </w:r>
      <w:r w:rsidRPr="009D32E4">
        <w:tab/>
        <w:t xml:space="preserve">skreće pozornost na posebne potrebe najudaljenijih regija za razvojem obnovljivih izvora energije u skladu s njihovim geografskim, geološkim i meteorološkim </w:t>
      </w:r>
      <w:r w:rsidRPr="009D32E4">
        <w:lastRenderedPageBreak/>
        <w:t>obilježjima; ističe da zbog svoje geografske udaljenosti te regije nisu povezane s europskim energetskim mrežama; napominje da velik dio najudaljenijih regija čine vulkanska područja koja imaju velik potencijal za proizvodnju površinske i duboke geotermalne energije; ističe ključnu ulogu koju geotermalna energija može imati u tim regijama kako bi se zajamčila njihova energetska autonomija;</w:t>
      </w:r>
    </w:p>
    <w:p w:rsidR="0093139D" w:rsidRPr="009D32E4" w:rsidRDefault="0093139D" w:rsidP="0093139D">
      <w:pPr>
        <w:spacing w:before="360" w:after="240"/>
        <w:rPr>
          <w:b/>
          <w:i/>
        </w:rPr>
      </w:pPr>
      <w:r w:rsidRPr="009D32E4">
        <w:rPr>
          <w:b/>
          <w:i/>
        </w:rPr>
        <w:t>Vidljivost i prihvaćanje u javnosti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56.</w:t>
      </w:r>
      <w:r w:rsidRPr="009D32E4">
        <w:tab/>
        <w:t>skreće pozornost na internetsko mapiranje postojećih geotermalnih postrojenja u određenom gradu ili regiji kao dobru praksu koja može povećati vidljivost geotermalnih rješenja i pomoći u donošenju odluka o javnom i privatnom ulaganju;</w:t>
      </w:r>
    </w:p>
    <w:p w:rsidR="0093139D" w:rsidRPr="009D32E4" w:rsidRDefault="0093139D" w:rsidP="0093139D">
      <w:pPr>
        <w:pStyle w:val="NormalHanging12a"/>
      </w:pPr>
      <w:r w:rsidRPr="009D32E4">
        <w:t>57.</w:t>
      </w:r>
      <w:r w:rsidRPr="009D32E4">
        <w:tab/>
        <w:t>napominje da je prihvaćanje javnosti i dalje problematično za geotermalne projekte, posebno zbog zabrinutosti u pogledu okolišnih pitanja, kao što su mogući utjecaj na podzemne vode, emisije nekondenzirajućih plinova, prekomjerno iskorištavanje vodnih resursa te seizmička aktivnost; podsjeća da je važno zadržati visoke okolišne i znanstvene standarde u svim fazama projekata u području geotermalne energije te primjenjivati pristup održive procjene životnog ciklusa; naglašava da strogo poštovanje tih zahtjeva, transparentnost ulaganja, veća uključenost dionika i uključenost lokalnih zajednica u faze planiranja i provedbe mogu poslužiti kao učinkovit način rješavanja zabrinutosti javnosti i prevladavanja nepovjerenja; poziva Komisiju da u suradnji s geotermalnom industrijom i državama članicama razvije smjernice i najbolje prakse za suradnju između nositelja projekata i lokalnih vlasti i zajednica kako bi se izgradilo povjerenje, potaknula potpora i stvorili uzajamno korisni odnosi;</w:t>
      </w:r>
    </w:p>
    <w:p w:rsidR="0093139D" w:rsidRPr="009D32E4" w:rsidRDefault="0093139D" w:rsidP="0093139D">
      <w:pPr>
        <w:spacing w:after="240"/>
        <w:ind w:left="567" w:hanging="567"/>
        <w:rPr>
          <w:b/>
          <w:i/>
        </w:rPr>
      </w:pPr>
      <w:r w:rsidRPr="009D32E4">
        <w:rPr>
          <w:b/>
          <w:i/>
        </w:rPr>
        <w:t>Međunarodna suradnja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58.</w:t>
      </w:r>
      <w:r w:rsidRPr="009D32E4">
        <w:tab/>
        <w:t>naglašava potrebu za razmjenom najboljih praksi, tehnološkog znanja i iskustva, rezultata istraživanja i inovacija u području geotermalnih tehnologija s partnerskim zemljama i organizacijama koje su već u većim razmjerima razvile duboku i površinsku geotermalnu energiju ili su u postupku provedbe ambicioznih planova za brzi rast sektora geotermalne energije;</w:t>
      </w:r>
    </w:p>
    <w:p w:rsidR="0093139D" w:rsidRPr="009D32E4" w:rsidRDefault="0093139D" w:rsidP="0093139D">
      <w:pPr>
        <w:spacing w:after="240"/>
        <w:ind w:left="567" w:hanging="567"/>
      </w:pPr>
      <w:r w:rsidRPr="009D32E4">
        <w:t>59.</w:t>
      </w:r>
      <w:r w:rsidRPr="009D32E4">
        <w:tab/>
        <w:t>naglašava važnost uključivanja geotermalne energije u program suradnje sa zemljama u razvoju u cilju prijenosa ekološki prihvatljivih tehnologija, razmjene znanja i izgradnje kapaciteta kako bi se zadovoljila sve veća potražnja za energijom;</w:t>
      </w:r>
    </w:p>
    <w:p w:rsidR="0093139D" w:rsidRPr="009D32E4" w:rsidRDefault="0093139D" w:rsidP="0093139D">
      <w:pPr>
        <w:pStyle w:val="NormalCenter12a"/>
      </w:pPr>
      <w:r w:rsidRPr="009D32E4">
        <w:t>°</w:t>
      </w:r>
    </w:p>
    <w:p w:rsidR="0093139D" w:rsidRPr="009D32E4" w:rsidRDefault="0093139D" w:rsidP="0093139D">
      <w:pPr>
        <w:pStyle w:val="NormalCenter12a"/>
      </w:pPr>
      <w:r w:rsidRPr="009D32E4">
        <w:t>°</w:t>
      </w:r>
      <w:r w:rsidRPr="009D32E4">
        <w:tab/>
        <w:t>°</w:t>
      </w:r>
    </w:p>
    <w:p w:rsidR="0093139D" w:rsidRPr="009D32E4" w:rsidRDefault="0093139D" w:rsidP="0093139D">
      <w:pPr>
        <w:pStyle w:val="NormalHanging12a"/>
      </w:pPr>
      <w:r w:rsidRPr="009D32E4">
        <w:t>60.</w:t>
      </w:r>
      <w:r w:rsidRPr="009D32E4">
        <w:tab/>
        <w:t>nalaže svojoj predsjednici da ovu Rezoluciju proslijedi Vijeću i Komisiji.</w:t>
      </w:r>
    </w:p>
    <w:p w:rsidR="0093139D" w:rsidRPr="009D32E4" w:rsidRDefault="0093139D" w:rsidP="0093139D"/>
    <w:sectPr w:rsidR="0093139D" w:rsidRPr="009D32E4" w:rsidSect="001045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104" w:rsidRPr="00104592" w:rsidRDefault="004A0104">
      <w:r w:rsidRPr="00104592">
        <w:separator/>
      </w:r>
    </w:p>
  </w:endnote>
  <w:endnote w:type="continuationSeparator" w:id="0">
    <w:p w:rsidR="004A0104" w:rsidRPr="00104592" w:rsidRDefault="004A0104">
      <w:r w:rsidRPr="001045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104" w:rsidRPr="00104592" w:rsidRDefault="004A0104">
      <w:r w:rsidRPr="00104592">
        <w:separator/>
      </w:r>
    </w:p>
  </w:footnote>
  <w:footnote w:type="continuationSeparator" w:id="0">
    <w:p w:rsidR="004A0104" w:rsidRPr="00104592" w:rsidRDefault="004A0104">
      <w:r w:rsidRPr="00104592">
        <w:continuationSeparator/>
      </w:r>
    </w:p>
  </w:footnote>
  <w:footnote w:id="1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1" w:history="1">
        <w:r w:rsidRPr="00104592">
          <w:rPr>
            <w:rStyle w:val="Hyperlink"/>
            <w:sz w:val="24"/>
            <w:lang w:val="hr-HR"/>
          </w:rPr>
          <w:t>SL L 243, 9.7.2021., str. 1.</w:t>
        </w:r>
      </w:hyperlink>
    </w:p>
  </w:footnote>
  <w:footnote w:id="2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2" w:history="1">
        <w:r w:rsidRPr="00104592">
          <w:rPr>
            <w:rStyle w:val="Hyperlink"/>
            <w:sz w:val="24"/>
            <w:lang w:val="hr-HR"/>
          </w:rPr>
          <w:t>SL L, 2023/2413, 31.10.2023.</w:t>
        </w:r>
      </w:hyperlink>
    </w:p>
  </w:footnote>
  <w:footnote w:id="3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Usvojeni tekstovi, P9_TA(2023)0068.</w:t>
      </w:r>
    </w:p>
  </w:footnote>
  <w:footnote w:id="4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Usvojeni tekstovi, P9_TA(2023)0325.</w:t>
      </w:r>
    </w:p>
  </w:footnote>
  <w:footnote w:id="5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Usvojeni tekstovi, P9_TA(2023)0401.</w:t>
      </w:r>
    </w:p>
  </w:footnote>
  <w:footnote w:id="6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Usvojeni tekstovi, P9_TA(2022)0441.</w:t>
      </w:r>
    </w:p>
  </w:footnote>
  <w:footnote w:id="7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Uredba (EU) 2019/2088 Europskog parlamenta i Vijeća od 27. studenoga 2019. o objavama povezanim s održivosti u sektoru financijskih usluga, </w:t>
      </w:r>
      <w:hyperlink r:id="rId3" w:history="1">
        <w:r w:rsidRPr="00104592">
          <w:rPr>
            <w:rStyle w:val="Hyperlink"/>
            <w:sz w:val="24"/>
            <w:lang w:val="hr-HR"/>
          </w:rPr>
          <w:t>SL L 317, 9.12.2019., str. 1.</w:t>
        </w:r>
      </w:hyperlink>
    </w:p>
  </w:footnote>
  <w:footnote w:id="8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4" w:history="1">
        <w:r w:rsidRPr="00104592">
          <w:rPr>
            <w:rStyle w:val="Hyperlink"/>
            <w:sz w:val="24"/>
            <w:lang w:val="hr-HR"/>
          </w:rPr>
          <w:t>SL L 442, 9.12.2021., str. 1.</w:t>
        </w:r>
      </w:hyperlink>
    </w:p>
  </w:footnote>
  <w:footnote w:id="9">
    <w:p w:rsidR="0093139D" w:rsidRPr="00104592" w:rsidRDefault="0093139D" w:rsidP="00104592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5" w:history="1">
        <w:r w:rsidRPr="00104592">
          <w:rPr>
            <w:color w:val="0000FF"/>
            <w:sz w:val="24"/>
            <w:u w:val="single" w:color="0000FF"/>
            <w:lang w:val="hr-HR"/>
          </w:rPr>
          <w:t>SL L 239, 6.9.2013., str. 136.</w:t>
        </w:r>
      </w:hyperlink>
    </w:p>
  </w:footnote>
  <w:footnote w:id="10">
    <w:p w:rsidR="0093139D" w:rsidRPr="00104592" w:rsidRDefault="0093139D" w:rsidP="00104592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6" w:history="1">
        <w:r w:rsidRPr="00104592">
          <w:rPr>
            <w:color w:val="0000FF"/>
            <w:sz w:val="24"/>
            <w:u w:val="single" w:color="0000FF"/>
            <w:lang w:val="hr-HR"/>
          </w:rPr>
          <w:t>SL L 124, 25.4.2014</w:t>
        </w:r>
        <w:r w:rsidR="00103847">
          <w:rPr>
            <w:color w:val="0000FF"/>
            <w:sz w:val="24"/>
            <w:u w:val="single" w:color="0000FF"/>
            <w:lang w:val="hr-HR"/>
          </w:rPr>
          <w:t>.</w:t>
        </w:r>
        <w:r w:rsidRPr="00104592">
          <w:rPr>
            <w:color w:val="0000FF"/>
            <w:sz w:val="24"/>
            <w:u w:val="single" w:color="0000FF"/>
            <w:lang w:val="hr-HR"/>
          </w:rPr>
          <w:t>, str. 1.</w:t>
        </w:r>
      </w:hyperlink>
    </w:p>
  </w:footnote>
  <w:footnote w:id="11">
    <w:p w:rsidR="0093139D" w:rsidRPr="00104592" w:rsidRDefault="0093139D" w:rsidP="00104592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7" w:history="1">
        <w:r w:rsidRPr="00104592">
          <w:rPr>
            <w:color w:val="0000FF"/>
            <w:sz w:val="24"/>
            <w:u w:val="single" w:color="0000FF"/>
            <w:lang w:val="hr-HR"/>
          </w:rPr>
          <w:t>SL L 19, 20.1.2023., str. 43.</w:t>
        </w:r>
      </w:hyperlink>
    </w:p>
  </w:footnote>
  <w:footnote w:id="12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ISBN: 978-92-9260-495-0.</w:t>
      </w:r>
    </w:p>
  </w:footnote>
  <w:footnote w:id="13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Bruhn, D. i dr., </w:t>
      </w:r>
      <w:r w:rsidRPr="00104592">
        <w:rPr>
          <w:i/>
          <w:sz w:val="24"/>
          <w:lang w:val="hr-HR"/>
        </w:rPr>
        <w:t>Clean Energy Technology Observatory: Deep Geothermal Heat and Power in the European Union – 2022 Status Report on Technology Development, Trends, Value Chains and Markets</w:t>
      </w:r>
      <w:r w:rsidRPr="00104592">
        <w:rPr>
          <w:sz w:val="24"/>
          <w:lang w:val="hr-HR"/>
        </w:rPr>
        <w:t>, Ured za publikacije Europske unije, Luxembourg, 2022.</w:t>
      </w:r>
    </w:p>
  </w:footnote>
  <w:footnote w:id="14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Georgakaki, A. i dr., </w:t>
      </w:r>
      <w:r w:rsidRPr="00104592">
        <w:rPr>
          <w:i/>
          <w:sz w:val="24"/>
          <w:lang w:val="hr-HR"/>
        </w:rPr>
        <w:t>Clean Energy Technology Observatory: Overall Strategic Analysis of Clean Energy Technology in the European Union – 2022 Status Report</w:t>
      </w:r>
      <w:r w:rsidRPr="00104592">
        <w:rPr>
          <w:sz w:val="24"/>
          <w:lang w:val="hr-HR"/>
        </w:rPr>
        <w:t>, Ured za publikacije Europske unije, Luxembourg, 2022.</w:t>
      </w:r>
    </w:p>
  </w:footnote>
  <w:footnote w:id="15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Ernst &amp; Young, RINA Consulting S.p.A , Vito </w:t>
      </w:r>
      <w:r w:rsidRPr="00104592">
        <w:rPr>
          <w:i/>
          <w:sz w:val="24"/>
          <w:lang w:val="hr-HR"/>
        </w:rPr>
        <w:t>Studija „Geothermal plants’ and applications’ emissions: Overview and analysis”</w:t>
      </w:r>
      <w:r w:rsidRPr="00104592">
        <w:rPr>
          <w:sz w:val="24"/>
          <w:lang w:val="hr-HR"/>
        </w:rPr>
        <w:t>, Ured za publikacije Europske unije, Luxembourg, 2020.</w:t>
      </w:r>
    </w:p>
  </w:footnote>
  <w:footnote w:id="16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Bacquet, A., Galindo Fernández, M., Oger, A. i dr., </w:t>
      </w:r>
      <w:hyperlink r:id="rId8" w:history="1">
        <w:r w:rsidRPr="00104592">
          <w:rPr>
            <w:rStyle w:val="Hyperlink"/>
            <w:i/>
            <w:sz w:val="24"/>
            <w:lang w:val="hr-HR"/>
          </w:rPr>
          <w:t>District heating and cooling in the European Union – Overview of markets and regulatory frameworks under the revised Renewable Energy Directive.</w:t>
        </w:r>
      </w:hyperlink>
      <w:hyperlink r:id="rId9" w:history="1">
        <w:r w:rsidRPr="00104592">
          <w:rPr>
            <w:rStyle w:val="Hyperlink"/>
            <w:i/>
            <w:sz w:val="24"/>
            <w:lang w:val="hr-HR"/>
          </w:rPr>
          <w:t xml:space="preserve"> Prilozi 6. i 7. – završna verzija</w:t>
        </w:r>
      </w:hyperlink>
      <w:r w:rsidRPr="00104592">
        <w:rPr>
          <w:sz w:val="24"/>
          <w:lang w:val="hr-HR"/>
        </w:rPr>
        <w:t>, Ured za publikacije Europske unije, 2022.</w:t>
      </w:r>
    </w:p>
  </w:footnote>
  <w:footnote w:id="17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Toleikyte, A., i dr., </w:t>
      </w:r>
      <w:hyperlink r:id="rId10" w:history="1">
        <w:r w:rsidRPr="00104592">
          <w:rPr>
            <w:rStyle w:val="Hyperlink"/>
            <w:i/>
            <w:sz w:val="24"/>
            <w:lang w:val="hr-HR"/>
          </w:rPr>
          <w:t>The Heat Pump Wave: Opportunities and Challenges</w:t>
        </w:r>
      </w:hyperlink>
      <w:r w:rsidRPr="00104592">
        <w:rPr>
          <w:sz w:val="24"/>
          <w:lang w:val="hr-HR"/>
        </w:rPr>
        <w:t>, Ured za publikacije Europske unije, Luxembourg, 2023.</w:t>
      </w:r>
    </w:p>
  </w:footnote>
  <w:footnote w:id="18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Breitschopf, B., i dr., </w:t>
      </w:r>
      <w:hyperlink r:id="rId11" w:history="1">
        <w:r w:rsidRPr="00104592">
          <w:rPr>
            <w:rStyle w:val="Hyperlink"/>
            <w:i/>
            <w:sz w:val="24"/>
            <w:lang w:val="hr-HR"/>
          </w:rPr>
          <w:t>Overview of heating and cooling – Perceptions, markets and regulatory frameworks for decarbonisation – Final report</w:t>
        </w:r>
      </w:hyperlink>
      <w:r w:rsidRPr="00104592">
        <w:rPr>
          <w:sz w:val="24"/>
          <w:lang w:val="hr-HR"/>
        </w:rPr>
        <w:t>, Ured za publikacije Europske unije, 2023.</w:t>
      </w:r>
    </w:p>
  </w:footnote>
  <w:footnote w:id="19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12" w:history="1">
        <w:r w:rsidRPr="00104592">
          <w:rPr>
            <w:rStyle w:val="Hyperlink"/>
            <w:sz w:val="24"/>
            <w:lang w:val="hr-HR"/>
          </w:rPr>
          <w:t>SL C 251, 30.6.2022., str. 58</w:t>
        </w:r>
      </w:hyperlink>
      <w:r w:rsidRPr="00104592">
        <w:rPr>
          <w:sz w:val="24"/>
          <w:lang w:val="hr-HR"/>
        </w:rPr>
        <w:t>.</w:t>
      </w:r>
    </w:p>
  </w:footnote>
  <w:footnote w:id="20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13" w:history="1">
        <w:r w:rsidRPr="00104592">
          <w:rPr>
            <w:rStyle w:val="Hyperlink"/>
            <w:sz w:val="24"/>
            <w:lang w:val="hr-HR"/>
          </w:rPr>
          <w:t>SL C 371, 15.9.2021., str. 58</w:t>
        </w:r>
      </w:hyperlink>
      <w:r w:rsidRPr="00104592">
        <w:rPr>
          <w:sz w:val="24"/>
          <w:lang w:val="hr-HR"/>
        </w:rPr>
        <w:t>.</w:t>
      </w:r>
    </w:p>
  </w:footnote>
  <w:footnote w:id="21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14" w:history="1">
        <w:r w:rsidRPr="00104592">
          <w:rPr>
            <w:rStyle w:val="Hyperlink"/>
            <w:sz w:val="24"/>
            <w:lang w:val="hr-HR"/>
          </w:rPr>
          <w:t>SL C 103, 20.3.2023., str. 1</w:t>
        </w:r>
      </w:hyperlink>
      <w:r w:rsidRPr="00104592">
        <w:rPr>
          <w:sz w:val="24"/>
          <w:lang w:val="hr-HR"/>
        </w:rPr>
        <w:t>.</w:t>
      </w:r>
    </w:p>
  </w:footnote>
  <w:footnote w:id="22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hyperlink r:id="rId15" w:history="1">
        <w:r w:rsidRPr="00104592">
          <w:rPr>
            <w:rStyle w:val="Hyperlink"/>
            <w:sz w:val="24"/>
            <w:lang w:val="hr-HR"/>
          </w:rPr>
          <w:t>SL C 456, 10.11.2021., str. 145</w:t>
        </w:r>
      </w:hyperlink>
      <w:r w:rsidRPr="00104592">
        <w:rPr>
          <w:sz w:val="24"/>
          <w:lang w:val="hr-HR"/>
        </w:rPr>
        <w:t>.</w:t>
      </w:r>
    </w:p>
  </w:footnote>
  <w:footnote w:id="23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Eurostat 2021., </w:t>
      </w:r>
      <w:hyperlink r:id="rId16" w:anchor="Energy_consumption_in_households_by_type_of_end-use" w:history="1">
        <w:r w:rsidRPr="00104592">
          <w:rPr>
            <w:rStyle w:val="Hyperlink"/>
            <w:sz w:val="24"/>
            <w:lang w:val="hr-HR"/>
          </w:rPr>
          <w:t>Potrošnja energije u kućanstvima</w:t>
        </w:r>
      </w:hyperlink>
      <w:r w:rsidRPr="00104592">
        <w:rPr>
          <w:sz w:val="24"/>
          <w:lang w:val="hr-HR"/>
        </w:rPr>
        <w:t xml:space="preserve">. </w:t>
      </w:r>
    </w:p>
  </w:footnote>
  <w:footnote w:id="24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Direktiva 2012/27/EU Europskog parlamenta i Vijeća od 25. listopada 2012. o energetskoj učinkovitosti, izmjeni direktiva 2009/125/EZ i 2010/30/EU i stavljanju izvan snage direktiva 2004/8/EZ i 2006/32/EZ, </w:t>
      </w:r>
      <w:hyperlink r:id="rId17" w:history="1">
        <w:r w:rsidRPr="00104592">
          <w:rPr>
            <w:rStyle w:val="Hyperlink"/>
            <w:sz w:val="24"/>
            <w:lang w:val="hr-HR"/>
          </w:rPr>
          <w:t>SL L 315, 14.11.2012., str. 1.</w:t>
        </w:r>
      </w:hyperlink>
    </w:p>
  </w:footnote>
  <w:footnote w:id="25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Npr. nacionalne inicijative koje su pokrenule Poljska (višegodišnji program za razvoj uporabe geotermalnih resursa u Poljskoj – 2022.), Francuska (nacionalni akcijski plan za geotermalnu energiju – 2023.) i Njemačka (njemačka strategija za geotermalnu energiju za 2022.).</w:t>
      </w:r>
    </w:p>
  </w:footnote>
  <w:footnote w:id="26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 xml:space="preserve">Direktiva 2009/31/EZ od 23. travnja 2009. o geološkom skladištenju ugljikova dioksida i o izmjeni Direktive Vijeća 85/337/EEZ, Direktiva Europskog parlamenta i Vijeća 2000/60/EZ, 2001/80/EZ, 2004/35/EZ, 2006/12/EZ, 2008/1/EZ i Uredbe (EZ) br. </w:t>
      </w:r>
      <w:r w:rsidRPr="00104592">
        <w:rPr>
          <w:sz w:val="24"/>
          <w:lang w:val="hr-HR"/>
        </w:rPr>
        <w:t>1013/2006</w:t>
      </w:r>
      <w:r w:rsidR="001A13AD">
        <w:rPr>
          <w:sz w:val="24"/>
          <w:lang w:val="hr-HR"/>
        </w:rPr>
        <w:t xml:space="preserve"> (SL L 140, 5.6.2009., str. 114.).</w:t>
      </w:r>
    </w:p>
  </w:footnote>
  <w:footnote w:id="27">
    <w:p w:rsidR="0093139D" w:rsidRPr="00104592" w:rsidRDefault="0093139D" w:rsidP="00104592">
      <w:pPr>
        <w:pStyle w:val="FootnoteText"/>
        <w:ind w:left="567" w:hanging="567"/>
        <w:rPr>
          <w:sz w:val="24"/>
          <w:lang w:val="hr-HR"/>
        </w:rPr>
      </w:pPr>
      <w:r w:rsidRPr="00104592">
        <w:rPr>
          <w:rStyle w:val="FootnoteReference"/>
          <w:sz w:val="24"/>
          <w:lang w:val="hr-HR"/>
        </w:rPr>
        <w:footnoteRef/>
      </w:r>
      <w:r w:rsidR="00104592" w:rsidRPr="00104592">
        <w:rPr>
          <w:sz w:val="24"/>
          <w:lang w:val="hr-HR"/>
        </w:rPr>
        <w:t xml:space="preserve"> </w:t>
      </w:r>
      <w:r w:rsidR="00104592" w:rsidRPr="00104592">
        <w:rPr>
          <w:sz w:val="24"/>
          <w:lang w:val="hr-HR"/>
        </w:rPr>
        <w:tab/>
      </w:r>
      <w:r w:rsidRPr="00104592">
        <w:rPr>
          <w:sz w:val="24"/>
          <w:lang w:val="hr-HR"/>
        </w:rPr>
        <w:t>Uredba (EU) 2020/852 Europskog parlamenta i Vijeća od 18. lipnja 2020. o uspostavi okvira za olakšavanje održivih ulaganja i izmjeni Uredbe (EU) 2019/2088</w:t>
      </w:r>
      <w:r w:rsidR="001A13AD">
        <w:rPr>
          <w:sz w:val="24"/>
          <w:lang w:val="hr-HR"/>
        </w:rPr>
        <w:t xml:space="preserve"> (SL L 198, 22.6.2020., str. 13.).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45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2/2023"/>
    <w:docVar w:name="dvlangue" w:val="HR"/>
    <w:docVar w:name="dvnumam" w:val="0"/>
    <w:docVar w:name="dvpe" w:val="752.863"/>
    <w:docVar w:name="dvrapporteur" w:val="Izvjestitelj: "/>
    <w:docVar w:name="dvtitre" w:val="Rezolucija Europskog parlamenta od .... 2024. o geotermalnoj energiji(2023/2111(INI))"/>
  </w:docVars>
  <w:rsids>
    <w:rsidRoot w:val="004A0104"/>
    <w:rsid w:val="00002272"/>
    <w:rsid w:val="00064002"/>
    <w:rsid w:val="000677B9"/>
    <w:rsid w:val="000831BA"/>
    <w:rsid w:val="000A42CC"/>
    <w:rsid w:val="000E7DD9"/>
    <w:rsid w:val="0010095E"/>
    <w:rsid w:val="00103847"/>
    <w:rsid w:val="00104592"/>
    <w:rsid w:val="00125B37"/>
    <w:rsid w:val="00187494"/>
    <w:rsid w:val="001A13AD"/>
    <w:rsid w:val="001F32AE"/>
    <w:rsid w:val="002767FF"/>
    <w:rsid w:val="002B18FE"/>
    <w:rsid w:val="002B5493"/>
    <w:rsid w:val="002E40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10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39D"/>
    <w:rsid w:val="0093193B"/>
    <w:rsid w:val="009509D8"/>
    <w:rsid w:val="00950B64"/>
    <w:rsid w:val="00981893"/>
    <w:rsid w:val="00992793"/>
    <w:rsid w:val="009D32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77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05A2A"/>
  <w15:chartTrackingRefBased/>
  <w15:docId w15:val="{C5E93BDC-8BCC-4F30-9055-D4B6DBB6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3139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3139D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93139D"/>
    <w:pPr>
      <w:spacing w:after="240"/>
      <w:jc w:val="center"/>
    </w:pPr>
  </w:style>
  <w:style w:type="character" w:customStyle="1" w:styleId="BoldItalic">
    <w:name w:val="BoldItalic"/>
    <w:uiPriority w:val="1"/>
    <w:rsid w:val="0093139D"/>
    <w:rPr>
      <w:b/>
      <w:i/>
      <w:u w:val="none"/>
    </w:rPr>
  </w:style>
  <w:style w:type="character" w:customStyle="1" w:styleId="Italic">
    <w:name w:val="Italic"/>
    <w:uiPriority w:val="1"/>
    <w:rsid w:val="0093139D"/>
    <w:rPr>
      <w:i/>
    </w:rPr>
  </w:style>
  <w:style w:type="paragraph" w:customStyle="1" w:styleId="Normal12a24b">
    <w:name w:val="Normal12a24b"/>
    <w:basedOn w:val="Normal"/>
    <w:rsid w:val="0093139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nhideWhenUsed/>
    <w:rsid w:val="0093139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927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279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33/96390" TargetMode="External"/><Relationship Id="rId13" Type="http://schemas.openxmlformats.org/officeDocument/2006/relationships/hyperlink" Target="https://eur-lex.europa.eu/legal-content/HR/TXT/?uri=CELEX:52020IP0198" TargetMode="External"/><Relationship Id="rId3" Type="http://schemas.openxmlformats.org/officeDocument/2006/relationships/hyperlink" Target="https://eur-lex.europa.eu/legal-content/HR/TXT/HTML/?uri=CELEX:32019R2088" TargetMode="External"/><Relationship Id="rId7" Type="http://schemas.openxmlformats.org/officeDocument/2006/relationships/hyperlink" Target="https://eur-lex.europa.eu/legal-content/HR/TXT/?uri=CELEX:32023R0138" TargetMode="External"/><Relationship Id="rId12" Type="http://schemas.openxmlformats.org/officeDocument/2006/relationships/hyperlink" Target="https://eur-lex.europa.eu/legal-content/HR/TXT/HTML/?uri=CELEX:52021IP0503" TargetMode="External"/><Relationship Id="rId17" Type="http://schemas.openxmlformats.org/officeDocument/2006/relationships/hyperlink" Target="https://eur-lex.europa.eu/legal-content/HR/TXT/?uri=CELEX:32012L0027" TargetMode="External"/><Relationship Id="rId2" Type="http://schemas.openxmlformats.org/officeDocument/2006/relationships/hyperlink" Target="https://eur-lex.europa.eu/legal-content/HR/TXT/HTML/?uri=OJ:L_202302413" TargetMode="External"/><Relationship Id="rId16" Type="http://schemas.openxmlformats.org/officeDocument/2006/relationships/hyperlink" Target="https://ec.europa.eu/eurostat/statistics-explained/index.php?title=Energy_consumption_in_households" TargetMode="External"/><Relationship Id="rId1" Type="http://schemas.openxmlformats.org/officeDocument/2006/relationships/hyperlink" Target="https://eur-lex.europa.eu/legal-content/HR/TXT/HTML/?uri=CELEX:32021R1119" TargetMode="External"/><Relationship Id="rId6" Type="http://schemas.openxmlformats.org/officeDocument/2006/relationships/hyperlink" Target="https://eur-lex.europa.eu/legal-content/HR/TXT/?uri=CELEX:32014L0052" TargetMode="External"/><Relationship Id="rId11" Type="http://schemas.openxmlformats.org/officeDocument/2006/relationships/hyperlink" Target="https://data.europa.eu/doi/10.2833/962558" TargetMode="External"/><Relationship Id="rId5" Type="http://schemas.openxmlformats.org/officeDocument/2006/relationships/hyperlink" Target="https://eur-lex.europa.eu/legal-content/HR/TXT/?uri=CELEX:32013R0813" TargetMode="External"/><Relationship Id="rId15" Type="http://schemas.openxmlformats.org/officeDocument/2006/relationships/hyperlink" Target="https://eur-lex.europa.eu/legal-content/HR/TXT/?uri=CELEX:52021IP0020" TargetMode="External"/><Relationship Id="rId10" Type="http://schemas.openxmlformats.org/officeDocument/2006/relationships/hyperlink" Target="https://publications.jrc.ec.europa.eu/repository/handle/JRC134045" TargetMode="External"/><Relationship Id="rId4" Type="http://schemas.openxmlformats.org/officeDocument/2006/relationships/hyperlink" Target="https://eur-lex.europa.eu/legal-content/HR/TXT/?uri=CELEX:32021R2139" TargetMode="External"/><Relationship Id="rId9" Type="http://schemas.openxmlformats.org/officeDocument/2006/relationships/hyperlink" Target="https://data.europa.eu/doi/10.2833/96390" TargetMode="External"/><Relationship Id="rId14" Type="http://schemas.openxmlformats.org/officeDocument/2006/relationships/hyperlink" Target="https://eur-lex.europa.eu/legal-content/HR/TXT/?uri=CELEX:32023H0320(0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4EB3F-7C33-4B65-8AEB-67F4B06C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5284</Words>
  <Characters>33892</Characters>
  <Application>Microsoft Office Word</Application>
  <DocSecurity>0</DocSecurity>
  <Lines>537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User</cp:lastModifiedBy>
  <cp:revision>2</cp:revision>
  <cp:lastPrinted>2004-11-19T15:42:00Z</cp:lastPrinted>
  <dcterms:created xsi:type="dcterms:W3CDTF">2024-02-21T10:12:00Z</dcterms:created>
  <dcterms:modified xsi:type="dcterms:W3CDTF">2024-02-21T10:12:00Z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A9-0432/2023</vt:lpwstr>
  </property>
  <property fmtid="{D5CDD505-2E9C-101B-9397-08002B2CF9AE}" pid="4" name="&lt;Type&gt;">
    <vt:lpwstr>RR</vt:lpwstr>
  </property>
</Properties>
</file>