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77ED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77ED3" w:rsidRDefault="007C57DF" w:rsidP="0010095E">
            <w:pPr>
              <w:pStyle w:val="EPName"/>
            </w:pPr>
            <w:r w:rsidRPr="00077ED3">
              <w:t>Európsky parlament</w:t>
            </w:r>
          </w:p>
          <w:p w:rsidR="00751A4A" w:rsidRPr="00077ED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77ED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77ED3" w:rsidRDefault="00187494" w:rsidP="0010095E">
            <w:pPr>
              <w:pStyle w:val="EPLogo"/>
            </w:pPr>
            <w:r w:rsidRPr="00077ED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77ED3" w:rsidRDefault="00D058B8" w:rsidP="004C5D52">
      <w:pPr>
        <w:pStyle w:val="LineTop"/>
      </w:pPr>
    </w:p>
    <w:p w:rsidR="00680577" w:rsidRPr="00077ED3" w:rsidRDefault="007C57DF" w:rsidP="00680577">
      <w:pPr>
        <w:pStyle w:val="EPBodyTA1"/>
      </w:pPr>
      <w:r w:rsidRPr="00077ED3">
        <w:t>PRIJATÉ TEXTY</w:t>
      </w:r>
    </w:p>
    <w:p w:rsidR="00D058B8" w:rsidRPr="00077ED3" w:rsidRDefault="00D058B8" w:rsidP="00D058B8">
      <w:pPr>
        <w:pStyle w:val="LineBottom"/>
      </w:pPr>
    </w:p>
    <w:p w:rsidR="007C57DF" w:rsidRPr="00077ED3" w:rsidRDefault="007C57DF" w:rsidP="007C57DF">
      <w:pPr>
        <w:pStyle w:val="ATHeading1"/>
      </w:pPr>
      <w:bookmarkStart w:id="0" w:name="TANumber"/>
      <w:r w:rsidRPr="00077ED3">
        <w:t>P9_TA(2024)00</w:t>
      </w:r>
      <w:r w:rsidR="00077ED3" w:rsidRPr="00077ED3">
        <w:t>49</w:t>
      </w:r>
      <w:bookmarkEnd w:id="0"/>
    </w:p>
    <w:p w:rsidR="007C57DF" w:rsidRPr="00077ED3" w:rsidRDefault="007C57DF" w:rsidP="007C57DF">
      <w:pPr>
        <w:pStyle w:val="ATHeading2"/>
      </w:pPr>
      <w:bookmarkStart w:id="1" w:name="title"/>
      <w:r w:rsidRPr="00077ED3">
        <w:t>Geotermálna energia</w:t>
      </w:r>
      <w:bookmarkEnd w:id="1"/>
    </w:p>
    <w:p w:rsidR="007C57DF" w:rsidRPr="00077ED3" w:rsidRDefault="007C57DF" w:rsidP="007C57DF">
      <w:pPr>
        <w:rPr>
          <w:i/>
          <w:vanish/>
        </w:rPr>
      </w:pPr>
      <w:r w:rsidRPr="00077ED3">
        <w:rPr>
          <w:i/>
        </w:rPr>
        <w:fldChar w:fldCharType="begin"/>
      </w:r>
      <w:r w:rsidRPr="00077ED3">
        <w:rPr>
          <w:i/>
        </w:rPr>
        <w:instrText xml:space="preserve"> TC"(</w:instrText>
      </w:r>
      <w:bookmarkStart w:id="2" w:name="DocNumber"/>
      <w:r w:rsidRPr="00077ED3">
        <w:rPr>
          <w:i/>
        </w:rPr>
        <w:instrText>A9-0432/2023</w:instrText>
      </w:r>
      <w:bookmarkEnd w:id="2"/>
      <w:r w:rsidRPr="00077ED3">
        <w:rPr>
          <w:i/>
        </w:rPr>
        <w:instrText xml:space="preserve"> - Spravodajca: Zdzisław Krasnodębski)"\l3 \n&gt; \* MERGEFORMAT </w:instrText>
      </w:r>
      <w:r w:rsidRPr="00077ED3">
        <w:rPr>
          <w:i/>
        </w:rPr>
        <w:fldChar w:fldCharType="end"/>
      </w:r>
    </w:p>
    <w:p w:rsidR="007C57DF" w:rsidRPr="00077ED3" w:rsidRDefault="007C57DF" w:rsidP="007C57DF">
      <w:pPr>
        <w:rPr>
          <w:vanish/>
        </w:rPr>
      </w:pPr>
      <w:bookmarkStart w:id="3" w:name="Commission"/>
      <w:r w:rsidRPr="00077ED3">
        <w:rPr>
          <w:vanish/>
        </w:rPr>
        <w:t>Výbor pre priemysel, výskum a energetiku</w:t>
      </w:r>
      <w:bookmarkEnd w:id="3"/>
    </w:p>
    <w:p w:rsidR="007C57DF" w:rsidRPr="00077ED3" w:rsidRDefault="007C57DF" w:rsidP="007C57DF">
      <w:pPr>
        <w:rPr>
          <w:vanish/>
        </w:rPr>
      </w:pPr>
      <w:bookmarkStart w:id="4" w:name="PE"/>
      <w:r w:rsidRPr="00077ED3">
        <w:rPr>
          <w:vanish/>
        </w:rPr>
        <w:t>PE752.863</w:t>
      </w:r>
      <w:bookmarkEnd w:id="4"/>
    </w:p>
    <w:p w:rsidR="007C57DF" w:rsidRPr="00077ED3" w:rsidRDefault="007C57DF" w:rsidP="007C57DF">
      <w:pPr>
        <w:pStyle w:val="ATHeading3"/>
      </w:pPr>
      <w:bookmarkStart w:id="5" w:name="Sujet"/>
      <w:r w:rsidRPr="00077ED3">
        <w:t>Uznesenie Európskeho parlamentu z</w:t>
      </w:r>
      <w:r w:rsidR="00077ED3" w:rsidRPr="00077ED3">
        <w:t> 18</w:t>
      </w:r>
      <w:r w:rsidRPr="00077ED3">
        <w:t>. januára 2024 o geotermálnej energii</w:t>
      </w:r>
      <w:bookmarkEnd w:id="5"/>
      <w:r w:rsidRPr="00077ED3">
        <w:t xml:space="preserve"> </w:t>
      </w:r>
      <w:bookmarkStart w:id="6" w:name="References"/>
      <w:r w:rsidRPr="00077ED3">
        <w:t>(2023/2111(INI))</w:t>
      </w:r>
      <w:bookmarkEnd w:id="6"/>
    </w:p>
    <w:p w:rsidR="00B66E71" w:rsidRPr="00077ED3" w:rsidRDefault="00B66E71" w:rsidP="00B66E71">
      <w:pPr>
        <w:pStyle w:val="EPComma"/>
      </w:pPr>
      <w:bookmarkStart w:id="7" w:name="TextBodyBegin"/>
      <w:bookmarkEnd w:id="7"/>
      <w:r w:rsidRPr="00077ED3">
        <w:rPr>
          <w:rStyle w:val="Italic"/>
        </w:rPr>
        <w:t>Európsky parlament</w:t>
      </w:r>
      <w:r w:rsidRPr="00077ED3">
        <w:t>,</w:t>
      </w:r>
    </w:p>
    <w:p w:rsidR="00B66E71" w:rsidRPr="00077ED3" w:rsidRDefault="00B66E71" w:rsidP="00B66E71">
      <w:pPr>
        <w:pStyle w:val="NormalHanging12a"/>
      </w:pPr>
      <w:r w:rsidRPr="00077ED3">
        <w:t>–</w:t>
      </w:r>
      <w:r w:rsidRPr="00077ED3">
        <w:tab/>
        <w:t>so zreteľom na článok 194 Zmluvy o fungovaní Európskej únie (ďalej len „ZFEÚ“),</w:t>
      </w:r>
    </w:p>
    <w:p w:rsidR="00B66E71" w:rsidRPr="00077ED3" w:rsidRDefault="00B66E71" w:rsidP="00B66E71">
      <w:pPr>
        <w:pStyle w:val="NormalHanging12a"/>
      </w:pPr>
      <w:r w:rsidRPr="00077ED3">
        <w:t>–</w:t>
      </w:r>
      <w:r w:rsidRPr="00077ED3">
        <w:tab/>
        <w:t>so zreteľom na nariadenie Európskeho parlamentu a Rady (EÚ) 2021/1119 z 30. júna 2021, ktorým sa stanovuje rámec na dosiahnutie klimatickej neutrality a menia nariadenia (ES) č. 401/2009 a (EÚ) 2018/1999 (európsky právny predpis v oblasti klímy)</w:t>
      </w:r>
      <w:r w:rsidRPr="00077ED3">
        <w:rPr>
          <w:rStyle w:val="FootnoteReference"/>
        </w:rPr>
        <w:footnoteReference w:id="1"/>
      </w:r>
      <w:r w:rsidRPr="00077ED3">
        <w:t>,</w:t>
      </w:r>
    </w:p>
    <w:p w:rsidR="00B66E71" w:rsidRPr="00077ED3" w:rsidRDefault="00B66E71" w:rsidP="00B66E71">
      <w:pPr>
        <w:pStyle w:val="NormalHanging12a"/>
      </w:pPr>
      <w:r w:rsidRPr="00077ED3">
        <w:t>–</w:t>
      </w:r>
      <w:r w:rsidRPr="00077ED3">
        <w:tab/>
        <w:t>so zreteľom na smernicu Európskeho parlamentu a Rady (EÚ) 2023/2413 z 18. októbra 2023, ktorou sa mení smernica (EÚ) 2018/2001, nariadenie (EÚ) 2018/1999 a smernica 98/70/ES, pokiaľ ide o podporu energie z obnoviteľných zdrojov, a ktorou sa zrušuje smernica Rady (EÚ) 2015/652</w:t>
      </w:r>
      <w:r w:rsidRPr="00077ED3">
        <w:rPr>
          <w:rStyle w:val="FootnoteReference"/>
        </w:rPr>
        <w:footnoteReference w:id="2"/>
      </w:r>
      <w:r w:rsidRPr="00077ED3">
        <w:t>,</w:t>
      </w:r>
    </w:p>
    <w:p w:rsidR="00B66E71" w:rsidRPr="00077ED3" w:rsidRDefault="00B66E71" w:rsidP="00B66E71">
      <w:pPr>
        <w:pStyle w:val="NormalHanging12a"/>
      </w:pPr>
      <w:r w:rsidRPr="00077ED3">
        <w:t>–</w:t>
      </w:r>
      <w:r w:rsidRPr="00077ED3">
        <w:tab/>
        <w:t xml:space="preserve">so zreteľom na pozmeňujúce návrhy k návrhu smernice Európskeho parlamentu a Rady o energetickej hospodárnosti budov (prepracované znenie), ktoré </w:t>
      </w:r>
      <w:r w:rsidR="00607BB2" w:rsidRPr="00077ED3">
        <w:t>Európsky p</w:t>
      </w:r>
      <w:r w:rsidRPr="00077ED3">
        <w:t>arlament prijal 14. marca 2023</w:t>
      </w:r>
      <w:r w:rsidRPr="00077ED3">
        <w:rPr>
          <w:rStyle w:val="FootnoteReference"/>
        </w:rPr>
        <w:footnoteReference w:id="3"/>
      </w:r>
      <w:r w:rsidRPr="00077ED3">
        <w:t>,</w:t>
      </w:r>
    </w:p>
    <w:p w:rsidR="00B66E71" w:rsidRPr="00077ED3" w:rsidRDefault="00B66E71" w:rsidP="00B66E71">
      <w:pPr>
        <w:pStyle w:val="NormalHanging12a"/>
      </w:pPr>
      <w:r w:rsidRPr="00077ED3">
        <w:t>–</w:t>
      </w:r>
      <w:r w:rsidRPr="00077ED3">
        <w:tab/>
        <w:t>so zreteľom na návrh nariadenia Európskeho parlamentu a Rady (EÚ), ktorým sa mení nariadenie (EÚ) 2019/943, smernica (EÚ) 2019/942, smernica (EÚ) 2018/2001 a nariadenie (EÚ) 2019/944 s cieľom zlepšiť koncepciu trhu s elektrinou v EÚ, ktorý predložila Komisia,</w:t>
      </w:r>
    </w:p>
    <w:p w:rsidR="00B66E71" w:rsidRPr="00077ED3" w:rsidRDefault="00B66E71" w:rsidP="00B66E71">
      <w:pPr>
        <w:pStyle w:val="NormalHanging12a"/>
      </w:pPr>
      <w:r w:rsidRPr="00077ED3">
        <w:t>–</w:t>
      </w:r>
      <w:r w:rsidRPr="00077ED3">
        <w:tab/>
        <w:t>so zreteľom na pozmeňujúce návrhy k návrhu nariadenia Európskeho parlamentu a Rady o stanovení rámca na zaistenie bezpečných a udržateľných dodávok kritických surovín a o zmene nariadení (EÚ) č. 1</w:t>
      </w:r>
      <w:bookmarkStart w:id="8" w:name="_GoBack"/>
      <w:bookmarkEnd w:id="8"/>
      <w:r w:rsidRPr="00077ED3">
        <w:t>68/2013,</w:t>
      </w:r>
      <w:r w:rsidR="00394E8B">
        <w:t xml:space="preserve"> </w:t>
      </w:r>
      <w:r w:rsidR="00394E8B" w:rsidRPr="00394E8B">
        <w:t>(</w:t>
      </w:r>
      <w:r w:rsidR="00394E8B" w:rsidRPr="00077ED3">
        <w:t>EÚ</w:t>
      </w:r>
      <w:r w:rsidR="00394E8B" w:rsidRPr="00394E8B">
        <w:t>) 2018/858, (</w:t>
      </w:r>
      <w:r w:rsidR="00394E8B" w:rsidRPr="00077ED3">
        <w:t>EÚ</w:t>
      </w:r>
      <w:r w:rsidR="00394E8B" w:rsidRPr="00394E8B">
        <w:t>) 2018/1724 a (</w:t>
      </w:r>
      <w:r w:rsidR="00394E8B" w:rsidRPr="00077ED3">
        <w:t>EÚ</w:t>
      </w:r>
      <w:r w:rsidR="00394E8B" w:rsidRPr="00394E8B">
        <w:t>) 2019/1020</w:t>
      </w:r>
      <w:r w:rsidR="00394E8B">
        <w:t>,</w:t>
      </w:r>
      <w:r w:rsidRPr="00077ED3">
        <w:t xml:space="preserve"> ktoré </w:t>
      </w:r>
      <w:r w:rsidR="00607BB2" w:rsidRPr="00077ED3">
        <w:t>Európsky p</w:t>
      </w:r>
      <w:r w:rsidRPr="00077ED3">
        <w:t xml:space="preserve">arlament prijal 14. </w:t>
      </w:r>
      <w:r w:rsidR="00E20FA8">
        <w:t>septembra</w:t>
      </w:r>
      <w:r w:rsidRPr="00077ED3">
        <w:t xml:space="preserve"> 2023</w:t>
      </w:r>
      <w:r w:rsidRPr="00077ED3">
        <w:rPr>
          <w:rStyle w:val="FootnoteReference"/>
        </w:rPr>
        <w:footnoteReference w:id="4"/>
      </w:r>
      <w:r w:rsidRPr="00077ED3">
        <w:t>,</w:t>
      </w:r>
    </w:p>
    <w:p w:rsidR="00B66E71" w:rsidRPr="00077ED3" w:rsidRDefault="00B66E71" w:rsidP="00B66E71">
      <w:pPr>
        <w:pStyle w:val="NormalHanging12a"/>
      </w:pPr>
      <w:r w:rsidRPr="00077ED3">
        <w:t>–</w:t>
      </w:r>
      <w:r w:rsidRPr="00077ED3">
        <w:tab/>
        <w:t xml:space="preserve">so zreteľom na pozmeňujúce návrhy k nariadeniu Európskeho parlamentu a Rady o zriadení rámca opatrení na posilnenie európskeho ekosystému výroby výrobkov emisne </w:t>
      </w:r>
      <w:r w:rsidRPr="00077ED3">
        <w:lastRenderedPageBreak/>
        <w:t>neutrálnych technológií (akt o emisne neutrálnom priemysle) (COM(2023)0161)</w:t>
      </w:r>
      <w:r w:rsidRPr="00077ED3">
        <w:rPr>
          <w:rStyle w:val="FootnoteReference"/>
        </w:rPr>
        <w:footnoteReference w:id="5"/>
      </w:r>
      <w:r w:rsidRPr="00077ED3">
        <w:t xml:space="preserve">, ktoré </w:t>
      </w:r>
      <w:r w:rsidR="00607BB2" w:rsidRPr="00077ED3">
        <w:t>Európsky p</w:t>
      </w:r>
      <w:r w:rsidRPr="00077ED3">
        <w:t>arlament prijal 21. novembra 2023,</w:t>
      </w:r>
    </w:p>
    <w:p w:rsidR="00B66E71" w:rsidRPr="00077ED3" w:rsidRDefault="00B66E71" w:rsidP="00B66E71">
      <w:pPr>
        <w:pStyle w:val="NormalHanging12a"/>
      </w:pPr>
      <w:r w:rsidRPr="00077ED3">
        <w:t>–</w:t>
      </w:r>
      <w:r w:rsidRPr="00077ED3">
        <w:tab/>
        <w:t>so zreteľom na oznámenie Komisie z 18. mája 2022 s názvom Plán REPowerEU (COM(2022)0230),</w:t>
      </w:r>
    </w:p>
    <w:p w:rsidR="00B66E71" w:rsidRPr="00077ED3" w:rsidRDefault="00B66E71" w:rsidP="00B66E71">
      <w:pPr>
        <w:pStyle w:val="NormalHanging12a"/>
      </w:pPr>
      <w:r w:rsidRPr="00077ED3">
        <w:t>–</w:t>
      </w:r>
      <w:r w:rsidRPr="00077ED3">
        <w:tab/>
        <w:t>so zreteľom na pozmeňujúce návrhy k návrhu smernice Európskeho parlamentu a Rady, ktorou sa mení smernica (EÚ) 2018/2001 o podpore využívania energie z obnoviteľných zdrojov, smernica 2010/31/EÚ o energetickej hospodárnosti budov a smernica 2012/27/EÚ o energetickej efektívnosti</w:t>
      </w:r>
      <w:r w:rsidRPr="00077ED3">
        <w:rPr>
          <w:rStyle w:val="FootnoteReference"/>
        </w:rPr>
        <w:footnoteReference w:id="6"/>
      </w:r>
      <w:r w:rsidRPr="00077ED3">
        <w:t xml:space="preserve">, ktoré </w:t>
      </w:r>
      <w:r w:rsidR="00607BB2" w:rsidRPr="00077ED3">
        <w:t>Európsky p</w:t>
      </w:r>
      <w:r w:rsidRPr="00077ED3">
        <w:t>arlament prijal 14. decembra 2022,</w:t>
      </w:r>
    </w:p>
    <w:p w:rsidR="00B66E71" w:rsidRPr="00077ED3" w:rsidRDefault="00B66E71" w:rsidP="00B66E71">
      <w:pPr>
        <w:pStyle w:val="NormalHanging12a"/>
      </w:pPr>
      <w:r w:rsidRPr="00077ED3">
        <w:t>–</w:t>
      </w:r>
      <w:r w:rsidRPr="00077ED3">
        <w:tab/>
        <w:t>so zreteľom na nariadenie o taxonómii udržateľného financovania (EÚ) 2019/2088</w:t>
      </w:r>
      <w:r w:rsidRPr="00077ED3">
        <w:rPr>
          <w:rStyle w:val="FootnoteReference"/>
        </w:rPr>
        <w:footnoteReference w:id="7"/>
      </w:r>
      <w:r w:rsidRPr="00077ED3">
        <w:t xml:space="preserve"> a pripojené delegované nariadenie, ktorým sa stanovujú technické kritériá preskúmania na určenie podmienok, za ktorých sa hospodárska činnosť označuje za významne prispievajúcu k zmierneniu zmeny klímy alebo adaptácii na zmenu klímy, a na určenie toho, či daná hospodárska činnosť výrazne nenarúša dosahovanie niektorých iných environmentálnych cieľov</w:t>
      </w:r>
      <w:r w:rsidRPr="00077ED3">
        <w:rPr>
          <w:rStyle w:val="FootnoteReference"/>
        </w:rPr>
        <w:footnoteReference w:id="8"/>
      </w:r>
      <w:r w:rsidRPr="00077ED3">
        <w:t>,</w:t>
      </w:r>
    </w:p>
    <w:p w:rsidR="00B66E71" w:rsidRPr="00077ED3" w:rsidRDefault="00B66E71" w:rsidP="00B66E71">
      <w:pPr>
        <w:pStyle w:val="NormalHanging12a"/>
      </w:pPr>
      <w:r w:rsidRPr="00077ED3">
        <w:t>–</w:t>
      </w:r>
      <w:r w:rsidRPr="00077ED3">
        <w:tab/>
        <w:t>so zreteľom na</w:t>
      </w:r>
      <w:r w:rsidRPr="00077ED3">
        <w:rPr>
          <w:rStyle w:val="Bold"/>
        </w:rPr>
        <w:t xml:space="preserve"> </w:t>
      </w:r>
      <w:r w:rsidRPr="00077ED3">
        <w:t>nariadenie Komisie (EÚ) č. 813/2013 z 2. augusta 2013, ktorým sa vykonáva smernica Európskeho parlamentu a Rady 2009/125/ES, pokiaľ ide o požiadavky na ekodizajn tepelných zdrojov na vykurovanie priestoru a kombinovaných tepelných zdrojov</w:t>
      </w:r>
      <w:r w:rsidRPr="00077ED3">
        <w:rPr>
          <w:rStyle w:val="FootnoteReference"/>
        </w:rPr>
        <w:footnoteReference w:id="9"/>
      </w:r>
      <w:r w:rsidRPr="00077ED3">
        <w:t>,</w:t>
      </w:r>
    </w:p>
    <w:p w:rsidR="00B66E71" w:rsidRPr="00077ED3" w:rsidRDefault="00B66E71" w:rsidP="00B66E71">
      <w:pPr>
        <w:pStyle w:val="NormalHanging12a"/>
      </w:pPr>
      <w:r w:rsidRPr="00077ED3">
        <w:t>–</w:t>
      </w:r>
      <w:r w:rsidRPr="00077ED3">
        <w:tab/>
        <w:t>so zreteľom na smernicu Európskeho parlamentu a Rady 2014/52/EÚ zo 16. apríla 2014, ktorou sa mení smernica 2011/92/EÚ o posudzovaní vplyvov určitých verejných a súkromných projektov na životné prostredie</w:t>
      </w:r>
      <w:r w:rsidRPr="00077ED3">
        <w:rPr>
          <w:rStyle w:val="FootnoteReference"/>
        </w:rPr>
        <w:footnoteReference w:id="10"/>
      </w:r>
      <w:r w:rsidRPr="00077ED3">
        <w:t>,</w:t>
      </w:r>
    </w:p>
    <w:p w:rsidR="00B66E71" w:rsidRPr="00077ED3" w:rsidRDefault="00B66E71" w:rsidP="00B66E71">
      <w:pPr>
        <w:pStyle w:val="NormalHanging12a"/>
      </w:pPr>
      <w:r w:rsidRPr="00077ED3">
        <w:t>–</w:t>
      </w:r>
      <w:r w:rsidRPr="00077ED3">
        <w:tab/>
        <w:t>so zreteľom na vykonávacie nariadenie Komisie (EÚ) 2023/138 z 21. decembra 2022, ktorým sa stanovuje zoznam konkrétnych súborov údajov s vysokou hodnotou a podmienky ich uverejňovania a opakovaného použitia</w:t>
      </w:r>
      <w:r w:rsidRPr="00077ED3">
        <w:rPr>
          <w:rStyle w:val="FootnoteReference"/>
        </w:rPr>
        <w:footnoteReference w:id="11"/>
      </w:r>
      <w:r w:rsidRPr="00077ED3">
        <w:t>,</w:t>
      </w:r>
    </w:p>
    <w:p w:rsidR="00B66E71" w:rsidRPr="00077ED3" w:rsidRDefault="00B66E71" w:rsidP="00B66E71">
      <w:pPr>
        <w:pStyle w:val="NormalHanging12a"/>
      </w:pPr>
      <w:r w:rsidRPr="00077ED3">
        <w:t>–</w:t>
      </w:r>
      <w:r w:rsidRPr="00077ED3">
        <w:tab/>
        <w:t>so zreteľom na správu Medzinárodnej agentúry pre energiu z obnoviteľných zdrojov z februára 2023 s názvom Globálny geotermálny trh a hodnotenie technológií</w:t>
      </w:r>
      <w:r w:rsidRPr="00077ED3">
        <w:rPr>
          <w:rStyle w:val="FootnoteReference"/>
        </w:rPr>
        <w:footnoteReference w:id="12"/>
      </w:r>
      <w:r w:rsidRPr="00077ED3">
        <w:t>,</w:t>
      </w:r>
    </w:p>
    <w:p w:rsidR="00B66E71" w:rsidRPr="00077ED3" w:rsidRDefault="00B66E71" w:rsidP="00B66E71">
      <w:pPr>
        <w:pStyle w:val="NormalHanging12a"/>
      </w:pPr>
      <w:r w:rsidRPr="00077ED3">
        <w:lastRenderedPageBreak/>
        <w:t>–</w:t>
      </w:r>
      <w:r w:rsidRPr="00077ED3">
        <w:tab/>
        <w:t>so zreteľom na správu Strediska pre monitorovanie technológií čistej energie s názvom Deep Geothermal Heat and Power in the European Union – 2022 Status Report on Technology Development, Trends, Value Chains and Markets</w:t>
      </w:r>
      <w:r w:rsidRPr="00077ED3">
        <w:rPr>
          <w:rStyle w:val="FootnoteReference"/>
        </w:rPr>
        <w:footnoteReference w:id="13"/>
      </w:r>
      <w:r w:rsidRPr="00077ED3">
        <w:t>,</w:t>
      </w:r>
    </w:p>
    <w:p w:rsidR="00B66E71" w:rsidRPr="00077ED3" w:rsidRDefault="00B66E71" w:rsidP="00B66E71">
      <w:pPr>
        <w:pStyle w:val="NormalHanging12a"/>
      </w:pPr>
      <w:r w:rsidRPr="00077ED3">
        <w:t>–</w:t>
      </w:r>
      <w:r w:rsidRPr="00077ED3">
        <w:tab/>
        <w:t>so zreteľom na správu Strediska pre monitorovanie technológií čistej energie s názvom Overall Strategic Analysis of Clean Energy Technology in the European Union – 2022 Status Report</w:t>
      </w:r>
      <w:r w:rsidRPr="00077ED3">
        <w:rPr>
          <w:rStyle w:val="FootnoteReference"/>
        </w:rPr>
        <w:footnoteReference w:id="14"/>
      </w:r>
      <w:r w:rsidRPr="00077ED3">
        <w:t>,</w:t>
      </w:r>
    </w:p>
    <w:p w:rsidR="00B66E71" w:rsidRPr="00077ED3" w:rsidRDefault="00B66E71" w:rsidP="00B66E71">
      <w:pPr>
        <w:pStyle w:val="NormalHanging12a"/>
      </w:pPr>
      <w:r w:rsidRPr="00077ED3">
        <w:t>–</w:t>
      </w:r>
      <w:r w:rsidRPr="00077ED3">
        <w:tab/>
        <w:t>so zreteľom na štúdiu Európskej komisie s názvom „Emisie z geotermálnych zariadení a aplikácií: prehľad a analýza“</w:t>
      </w:r>
      <w:r w:rsidRPr="00077ED3">
        <w:rPr>
          <w:rStyle w:val="FootnoteReference"/>
        </w:rPr>
        <w:footnoteReference w:id="15"/>
      </w:r>
      <w:r w:rsidRPr="00077ED3">
        <w:t>,</w:t>
      </w:r>
    </w:p>
    <w:p w:rsidR="00B66E71" w:rsidRPr="00077ED3" w:rsidRDefault="00B66E71" w:rsidP="00B66E71">
      <w:pPr>
        <w:pStyle w:val="NormalHanging12a"/>
      </w:pPr>
      <w:r w:rsidRPr="00077ED3">
        <w:t>–</w:t>
      </w:r>
      <w:r w:rsidRPr="00077ED3">
        <w:tab/>
        <w:t>so zreteľom na správu Komisie s názvom Diaľkové vykurovanie a chladenie v EÚ – Prehľad trhov a regulačných rámcov podľa revidovanej smernice o energii z obnoviteľných zdrojov</w:t>
      </w:r>
      <w:r w:rsidRPr="00077ED3">
        <w:rPr>
          <w:rStyle w:val="FootnoteReference"/>
        </w:rPr>
        <w:footnoteReference w:id="16"/>
      </w:r>
      <w:r w:rsidRPr="00077ED3">
        <w:t>,</w:t>
      </w:r>
    </w:p>
    <w:p w:rsidR="00B66E71" w:rsidRPr="00077ED3" w:rsidRDefault="00B66E71" w:rsidP="00B66E71">
      <w:pPr>
        <w:pStyle w:val="NormalHanging12a"/>
      </w:pPr>
      <w:r w:rsidRPr="00077ED3">
        <w:t>–</w:t>
      </w:r>
      <w:r w:rsidRPr="00077ED3">
        <w:tab/>
        <w:t xml:space="preserve">so zreteľom na správu Spoločného výskumného centra s názvom The heat pump wave: opportunities and challenges </w:t>
      </w:r>
      <w:r w:rsidRPr="00077ED3">
        <w:rPr>
          <w:i/>
          <w:iCs/>
        </w:rPr>
        <w:t>(Vlna tepelných čerpadiel: príležitosti a výzvy)</w:t>
      </w:r>
      <w:r w:rsidRPr="00077ED3">
        <w:rPr>
          <w:rStyle w:val="FootnoteReference"/>
        </w:rPr>
        <w:footnoteReference w:id="17"/>
      </w:r>
      <w:r w:rsidRPr="00077ED3">
        <w:t>,</w:t>
      </w:r>
    </w:p>
    <w:p w:rsidR="00B66E71" w:rsidRPr="00077ED3" w:rsidRDefault="00B66E71" w:rsidP="00B66E71">
      <w:pPr>
        <w:pStyle w:val="NormalHanging12a"/>
      </w:pPr>
      <w:r w:rsidRPr="00077ED3">
        <w:t>–</w:t>
      </w:r>
      <w:r w:rsidRPr="00077ED3">
        <w:tab/>
        <w:t xml:space="preserve">so zreteľom na štúdiu Európskej komisie z roku 2023 s názvom Overview of heating and cooling – Perceptions, markets and regulatory frameworks for decarbonisation </w:t>
      </w:r>
      <w:r w:rsidRPr="00077ED3">
        <w:rPr>
          <w:i/>
          <w:iCs/>
        </w:rPr>
        <w:t>(Prehľad o vykurovaní a chladení – Vnímanie, trhy a regulačné rámce pre dekarbonizáciu)</w:t>
      </w:r>
      <w:r w:rsidRPr="00077ED3">
        <w:rPr>
          <w:rStyle w:val="FootnoteReference"/>
        </w:rPr>
        <w:footnoteReference w:id="18"/>
      </w:r>
      <w:r w:rsidRPr="00077ED3">
        <w:t>,</w:t>
      </w:r>
    </w:p>
    <w:p w:rsidR="00B66E71" w:rsidRPr="00077ED3" w:rsidRDefault="00B66E71" w:rsidP="00B66E71">
      <w:pPr>
        <w:pStyle w:val="NormalHanging12a"/>
      </w:pPr>
      <w:r w:rsidRPr="00077ED3">
        <w:t>–</w:t>
      </w:r>
      <w:r w:rsidRPr="00077ED3">
        <w:tab/>
        <w:t>so zreteľom na svoje uznesenie z 15. decembra 2021 o vykonávaní smernice o energetickej hospodárnosti budov</w:t>
      </w:r>
      <w:r w:rsidRPr="00077ED3">
        <w:rPr>
          <w:rStyle w:val="FootnoteReference"/>
        </w:rPr>
        <w:footnoteReference w:id="19"/>
      </w:r>
      <w:r w:rsidRPr="00077ED3">
        <w:t>,</w:t>
      </w:r>
    </w:p>
    <w:p w:rsidR="00B66E71" w:rsidRPr="00077ED3" w:rsidRDefault="00B66E71" w:rsidP="00B66E71">
      <w:pPr>
        <w:pStyle w:val="NormalHanging12a"/>
      </w:pPr>
      <w:r w:rsidRPr="00077ED3">
        <w:lastRenderedPageBreak/>
        <w:t>–</w:t>
      </w:r>
      <w:r w:rsidRPr="00077ED3">
        <w:tab/>
        <w:t>so zreteľom na jeho uznesenie z 10. júla 2020 o komplexnom európskom prístupe k uskladňovaniu energie</w:t>
      </w:r>
      <w:r w:rsidRPr="00077ED3">
        <w:rPr>
          <w:rStyle w:val="FootnoteReference"/>
        </w:rPr>
        <w:footnoteReference w:id="20"/>
      </w:r>
      <w:r w:rsidRPr="00077ED3">
        <w:t xml:space="preserve"> a odporúčanie Komisie zo 14. marca 2023 o uskladňovaní energie – podpora dekarbonizovaného a bezpečného energetického systému EÚ</w:t>
      </w:r>
      <w:r w:rsidRPr="00077ED3">
        <w:rPr>
          <w:rStyle w:val="FootnoteReference"/>
        </w:rPr>
        <w:footnoteReference w:id="21"/>
      </w:r>
      <w:r w:rsidRPr="00077ED3">
        <w:t>,</w:t>
      </w:r>
    </w:p>
    <w:p w:rsidR="00B66E71" w:rsidRPr="00077ED3" w:rsidRDefault="00B66E71" w:rsidP="00B66E71">
      <w:pPr>
        <w:pStyle w:val="NormalHanging12a"/>
      </w:pPr>
      <w:r w:rsidRPr="00077ED3">
        <w:t>–</w:t>
      </w:r>
      <w:r w:rsidRPr="00077ED3">
        <w:tab/>
        <w:t>so zreteľom na svoje uznesenie z 21. januára 2021 o prístupe k dôstojnému a cenovo dostupnému bývaniu pre všetkých</w:t>
      </w:r>
      <w:r w:rsidRPr="00077ED3">
        <w:rPr>
          <w:rStyle w:val="FootnoteReference"/>
        </w:rPr>
        <w:footnoteReference w:id="22"/>
      </w:r>
      <w:r w:rsidRPr="00077ED3">
        <w:t>,</w:t>
      </w:r>
    </w:p>
    <w:p w:rsidR="00B66E71" w:rsidRPr="00077ED3" w:rsidRDefault="00B66E71" w:rsidP="00B66E71">
      <w:pPr>
        <w:pStyle w:val="NormalHanging12a"/>
      </w:pPr>
      <w:r w:rsidRPr="00077ED3">
        <w:t>–</w:t>
      </w:r>
      <w:r w:rsidRPr="00077ED3">
        <w:tab/>
        <w:t>so zreteľom na článok 54 rokovacieho poriadku,</w:t>
      </w:r>
    </w:p>
    <w:p w:rsidR="00B66E71" w:rsidRPr="00077ED3" w:rsidRDefault="00B66E71" w:rsidP="00B66E71">
      <w:pPr>
        <w:pStyle w:val="NormalHanging12a"/>
      </w:pPr>
      <w:r w:rsidRPr="00077ED3">
        <w:t>–</w:t>
      </w:r>
      <w:r w:rsidRPr="00077ED3">
        <w:tab/>
        <w:t>so zreteľom na správu Výboru pre priemysel, výskum a energetiku (A9-0432/2023),</w:t>
      </w:r>
    </w:p>
    <w:p w:rsidR="00B66E71" w:rsidRPr="00077ED3" w:rsidRDefault="00B66E71" w:rsidP="00B66E71">
      <w:pPr>
        <w:pStyle w:val="NormalHanging12a"/>
      </w:pPr>
      <w:r w:rsidRPr="00077ED3">
        <w:t>A.</w:t>
      </w:r>
      <w:r w:rsidRPr="00077ED3">
        <w:tab/>
        <w:t>keďže geotermálna energia je cenným a lokálnym zdrojom obnoviteľnej energie, ktorý môže nákladovo efektívne poskytovať dodávky elektriny a tepla schopné prenosu alebo ich kombináciu a má veľký potenciál pre energetiku a výrobu tepla, ako aj udržateľnú ťažbu surovín a môže byť zdrojom kvalitných pracovných príležitostí;</w:t>
      </w:r>
    </w:p>
    <w:p w:rsidR="00B66E71" w:rsidRPr="00077ED3" w:rsidRDefault="00B66E71" w:rsidP="00B66E71">
      <w:pPr>
        <w:pStyle w:val="NormalHanging12a"/>
      </w:pPr>
      <w:r w:rsidRPr="00077ED3">
        <w:t>B.</w:t>
      </w:r>
      <w:r w:rsidRPr="00077ED3">
        <w:tab/>
        <w:t>keďže v stratégii EÚ pre slnečnú energiu sa uvádza, že ak má EÚ dosiahnuť svoje klimatické a energetické ciele do roku 2030, podiel dopytu po energii uspokojovaný slnečnou a geotermálnou energiou sa musí zvýšiť aspoň na trojnásobok;</w:t>
      </w:r>
    </w:p>
    <w:p w:rsidR="00B66E71" w:rsidRPr="00077ED3" w:rsidRDefault="00B66E71" w:rsidP="00B66E71">
      <w:pPr>
        <w:pStyle w:val="NormalHanging12a"/>
      </w:pPr>
      <w:r w:rsidRPr="00077ED3">
        <w:t>C.</w:t>
      </w:r>
      <w:r w:rsidRPr="00077ED3">
        <w:tab/>
        <w:t>keďže výrobou a spotrebou energie vzniká v EÚ viac ako 75 % emisií skleníkových plynov; keďže viac ako polovicu konečnej spotreby energie v sektore bývania na vykurovanie priestorov, pokrývajú žiaľ fosílne palivá</w:t>
      </w:r>
      <w:r w:rsidRPr="00077ED3">
        <w:rPr>
          <w:rStyle w:val="FootnoteReference"/>
        </w:rPr>
        <w:footnoteReference w:id="23"/>
      </w:r>
      <w:r w:rsidRPr="00077ED3">
        <w:t>;</w:t>
      </w:r>
    </w:p>
    <w:p w:rsidR="00B66E71" w:rsidRPr="00077ED3" w:rsidRDefault="00B66E71" w:rsidP="00B66E71">
      <w:pPr>
        <w:pStyle w:val="NormalHanging12a"/>
      </w:pPr>
      <w:r w:rsidRPr="00077ED3">
        <w:t>D.</w:t>
      </w:r>
      <w:r w:rsidRPr="00077ED3">
        <w:tab/>
        <w:t>keďže kríza cien energie a útočná vojna Ruska proti Ukrajine ukázali naliehavú potrebu zvýšiť otvorenú strategickú autonómiu Európy; keďže geotermálne vykurovanie, chladenie a energia už prispievajú k úsiliu EÚ o znižovanie dovozu fosílnych palív;</w:t>
      </w:r>
    </w:p>
    <w:p w:rsidR="00B66E71" w:rsidRPr="00077ED3" w:rsidRDefault="00B66E71" w:rsidP="00B66E71">
      <w:pPr>
        <w:pStyle w:val="NormalHanging12a"/>
      </w:pPr>
      <w:r w:rsidRPr="00077ED3">
        <w:t>E.</w:t>
      </w:r>
      <w:r w:rsidRPr="00077ED3">
        <w:tab/>
        <w:t>keďže geotermálna energia môže prispieť k cieľom stanoveným v pláne REPowerEU, najmä k zvýšeniu výroby čistej energie a diverzifikácii dodávok energie, a má potenciál poskytovať spoľahlivú a cenovo dostupnú elektrinu a teplo priemyselným odvetviam a podnikom, najmä MSP, a posilniť ich konkurencieschopnosť, ako aj občanom a okrem iného riešiť problém energetickej chudoby;</w:t>
      </w:r>
    </w:p>
    <w:p w:rsidR="00B66E71" w:rsidRPr="00077ED3" w:rsidRDefault="00B66E71" w:rsidP="00B66E71">
      <w:pPr>
        <w:pStyle w:val="NormalHanging12a"/>
      </w:pPr>
      <w:r w:rsidRPr="00077ED3">
        <w:t>F.</w:t>
      </w:r>
      <w:r w:rsidRPr="00077ED3">
        <w:tab/>
        <w:t>keďže geotermálna energia je obnoviteľný, stály a spoľahlivý zdroj energie, ktorý je po vybudovaní potrebnej infraštruktúry ľahko dostupný a ktorý poskytuje nulovú bilanciu emisií uhlíka a lokálne riešenie dekarbonizácie sietí diaľkového vykurovania v súlade s vymedzením pojmu „účinné systémy centralizovaného zásobovania teplom a chladom“ v smernici o energetickej efektívnosti</w:t>
      </w:r>
      <w:r w:rsidRPr="00077ED3">
        <w:rPr>
          <w:rStyle w:val="FootnoteReference"/>
        </w:rPr>
        <w:footnoteReference w:id="24"/>
      </w:r>
      <w:r w:rsidRPr="00077ED3">
        <w:t xml:space="preserve"> a ktorý môže prispieť k budovaniu miestnych „energetických komunít“ a ku kolektívnej sebestačnosti v spotrebe energie z obnoviteľných zdrojov;</w:t>
      </w:r>
    </w:p>
    <w:p w:rsidR="00B66E71" w:rsidRPr="00077ED3" w:rsidRDefault="00B66E71" w:rsidP="00B66E71">
      <w:pPr>
        <w:pStyle w:val="NormalHanging12a"/>
      </w:pPr>
      <w:r w:rsidRPr="00077ED3">
        <w:lastRenderedPageBreak/>
        <w:t>G.</w:t>
      </w:r>
      <w:r w:rsidRPr="00077ED3">
        <w:tab/>
        <w:t>keďže integrácia energetiky s geotermálnymi technológiami bude mať kľúčovú úlohu pri zvyšovaní flexibility a efektívnosti energetiky a pri znižovaní jej uhlíkovej stopy;</w:t>
      </w:r>
    </w:p>
    <w:p w:rsidR="00B66E71" w:rsidRPr="00077ED3" w:rsidRDefault="00B66E71" w:rsidP="00B66E71">
      <w:pPr>
        <w:pStyle w:val="NormalHanging12a"/>
      </w:pPr>
      <w:r w:rsidRPr="00077ED3">
        <w:t>H.</w:t>
      </w:r>
      <w:r w:rsidRPr="00077ED3">
        <w:tab/>
        <w:t>keďže tepelné čerpadlá a technológie geotermálnej energie sa v prílohe návrhu aktu o emisne neutrálnom priemysle, ktorý predložila Komisia, uvádzajú ako emisne neutrálne strategické technológie;</w:t>
      </w:r>
    </w:p>
    <w:p w:rsidR="00B66E71" w:rsidRPr="00077ED3" w:rsidRDefault="00B66E71" w:rsidP="00B66E71">
      <w:pPr>
        <w:pStyle w:val="NormalHanging12a"/>
      </w:pPr>
      <w:r w:rsidRPr="00077ED3">
        <w:t>I.</w:t>
      </w:r>
      <w:r w:rsidRPr="00077ED3">
        <w:tab/>
        <w:t>keďže podľa odhadov odvetvia môže geotermálna energia dodávať do roku 2040 viac ako 75 % tepla a chladu spotrebovaného v Európe a viac ako 15 % elektrickej energie;</w:t>
      </w:r>
    </w:p>
    <w:p w:rsidR="00B66E71" w:rsidRPr="00077ED3" w:rsidRDefault="006C0501" w:rsidP="00B66E71">
      <w:pPr>
        <w:pStyle w:val="NormalHanging12a"/>
      </w:pPr>
      <w:r w:rsidRPr="00077ED3">
        <w:t>J</w:t>
      </w:r>
      <w:r w:rsidR="00B66E71" w:rsidRPr="00077ED3">
        <w:t>.</w:t>
      </w:r>
      <w:r w:rsidR="00B66E71" w:rsidRPr="00077ED3">
        <w:tab/>
        <w:t>keďže všeobecné politické podmienky a rámce potrebné na podporu rozvoja a využívania geotermálnej energie v Európe na úrovni EÚ naďalej chýbajú; keďže je naliehavo potrebný aj pokrok v rôznych oblastiach politiky na vnútroštátnej úrovni, aby subjekty v odvetví geotermálu mohli podporiť zavádzanie projektov na základe lepšieho výskumu, posilnenia dodávateľského reťazca, účinných systémov podpory a zlepšenia informovanosti verejnosti;</w:t>
      </w:r>
    </w:p>
    <w:p w:rsidR="00B66E71" w:rsidRPr="00077ED3" w:rsidRDefault="00B66E71" w:rsidP="00B66E71">
      <w:pPr>
        <w:pStyle w:val="Normal12a24b"/>
      </w:pPr>
      <w:r w:rsidRPr="00077ED3">
        <w:rPr>
          <w:rStyle w:val="BoldItalic"/>
        </w:rPr>
        <w:t>Rozvoj a potenciál</w:t>
      </w:r>
    </w:p>
    <w:p w:rsidR="00B66E71" w:rsidRPr="00077ED3" w:rsidRDefault="00B66E71" w:rsidP="00B66E71">
      <w:pPr>
        <w:pStyle w:val="NormalHanging12a"/>
      </w:pPr>
      <w:r w:rsidRPr="00077ED3">
        <w:t>1.</w:t>
      </w:r>
      <w:r w:rsidRPr="00077ED3">
        <w:tab/>
        <w:t>konštatuje, že rozvojom technológie sa rozšírila oblasť vhodná pre nákladovo efektívne geotermálne projekty a ich dosah;</w:t>
      </w:r>
    </w:p>
    <w:p w:rsidR="00B66E71" w:rsidRPr="00077ED3" w:rsidRDefault="00B66E71" w:rsidP="00B66E71">
      <w:pPr>
        <w:pStyle w:val="NormalHanging12a"/>
      </w:pPr>
      <w:r w:rsidRPr="00077ED3">
        <w:t>2.</w:t>
      </w:r>
      <w:r w:rsidRPr="00077ED3">
        <w:tab/>
        <w:t>zdôrazňuje potenciál všadeprítomných plytkých geotermálnych zdrojov nízkej teploty, ktoré sú k dispozícii vo všetkých členských štátoch; zdôrazňuje potenciál hlbinnej geotermálnej energie, ktorá môže priamo prispievať k výrobe tepla a energie;</w:t>
      </w:r>
    </w:p>
    <w:p w:rsidR="00B66E71" w:rsidRPr="00077ED3" w:rsidRDefault="00B66E71" w:rsidP="00B66E71">
      <w:pPr>
        <w:pStyle w:val="NormalHanging12a"/>
      </w:pPr>
      <w:r w:rsidRPr="00077ED3">
        <w:t>3.</w:t>
      </w:r>
      <w:r w:rsidRPr="00077ED3">
        <w:tab/>
        <w:t>konštatuje, že geotermálna energia má naďalej často okrajovú úlohu v diskusii o energii z obnoviteľných zdrojov; upozorňuje na skutočnosť, že geotermálne zariadenia si nevyžadujú kritické suroviny v rovnakom rozsahu ako iné obnoviteľné zdroje energie; konštatuje, že geotermálna energia má podľa prístupu udržateľného životného cyklu malý vplyv na životné prostredie, zvyčajne si vyžaduje obmedzené využívanie pôdy a možno ju ľahko začleniť do krajiny;</w:t>
      </w:r>
    </w:p>
    <w:p w:rsidR="00B66E71" w:rsidRPr="00077ED3" w:rsidRDefault="00B66E71" w:rsidP="00B66E71">
      <w:pPr>
        <w:pStyle w:val="NormalHanging12a"/>
      </w:pPr>
      <w:r w:rsidRPr="00077ED3">
        <w:t>4.</w:t>
      </w:r>
      <w:r w:rsidRPr="00077ED3">
        <w:tab/>
        <w:t>zdôrazňuje, že geotermálna energia poskytuje dlhodobé výhody, ktoré môžu prevážiť vysoké počiatočné náklady spojené s jej vybudovaním, pretože je udržateľným zdrojom energie s nízkym dosahom na životné prostredie, má stabilné a predvídateľné náklady na energiu, nízke prevádzkové náklady, dlhú životnosť a je spoľahlivá, čo vytvára podnikateľské a pracovné príležitosti v miestnych komunitách a pomáha znižovať závislosť od dovozu palív;</w:t>
      </w:r>
    </w:p>
    <w:p w:rsidR="00B66E71" w:rsidRPr="00077ED3" w:rsidRDefault="00B66E71" w:rsidP="00B66E71">
      <w:pPr>
        <w:pStyle w:val="NormalHanging12a"/>
      </w:pPr>
      <w:r w:rsidRPr="00077ED3">
        <w:t>5.</w:t>
      </w:r>
      <w:r w:rsidRPr="00077ED3">
        <w:tab/>
        <w:t>vyjadruje poľutovanie nad tým, že potenciál geotermálnej energie nebol dostatočne využívaný skôr a že jej súčasné využívanie je do veľkej miery vyvolané energetickou krízou a naliehavou potrebou zmierniť sociálny a ekonomický tlak na dopyt po vykurovaní a chladení v Európe; upozorňuje, že záplava dotovaného plynu, obmedzená informovanosť verejnosti a nevyhnutné vysoké počiatočné náklady už roky účinne brzdia rozvoj geotermálnej energie;</w:t>
      </w:r>
    </w:p>
    <w:p w:rsidR="00B66E71" w:rsidRPr="00077ED3" w:rsidRDefault="00B66E71" w:rsidP="00B66E71">
      <w:pPr>
        <w:pStyle w:val="NormalHanging12a"/>
      </w:pPr>
      <w:r w:rsidRPr="00077ED3">
        <w:t>6.</w:t>
      </w:r>
      <w:r w:rsidRPr="00077ED3">
        <w:tab/>
        <w:t xml:space="preserve">zdôrazňuje, že potenciál geotermálnej energie významne prispieť k dosiahnutiu niektorých strategických cieľov EÚ vrátane klimatických cieľov dekarbonizáciou jednotlivých odvetví, podporou strategickej autonómie EÚ posilnením potrieb energetickej bezpečnosti, znížením závislosti od fosílnych palív z nespoľahlivých </w:t>
      </w:r>
      <w:r w:rsidRPr="00077ED3">
        <w:lastRenderedPageBreak/>
        <w:t>tretích krajín, ako je Rusko, zvýšením konkurencieschopnosti európskeho priemyslu a posilnením postavenia spotrebiteľov vďaka cenovo dostupným a spoľahlivým dodávkam tepla a elektriny;</w:t>
      </w:r>
    </w:p>
    <w:p w:rsidR="00B66E71" w:rsidRPr="00077ED3" w:rsidRDefault="00B66E71" w:rsidP="00B66E71">
      <w:pPr>
        <w:pStyle w:val="NormalHanging12a"/>
      </w:pPr>
      <w:r w:rsidRPr="00077ED3">
        <w:t>7.</w:t>
      </w:r>
      <w:r w:rsidRPr="00077ED3">
        <w:tab/>
        <w:t>zdôrazňuje, že ekologicky udržateľný postup ťažby surovín z geotermálnej soľanky by mohol prispieť k zabezpečeniu udržateľných miestnych dodávok strategických kritických surovín vrátane lítia, a tak posilniť hospodársku odolnosť EÚ; v tejto súvislosti konštatuje, že zariadenia na získavanie geotermálnej energie aj surovín majú väčší vplyv na tvorbu pracovných príležitostí ako tradičné geotermálne zariadenia a tiež priťahujú podniky, ktoré usilujú o využívanie viacerých tokov zdrojov;</w:t>
      </w:r>
    </w:p>
    <w:p w:rsidR="00B66E71" w:rsidRPr="00077ED3" w:rsidRDefault="00B66E71" w:rsidP="00B66E71">
      <w:pPr>
        <w:pStyle w:val="NormalHanging12a"/>
      </w:pPr>
      <w:r w:rsidRPr="00077ED3">
        <w:t>8.</w:t>
      </w:r>
      <w:r w:rsidRPr="00077ED3">
        <w:tab/>
        <w:t>upozorňuje na geotermálne riešenia, ktoré umožňujú uskladňovať prebytočnú veternú a slnečnú energiu na následné využitie vo vykurovaní, chladení a výrobe elektriny, a na ich kľúčovú úlohu vo vývoji systémov energie z obnoviteľných zdrojov; v tejto súvislosti zdôrazňuje na úlohu nevyužívaných baní, ktoré sú obzvlášť vhodné na rozsiahle sezónne uskladňovanie tepla a dlhodobé uskladňovanie elektriny; zdôrazňuje potenciál geotermálnej energie na vyvažovanie siete a pomocné služby vzhľadom na jej vysoký kapacitný faktor, flexibilitu dodávok a potenciál prenosu;</w:t>
      </w:r>
    </w:p>
    <w:p w:rsidR="00B66E71" w:rsidRPr="00077ED3" w:rsidRDefault="00B66E71" w:rsidP="00B66E71">
      <w:pPr>
        <w:pStyle w:val="NormalHanging12a"/>
      </w:pPr>
      <w:r w:rsidRPr="00077ED3">
        <w:t>9.</w:t>
      </w:r>
      <w:r w:rsidRPr="00077ED3">
        <w:tab/>
        <w:t>zdôrazňuje, že najväčší potenciál využívania geotermálnej energie v EÚ spočíva v systémoch diaľkového vykurovania a chladenia a v sieťach plytkých geotermálnych zariadení; zdôrazňuje, že môžu poskytovať miestnu, základnú a flexibilnú energiu z obnoviteľných zdrojov a ochranu pred nestálymi a rastúcimi cenami fosílnych palív; zdôrazňuje, že geotermálna energia môže pomôcť pri dekarbonizácii vykurovania a chladenia, ktoré predstavuje takmer polovicu celkovej konečnej spotreby energie v EÚ a produkuje až 35 % emisií skleníkových plynov v EÚ súvisiacich s využívaním energie; berie na vedomie potenciál a rastúcu potrebu geotermálneho diaľkového chladenia, ktoré bude dôležitým prvkom udržateľnej adaptácie na zmenu klímy v mestách, keďže sa predpokladajú častejšie vysoké teploty a vlny horúčav;</w:t>
      </w:r>
    </w:p>
    <w:p w:rsidR="00B66E71" w:rsidRPr="00077ED3" w:rsidRDefault="00B66E71" w:rsidP="00B66E71">
      <w:pPr>
        <w:pStyle w:val="NormalHanging12a"/>
      </w:pPr>
      <w:r w:rsidRPr="00077ED3">
        <w:t>10.</w:t>
      </w:r>
      <w:r w:rsidRPr="00077ED3">
        <w:tab/>
        <w:t>poukazuje na značný potenciál geotermálneho tepla pre priemyselné procesy, najmä pre nízko až stredne energeticky náročné procesy (do 200 stupňov), ktoré tvoria až polovicu priemyselnej výroby tepla v Európe; v tejto súvislosti zdôrazňuje, že rozvoj využívania geotermálneho tepla na tento účel zvýši konkurencieschopnosť európskych spoločností zabezpečením spoľahlivého a cenovo dostupného zdroja tepla;</w:t>
      </w:r>
    </w:p>
    <w:p w:rsidR="00B66E71" w:rsidRPr="00077ED3" w:rsidRDefault="00B66E71" w:rsidP="00B66E71">
      <w:pPr>
        <w:pStyle w:val="NormalHanging12a"/>
      </w:pPr>
      <w:r w:rsidRPr="00077ED3">
        <w:t>11.</w:t>
      </w:r>
      <w:r w:rsidRPr="00077ED3">
        <w:tab/>
        <w:t>zdôrazňuje tiež potenciál tepla geotermálneho pôvodu v domácej výrobe potravín, najmä vo výrobe poľnohospodárskych výrobkov, záhradníctve a akvakultúre; konštatuje, že v týchto odvetviach už sú úspešné príklady geotermálnych aplikácií v rôznych európskych regiónoch; zdôrazňuje, že využívanie tepla geotermálneho pôvodu prispeje k dekarbonizácii týchto odvetví, k udržateľnejším a ekologickejším postupom a zároveň zníži výrobné náklady, vysoké náklady na energiu, nestálosť cien pre výrobcov a tiež podporí odolnosť potravinových systémov;</w:t>
      </w:r>
    </w:p>
    <w:p w:rsidR="00B66E71" w:rsidRPr="00077ED3" w:rsidRDefault="00B66E71" w:rsidP="00B66E71">
      <w:pPr>
        <w:pStyle w:val="NormalHanging12a"/>
      </w:pPr>
      <w:r w:rsidRPr="00077ED3">
        <w:t>12.</w:t>
      </w:r>
      <w:r w:rsidRPr="00077ED3">
        <w:tab/>
        <w:t>berie na vedomie potenciál kaskádového využívania, pri ktorom sa tá istá geotermálna kvapalina používa na viacero účelov; zdôrazňuje potrebu podporovať medziodvetvové synergie medzi geotermálom a inými odvetviami, a to aj spoločným využívaním lokalít, infraštruktúry, údajov a kvalifikácie pracovnej sily;</w:t>
      </w:r>
    </w:p>
    <w:p w:rsidR="00B66E71" w:rsidRPr="00077ED3" w:rsidRDefault="00B66E71" w:rsidP="00B66E71">
      <w:pPr>
        <w:pStyle w:val="NormalHanging12a"/>
      </w:pPr>
      <w:r w:rsidRPr="00077ED3">
        <w:lastRenderedPageBreak/>
        <w:t>13.</w:t>
      </w:r>
      <w:r w:rsidRPr="00077ED3">
        <w:tab/>
        <w:t>domnieva sa, že prítomnosť geotermálnej energie by sa mala zohľadniť pri určovaní zemepisnej polohy „údolia emisne neutrálneho priemyslu“ ako súčasti aktu o emisne neutrálnom priemysle;</w:t>
      </w:r>
    </w:p>
    <w:p w:rsidR="00B66E71" w:rsidRPr="00077ED3" w:rsidRDefault="00B66E71" w:rsidP="00B66E71">
      <w:pPr>
        <w:pStyle w:val="Normal12a24b"/>
      </w:pPr>
      <w:r w:rsidRPr="00077ED3">
        <w:rPr>
          <w:rStyle w:val="BoldItalic"/>
        </w:rPr>
        <w:t>Politické odporúčania</w:t>
      </w:r>
    </w:p>
    <w:p w:rsidR="00B66E71" w:rsidRPr="00077ED3" w:rsidRDefault="00B66E71" w:rsidP="00B66E71">
      <w:pPr>
        <w:pStyle w:val="NormalHanging12a"/>
      </w:pPr>
      <w:r w:rsidRPr="00077ED3">
        <w:t>14.</w:t>
      </w:r>
      <w:r w:rsidRPr="00077ED3">
        <w:tab/>
        <w:t>vyzýva Komisiu, aby predstavila geotermálnu stratégiu EÚ, ktorá členským štátom a miestnym samosprávam poskytne konkrétne usmernenia na urýchlené zavádzanie geotermálnej energie s cieľom dekarbonizovať vykurovanie a prispieť k energetickej nezávislosti EÚ a dosiahnuť cieľ aspoň trojnásobku spotreby energie zo solárneho tepla a geotermálnej energie do roku 2030, ako sa uvádza v stratégii EÚ pre slnečnú energiu; zdôrazňuje, že 151 podnikov a odvetví vyzvalo v roku 2022 Komisiu, aby vypracovala európsku stratégiu na uvoľnenie potenciálu geotermálnej energie;</w:t>
      </w:r>
    </w:p>
    <w:p w:rsidR="00B66E71" w:rsidRPr="00077ED3" w:rsidRDefault="00B66E71" w:rsidP="00B66E71">
      <w:pPr>
        <w:pStyle w:val="NormalHanging12a"/>
      </w:pPr>
      <w:r w:rsidRPr="00077ED3">
        <w:t>15.</w:t>
      </w:r>
      <w:r w:rsidRPr="00077ED3">
        <w:tab/>
        <w:t>zdôrazňuje, že opatrenia členských štátov a EÚ v oblasti geotermálnej energie by mali vychádzať z posúdenia geotermálneho potenciálu Európy pri súčasnom zohľadnení rozličných geologických a klimatických podmienok a predpokladanej nákladovej efektívnosti zavádzania geotermálnych riešení;</w:t>
      </w:r>
    </w:p>
    <w:p w:rsidR="00B66E71" w:rsidRPr="00077ED3" w:rsidRDefault="00B66E71" w:rsidP="00B66E71">
      <w:pPr>
        <w:pStyle w:val="NormalHanging12a"/>
      </w:pPr>
      <w:r w:rsidRPr="00077ED3">
        <w:t>16.</w:t>
      </w:r>
      <w:r w:rsidRPr="00077ED3">
        <w:tab/>
        <w:t>vyzýva Komisiu, aby v stratégii vychádzala z komplexného posúdenia potenciálu geotermálnej energie v plytkých, stredne hlbokých, hlbinných a veľmi hlbokých podpovrchových vrstvách vo všetkých 27 členských štátoch; konštatuje, že toto posúdenie by malo pomôcť identifikovať potenciál geotermálnej energie na rôzne účely, okrem iného pre diaľkové vykurovanie, chladenie, priemyselné procesy, výrobu potravín, tepelné čerpadlá, výrobu elektrickej energie a obnoviteľný vodík a lítium; konštatuje, že v tejto štúdii by sa mal posúdiť aj vplyv rozvoja geotermálnej energie na dekarbonizáciu hospodárstva, tvorbu pracovných príležitostí, konkurencieschopnosť, posilnenie postavenia spotrebiteľa a nákladovú efektívnosť oproti iným zdrojom energie;</w:t>
      </w:r>
    </w:p>
    <w:p w:rsidR="00B66E71" w:rsidRPr="00077ED3" w:rsidRDefault="00B66E71" w:rsidP="00B66E71">
      <w:pPr>
        <w:pStyle w:val="NormalHanging12a"/>
      </w:pPr>
      <w:r w:rsidRPr="00077ED3">
        <w:t>17.</w:t>
      </w:r>
      <w:r w:rsidRPr="00077ED3">
        <w:tab/>
        <w:t>vyzýva Komisiu, aby v stratégii riešila prekážky rozvoja geotermálnych projektov vrátane cezhraničných problémov a poskytla príručku s odporúčanými postupmi využívania geotermálnej energie v EÚ pre vnútroštátne a miestne orgány, realizátorov projektov a finančné inštitúcie;</w:t>
      </w:r>
    </w:p>
    <w:p w:rsidR="00B66E71" w:rsidRPr="00077ED3" w:rsidRDefault="00B66E71" w:rsidP="00B66E71">
      <w:pPr>
        <w:pStyle w:val="NormalHanging12a"/>
      </w:pPr>
      <w:r w:rsidRPr="00077ED3">
        <w:t>18.</w:t>
      </w:r>
      <w:r w:rsidRPr="00077ED3">
        <w:tab/>
        <w:t>víta rastúcu informovanosť a podporu geotermálnej energie na úrovni členských štátov; žiada členské štáty, aby nasledovali príklad krajín, ktoré už vypracovali plány, ciele a osobitné politické opatrenia pre geotermál</w:t>
      </w:r>
      <w:r w:rsidRPr="00077ED3">
        <w:rPr>
          <w:rStyle w:val="FootnoteReference"/>
        </w:rPr>
        <w:footnoteReference w:id="25"/>
      </w:r>
      <w:r w:rsidRPr="00077ED3">
        <w:t>; zdôrazňuje potrebu podporiť výmenu informácií o týchto opatreniach a údajoch na pomoc politikám pre geotermálnu energiu a na presadzovanie jestvujúcich odporúčaných postupov a poskytovanie vedomostí;</w:t>
      </w:r>
    </w:p>
    <w:p w:rsidR="00B66E71" w:rsidRPr="00077ED3" w:rsidRDefault="00B66E71" w:rsidP="00B66E71">
      <w:pPr>
        <w:pStyle w:val="NormalHanging12a"/>
      </w:pPr>
      <w:r w:rsidRPr="00077ED3">
        <w:t>19.</w:t>
      </w:r>
      <w:r w:rsidRPr="00077ED3">
        <w:tab/>
        <w:t>vyzýva Komisiu, aby vytvorila tzv. geotermálnu alianciu, ktorej súčasťou budú členské štáty, subjekty umožňujúce zavedenie geotermálu, priemysel, vedecká obec a občianska spoločnosť, čo by uľahčilo výmenu odporúčaných postupov a realizáciu budúcej geotermálnej stratégie;</w:t>
      </w:r>
    </w:p>
    <w:p w:rsidR="00B66E71" w:rsidRPr="00077ED3" w:rsidRDefault="00B66E71" w:rsidP="00B66E71">
      <w:pPr>
        <w:pStyle w:val="NormalHanging12a"/>
      </w:pPr>
      <w:r w:rsidRPr="00077ED3">
        <w:lastRenderedPageBreak/>
        <w:t>20.</w:t>
      </w:r>
      <w:r w:rsidRPr="00077ED3">
        <w:tab/>
        <w:t>žiada Komisiu, aby preskúmala potenciál prínosu geotermálnej energie k cieľom výroby čistého vodíka stanoveným v pláne REPowerEU;</w:t>
      </w:r>
    </w:p>
    <w:p w:rsidR="00B66E71" w:rsidRPr="00077ED3" w:rsidRDefault="00B66E71" w:rsidP="00B66E71">
      <w:pPr>
        <w:pStyle w:val="NormalHanging12a"/>
        <w:rPr>
          <w:b/>
          <w:i/>
        </w:rPr>
      </w:pPr>
      <w:r w:rsidRPr="00077ED3">
        <w:rPr>
          <w:b/>
          <w:i/>
        </w:rPr>
        <w:t>Geotermálne diaľkové vykurovanie a chladenie</w:t>
      </w:r>
    </w:p>
    <w:p w:rsidR="00B66E71" w:rsidRPr="00077ED3" w:rsidRDefault="00B66E71" w:rsidP="00B66E71">
      <w:pPr>
        <w:spacing w:after="240"/>
        <w:ind w:left="567" w:hanging="567"/>
      </w:pPr>
      <w:r w:rsidRPr="00077ED3">
        <w:t>21.</w:t>
      </w:r>
      <w:r w:rsidRPr="00077ED3">
        <w:tab/>
        <w:t>zdôrazňuje potrebu modernizovať súčasné siete vykurovania a chladenia a vybudovať nové s využitím potenciálu geotermálnej energie; vyzýva Komisiu a členské štáty, aby na podporu vyššie uvedeného ustanovili výrazné stimuly a aby dali prednosť systémom vykurovania a chladenia štvrtej a piatej generácie; konštatuje, že rozvoj sietí vykurovania a chladenia je neoddeliteľnou súčasťou prípravy komplexných plánov vykurovania obcí, ako sa vyžaduje v smernici o energetickej efektívnosti a je v súlade s cieľmi národných energetických a klimatických plánov; vyzýva Komisiu, aby členským štátom poskytla usmernenia na vypracovanie týchto plánov vrátane posúdenia geotermálneho potenciálu;</w:t>
      </w:r>
    </w:p>
    <w:p w:rsidR="00B66E71" w:rsidRPr="00077ED3" w:rsidRDefault="00B66E71" w:rsidP="00B66E71">
      <w:pPr>
        <w:spacing w:after="240"/>
        <w:ind w:left="567" w:hanging="567"/>
      </w:pPr>
      <w:r w:rsidRPr="00077ED3">
        <w:t>22.</w:t>
      </w:r>
      <w:r w:rsidRPr="00077ED3">
        <w:tab/>
        <w:t>víta rastúci počet projektov, ktorých súčasťou je konverzia súčasnej infraštruktúry diaľkového vykurovania a chladenia na diaľkové vykurovanie a chladenie na geotermálnom základe; zdôrazňuje najmä potenciál takejto konverzie v krajinách strednej a východnej Európy, kde môžu významne prispieť k politikám dekarbonizácie; zdôrazňuje, že tieto opatrenia by sa mali vo veľkej miere podporovať z fondov pre modernizáciu, spravodlivú transformáciu a súdržnosť; žiada, aby sa pri investíciách podporovaných z Modernizačného fondu, ktoré podporujú prechod na systémy diaľkového vykurovania, vždy zvažoval potenciál geotermálnej energie, ktorá by sa do týchto systémov mohla dodávať;</w:t>
      </w:r>
    </w:p>
    <w:p w:rsidR="00B66E71" w:rsidRPr="00077ED3" w:rsidRDefault="00B66E71" w:rsidP="00B66E71">
      <w:pPr>
        <w:pStyle w:val="NormalHanging12a"/>
      </w:pPr>
      <w:r w:rsidRPr="00077ED3">
        <w:t>23.</w:t>
      </w:r>
      <w:r w:rsidRPr="00077ED3">
        <w:tab/>
        <w:t>vyjadruje obavu, že rozvoju geotermálnych projektov príliš často bráni alebo ho výrazne odďaľuje nedostatočne rozvinutá sieť diaľkového vykurovania a chladenia; zdôrazňuje potrebu zabezpečiť koordináciu medzi energetickými podnikmi a miestnymi orgánmi pri spoločnom projektovaní sietí diaľkového vykurovania a chladenia, investíciách do nich a ich riadení;</w:t>
      </w:r>
    </w:p>
    <w:p w:rsidR="00B66E71" w:rsidRPr="00077ED3" w:rsidRDefault="00B66E71" w:rsidP="00B66E71">
      <w:pPr>
        <w:pStyle w:val="NormalHanging12a"/>
      </w:pPr>
      <w:r w:rsidRPr="00077ED3">
        <w:t>24.</w:t>
      </w:r>
      <w:r w:rsidRPr="00077ED3">
        <w:tab/>
        <w:t>upozorňuje na skutočnosť, že niektoré z nedávnych geotermálnych projektov diaľkového vykurovania a chladenia sa realizovali podľa nových obchodných modelov, ktoré súkromným podnikom vrátane podnikov verejných služieb umožňujú budovať verejnú infraštruktúru v mene miestnych orgánov; vyzýva členské štáty, aby preskúmali inovatívne možnosti regulácie na podporu rozvoja geotermálneho diaľkového vykurovania a chladenia;</w:t>
      </w:r>
    </w:p>
    <w:p w:rsidR="00B66E71" w:rsidRPr="00077ED3" w:rsidRDefault="00B66E71" w:rsidP="00B66E71">
      <w:pPr>
        <w:pStyle w:val="NormalHanging12a"/>
      </w:pPr>
      <w:r w:rsidRPr="00077ED3">
        <w:t>25.</w:t>
      </w:r>
      <w:r w:rsidRPr="00077ED3">
        <w:tab/>
        <w:t>zdôrazňuje význam sprístupnenia údajov zo súčasných sietí diaľkového vykurovania, a to aj o úrovni modernizácie a spotreby tepla zainteresovaným stranám v Európe; zdôrazňuje, že tieto údaje sú nevyhnutné na vyhodnotenie potenciálu regiónu a na spoluprácu s miestnymi orgánmi v počiatočných fázach projektu; vyzýva Komisiu, aby sprístupňovanie existujúcich údajov o diaľkovom vykurovaní a chladení podporovala a koordinovala;</w:t>
      </w:r>
    </w:p>
    <w:p w:rsidR="00B66E71" w:rsidRPr="00077ED3" w:rsidRDefault="00B66E71" w:rsidP="00B66E71">
      <w:pPr>
        <w:pStyle w:val="Normal12a24b"/>
      </w:pPr>
      <w:r w:rsidRPr="00077ED3">
        <w:rPr>
          <w:rStyle w:val="BoldItalic"/>
        </w:rPr>
        <w:t>Dostupnosť údajov</w:t>
      </w:r>
    </w:p>
    <w:p w:rsidR="00B66E71" w:rsidRPr="00077ED3" w:rsidRDefault="00B66E71" w:rsidP="00B66E71">
      <w:pPr>
        <w:spacing w:after="240"/>
        <w:ind w:left="567" w:hanging="567"/>
      </w:pPr>
      <w:r w:rsidRPr="00077ED3">
        <w:t>26.</w:t>
      </w:r>
      <w:r w:rsidRPr="00077ED3">
        <w:tab/>
        <w:t xml:space="preserve">konštatuje, že nedostatočná dostupnosť údajov o situácii pod povrchom je v súčasnosti významnou prekážkou znižovania rizík, a tým aj rýchleho zavádzania projektov geotermálnej energie; zdôrazňuje, že jednoduchý a spravodlivý prístup k údajom o situácii pod povrchom v členských štátoch je kľúčový pre fázu posudzovania projektov; </w:t>
      </w:r>
      <w:r w:rsidRPr="00077ED3">
        <w:lastRenderedPageBreak/>
        <w:t>ďalej zdôrazňuje, že tento nedostatočný prístup k údajom bráni vedcom v tvorbe geologických modelov, ktoré sú nevyhnutné na predikciu potenciálu a výnosov geotermálnej energie v danej podpovrchovej oblasti, a preto majú zásadný význam pri znižovaní neistoty pre realizátorov projektov;</w:t>
      </w:r>
    </w:p>
    <w:p w:rsidR="00B66E71" w:rsidRPr="00077ED3" w:rsidRDefault="00B66E71" w:rsidP="00B66E71">
      <w:pPr>
        <w:spacing w:after="240"/>
        <w:ind w:left="567" w:hanging="567"/>
      </w:pPr>
      <w:r w:rsidRPr="00077ED3">
        <w:t>27.</w:t>
      </w:r>
      <w:r w:rsidRPr="00077ED3">
        <w:tab/>
        <w:t>naliehavo vyzýva členské štáty a Komisiu, aby preskúmali metódy zberu rôznych druhov geologických údajov od verejných a súkromných subjektov so zámerom usporiadať ich, systematizovať a sprístupňovať verejnosti rozšírením súčasných geologických databáz s využitím digitálnych formátov na zber údajov a ich sprístupnením; konštatuje, že by sa to malo dosiahnuť v súlade s platnými pravidlami ochrany údajov, ochrany citlivých obchodných údajov vrátane ochrany obchodného tajomstva a práv duševného vlastníctva, ako aj bezpečnostných aspektov a v prípade potreby zahŕňať stimuly alebo náhradu za poskytnutie údajov súkromnými subjektmi; vyjadruje názor, že geologické údaje financované z verejných zdrojov potrebné na geotermálne projekty (napríklad získaných z verejnej podpory na prieskumné vrty) by sa mali sprístupniť verejnosti v krátkom čase, ktorý stanoví príslušný členský štát; upozorňuje na skutočnosť, že v niektorých členských štátoch sa geologické údaje, ktoré uchovávajú súkromné subjekty, po určitom čase bezplatne sprístupňujú verejnosti;</w:t>
      </w:r>
    </w:p>
    <w:p w:rsidR="00B66E71" w:rsidRPr="00077ED3" w:rsidRDefault="00B66E71" w:rsidP="00B66E71">
      <w:pPr>
        <w:pStyle w:val="NormalHanging12a"/>
      </w:pPr>
      <w:r w:rsidRPr="00077ED3">
        <w:t>28.</w:t>
      </w:r>
      <w:r w:rsidRPr="00077ED3">
        <w:tab/>
        <w:t>naliehavo vyzýva Komisiu, aby preskúmala výhody a prekážky harmonizácie vnútroštátnych právnych predpisov pre poskytovanie prístupu k podpovrchovým údajom a uchovávanie geologických údajov na centralizovanom portáli na úrovni EÚ, ktorý je bezplatne a ľahko prístupný pre všetkých;</w:t>
      </w:r>
    </w:p>
    <w:p w:rsidR="00B66E71" w:rsidRPr="00077ED3" w:rsidRDefault="00B66E71" w:rsidP="00B66E71">
      <w:pPr>
        <w:spacing w:after="240"/>
        <w:ind w:left="567" w:hanging="567"/>
      </w:pPr>
      <w:r w:rsidRPr="00077ED3">
        <w:t>29.</w:t>
      </w:r>
      <w:r w:rsidRPr="00077ED3">
        <w:tab/>
        <w:t>zdôrazňuje, že v oblastiach s nedostatočnými podpovrchovými údajmi môžu vlády mať úlohu pri financovaní mapovania geotermálnych zdrojov a prieskumných vrtov; víta skutočnosť, že niektoré členské štáty už podnikli kroky týmto smerom; vyzýva Komisiu, aby naďalej podporovala tento zber údajov prostredníctvom relevantných projektov, ako je európska infraštruktúra geologických údajov (EGDI), ktorej cieľom je vytvoriť celoeurópsky atlas geotermálnych zdrojov; zdôrazňuje význam služby monitorovania krajiny programu Copernicus (CLMS), ktorá môže poskytovať spoľahlivé údaje o teplote pôdy, čo je obzvlášť užitočné pre povrchovú geotermálnu energiu;</w:t>
      </w:r>
    </w:p>
    <w:p w:rsidR="00B66E71" w:rsidRPr="00077ED3" w:rsidRDefault="00B66E71" w:rsidP="00B66E71">
      <w:pPr>
        <w:spacing w:after="240"/>
        <w:ind w:left="567" w:hanging="567"/>
      </w:pPr>
      <w:r w:rsidRPr="00077ED3">
        <w:t>30.</w:t>
      </w:r>
      <w:r w:rsidRPr="00077ED3">
        <w:tab/>
        <w:t>zdôrazňuje potenciál zmeny účelu neaktívnych ropných a plynových vrtov a baní pre geotermál; vyzýva členské štáty, aby v spolupráci s ropnými, plynárenskými a uhoľnými spoločnosťami a pripravili verejné zoznamy a mapy vyčerpanej, opustenej a vyradenej uhľovodíkovej infraštruktúry s potenciálom využitia ako geotermálny zdroj; zdôrazňuje, že treba stanoviť priority pre využitie finančných prostriedkov na podrobné štúdie o stave tejto infraštruktúry s cieľom posúdiť potenciál jednotlivých lokalít;</w:t>
      </w:r>
    </w:p>
    <w:p w:rsidR="00B66E71" w:rsidRPr="00077ED3" w:rsidRDefault="00B66E71" w:rsidP="00B66E71">
      <w:pPr>
        <w:spacing w:after="240"/>
        <w:ind w:left="567" w:hanging="567"/>
      </w:pPr>
      <w:r w:rsidRPr="00077ED3">
        <w:t>31.</w:t>
      </w:r>
      <w:r w:rsidRPr="00077ED3">
        <w:tab/>
        <w:t>vyjadruje znepokojenie nad roztrieštenosťou štatistík o geotermálnej energii; zdôrazňuje, že je veľmi ťažké posúdiť využívanie geotermálnej energie v Európe z dôvodu nedostatočných noriem pre vykazovanie priemyselných údajov; vyzýva členské štáty, aby v spolupráci s odvetvím a Komisiou prepracovali súčasné postupy zberu štatistických údajov pre geotermálne účely a aby odporúčané postupy v tomto odvetví replikovali tvorbou noriem pre vykazovanie priemyselných údajov;</w:t>
      </w:r>
    </w:p>
    <w:p w:rsidR="00B66E71" w:rsidRPr="00077ED3" w:rsidRDefault="00B66E71" w:rsidP="00B66E71">
      <w:pPr>
        <w:pStyle w:val="Normal12a24b"/>
      </w:pPr>
      <w:r w:rsidRPr="00077ED3">
        <w:rPr>
          <w:rStyle w:val="BoldItalic"/>
        </w:rPr>
        <w:t>Financovanie</w:t>
      </w:r>
    </w:p>
    <w:p w:rsidR="00B66E71" w:rsidRPr="00077ED3" w:rsidRDefault="00B66E71" w:rsidP="00B66E71">
      <w:pPr>
        <w:spacing w:after="240"/>
        <w:ind w:left="567" w:hanging="567"/>
      </w:pPr>
      <w:r w:rsidRPr="00077ED3">
        <w:t>32.</w:t>
      </w:r>
      <w:r w:rsidRPr="00077ED3">
        <w:tab/>
        <w:t xml:space="preserve">opakovane uvádza, že neistota súvisiaca s podpovrchovými zdrojmi sťažuje </w:t>
      </w:r>
      <w:r w:rsidRPr="00077ED3">
        <w:lastRenderedPageBreak/>
        <w:t>zabezpečenie financovania projektov; konštatuje, že počiatočná fáza projektu, ako je fáza prieskumu a výstavby, si vyžaduje značné počiatočné náklady a vysoké podnikateľské riziko brániace investičnému rozhodnutiu, a vyzýva členské štáty, aby preskúmali riešenia na zníženie finančného rizika primerané zrelosti ich miestneho trhu, ako sú granty, úvery, ktoré sú prevoditeľné na granty, záruky s podporou štátu, poistenie prieskumu a mechanizmy zaistenia; berie na vedomie príklady mechanizmov krytia rizík podporované nielen z verejných prostriedkov, ale aj príspevkami zo súkromného sektora; v tejto súvislosti poznamenáva, že systém EÚ na zmierňovanie finančných rizík by bol obzvlášť užitočný pre najmenej rozvinuté trhy v geotermálnom odvetví; berie na vedomie význam iných opatrení na zníženie rizík, ako je umožnenie jednoduchého prístupu k podpovrchovým údajom, výmena odporúčaných postupov ohľadom nových druhov obchodných modelov poskytujúcich synergiu verejného a súkromného financovania;</w:t>
      </w:r>
    </w:p>
    <w:p w:rsidR="00B66E71" w:rsidRPr="00077ED3" w:rsidRDefault="00B66E71" w:rsidP="00B66E71">
      <w:pPr>
        <w:spacing w:after="240"/>
        <w:ind w:left="567" w:hanging="567"/>
      </w:pPr>
      <w:r w:rsidRPr="00077ED3">
        <w:t>33.</w:t>
      </w:r>
      <w:r w:rsidRPr="00077ED3">
        <w:tab/>
        <w:t>vyjadruje znepokojenie nad tým, že vysoké počiatočné náklady na vrty a inštaláciu zvyčajne odrádzajú od výberu geotermálnych tepelných čerpadiel (GHP) v prospech menej účinných technologických riešení; vyzýva členské štáty, aby preskúmali možné finančné stimuly na preklenutie tohto rozdielu, a to aj na základe splácania z úspor; vyzýva Komisiu, aby túto otázku riešila v pripravovanom akčnom pláne EÚ pre tepelné čerpadlá;</w:t>
      </w:r>
    </w:p>
    <w:p w:rsidR="00B66E71" w:rsidRPr="00077ED3" w:rsidRDefault="00B66E71" w:rsidP="00B66E71">
      <w:pPr>
        <w:spacing w:after="240"/>
        <w:ind w:left="567" w:hanging="567"/>
      </w:pPr>
      <w:r w:rsidRPr="00077ED3">
        <w:t>34.</w:t>
      </w:r>
      <w:r w:rsidRPr="00077ED3">
        <w:tab/>
        <w:t>zdôrazňuje, že vysoké počiatočné náklady brzdia rast geotermálnej energie najmä pre subjekty s obmedzenými finančnými zdrojmi, ktoré preto dávajú prednosť investíciám ziskovejším z krátkodobého hľadiska, ale s nižšou environmentálnou udržateľnosťou; vyzýva Komisiu, aby prijala vhodné opatrenia na zabezpečenie toho, že pri využívaní existujúcich európskych fondov a nástrojov sa budú viac zohľadňovať geotermálne projekty; žiada Komisiu, aby v rámci existujúcich finančných prostriedkov vyčlenila zdroje na podporu prieskumu, rozvoja a modernizácie geotermálnych projektov, najmä založených na inovačných technológiách, a na rekvalifikáciu pracovníkov a jej zvyšovanie;</w:t>
      </w:r>
    </w:p>
    <w:p w:rsidR="00B66E71" w:rsidRPr="00077ED3" w:rsidRDefault="00B66E71" w:rsidP="00B66E71">
      <w:pPr>
        <w:pStyle w:val="Normal12a24b"/>
      </w:pPr>
      <w:r w:rsidRPr="00077ED3">
        <w:rPr>
          <w:rStyle w:val="BoldItalic"/>
        </w:rPr>
        <w:t>Regulačné otázky</w:t>
      </w:r>
    </w:p>
    <w:p w:rsidR="00B66E71" w:rsidRPr="00077ED3" w:rsidRDefault="00B66E71" w:rsidP="00B66E71">
      <w:pPr>
        <w:spacing w:after="240"/>
        <w:ind w:left="567" w:hanging="567"/>
      </w:pPr>
      <w:r w:rsidRPr="00077ED3">
        <w:t>35.</w:t>
      </w:r>
      <w:r w:rsidRPr="00077ED3">
        <w:tab/>
        <w:t>zdôrazňuje, že zavádzanie projektov geotermálnej energie v EÚ by uľahčili pravidlá rýchlejšieho povoľovania pre geotermál v súlade s platnými právnymi predpismi EÚ v oblasti životného prostredia; konštatuje, že projekty geotermálnej energetiky v súčasnosti podliehajú právnym predpisom určeným pre rozsiahle ťažobné projekty, ktoré sa ťažko dodržiavajú, najmä v prípade geotermálnych projektov menšieho rozsahu; vyzýva preto členské štáty, aby preskúmali súčasné právne predpisy pre ťažbu s cieľom lepšie zohľadniť špecifickosť geotermálnych projektov a vypracovať pre geotermálnu energiu osobitné pravidlá povoľovania, s ohľadom na skutočnosť, že rôzne geotermálne technológie predstavujú výrazne odlišné vplyvy a riziká pre geológiu a životné prostredie; žiada Komisiu, aby poskytla usmernenia na zabezpečenie požadovanej úrovne jednotnosti, podobne ako v prípade regulačného rámca na podporu ukladania CO</w:t>
      </w:r>
      <w:r w:rsidRPr="00077ED3">
        <w:rPr>
          <w:vertAlign w:val="subscript"/>
        </w:rPr>
        <w:t>2</w:t>
      </w:r>
      <w:r w:rsidRPr="00077ED3">
        <w:t xml:space="preserve"> (smernica 2009/31/ES</w:t>
      </w:r>
      <w:r w:rsidRPr="00077ED3">
        <w:rPr>
          <w:rStyle w:val="FootnoteReference"/>
        </w:rPr>
        <w:footnoteReference w:id="26"/>
      </w:r>
      <w:r w:rsidRPr="00077ED3">
        <w:t xml:space="preserve">); </w:t>
      </w:r>
    </w:p>
    <w:p w:rsidR="00B66E71" w:rsidRPr="00077ED3" w:rsidRDefault="00B66E71" w:rsidP="00B66E71">
      <w:pPr>
        <w:spacing w:after="240"/>
        <w:ind w:left="567" w:hanging="567"/>
      </w:pPr>
      <w:r w:rsidRPr="00077ED3">
        <w:lastRenderedPageBreak/>
        <w:t>36.</w:t>
      </w:r>
      <w:r w:rsidRPr="00077ED3">
        <w:tab/>
        <w:t>upozorňuje na skutočnosť, že v niektorých členských štátoch sa lehoty na posúdenie projektov odvíjajú od zásady implicitného súhlasu za jasne vymedzených podmienok, pokiaľ sa odpoveď nevyžaduje podľa právnych predpisov EÚ alebo daného členského štátu; vyzýva členské štáty, aby preskúmali výhody a prekážky uplatňovania tejto zásady na geotermálne projekty a zvážili jej zavedenie do svojich právnych predpisov;</w:t>
      </w:r>
    </w:p>
    <w:p w:rsidR="00B66E71" w:rsidRPr="00077ED3" w:rsidRDefault="00B66E71" w:rsidP="00B66E71">
      <w:pPr>
        <w:spacing w:after="240"/>
        <w:ind w:left="567" w:hanging="567"/>
      </w:pPr>
      <w:r w:rsidRPr="00077ED3">
        <w:t>37.</w:t>
      </w:r>
      <w:r w:rsidRPr="00077ED3">
        <w:tab/>
        <w:t xml:space="preserve">vyjadruje obavu, že geotermálne projekty narážajú na zdĺhavé postupy povoľovania; naliehavo vyzýva členské štáty, aby vytvorili efektívnejšie zjednodušené a digitalizované postupy povoľovania nových geotermálnych projektov a rozšírenia jestvujúcich zariadení, a to aj zriadením jednotného kontaktného miesta – ak ešte nie je zriadené – pre celý proces povoľovania vo všetkých orgánoch a aby poskytli podporu miestnym orgánom pri zabezpečovaní primeranej kvalifikácie ich pracovných síl; domnieva sa, že tieto jednotné kontaktné miesta by mali napomáhať aj poskytovaním informácií o možnostiach financovania zhromaždených Komisiou prostredníctvom centralizovaného portálu; </w:t>
      </w:r>
    </w:p>
    <w:p w:rsidR="00B66E71" w:rsidRPr="00077ED3" w:rsidRDefault="00B66E71" w:rsidP="00B66E71">
      <w:pPr>
        <w:pStyle w:val="NormalHanging12a"/>
      </w:pPr>
      <w:r w:rsidRPr="00077ED3">
        <w:t>38.</w:t>
      </w:r>
      <w:r w:rsidRPr="00077ED3">
        <w:tab/>
        <w:t>upozorňuje na rozdiely vo využívaní geotermálnej energie v mestskom a vidieckom prostredí; upozorňuje na špecifickosť projektov geotermálneho vykurovania v mestách a vyzýva členské štáty, aby vypracovali účinnejšie a jednoduchšie postupy povoľovania projektov geotermálneho vykurovania vrátane zjednodušenia prístupu k mestským pozemkom vhodným na geotermálne zariadenia; vyzýva preto Komisiu, aby vydala odporúčania spôsobov spolupráce prevádzkovateľov distribučných sústav s miestnymi orgánmi na príprave miestnych plánov vykurovania a chladenia so zameraním na geotermálnu energiu pre ľahšie zapracovanie využívania geotermálnej energie do plánov správy miest, ako aj moderných prístupov k správe podzemných priestorov;</w:t>
      </w:r>
    </w:p>
    <w:p w:rsidR="00B66E71" w:rsidRPr="00077ED3" w:rsidRDefault="00B66E71" w:rsidP="00B66E71">
      <w:pPr>
        <w:pStyle w:val="NormalHanging12a"/>
      </w:pPr>
      <w:r w:rsidRPr="00077ED3">
        <w:t>39.</w:t>
      </w:r>
      <w:r w:rsidRPr="00077ED3">
        <w:tab/>
        <w:t>konštatuje, že rozširovanie povolení pre geotermálne zariadenia sa pre realizátorov projektov musí uľahčiť tak, aby pokrývali ťažbu surovín alebo výrobu vodíka z existujúcej kapacity v rámci toho istého prenájmu;</w:t>
      </w:r>
    </w:p>
    <w:p w:rsidR="00B66E71" w:rsidRPr="00077ED3" w:rsidRDefault="00B66E71" w:rsidP="00B66E71">
      <w:pPr>
        <w:spacing w:after="240"/>
        <w:ind w:left="567" w:hanging="567"/>
      </w:pPr>
      <w:r w:rsidRPr="00077ED3">
        <w:t>40.</w:t>
      </w:r>
      <w:r w:rsidRPr="00077ED3">
        <w:tab/>
        <w:t>vyzýva Komisiu, aby vydala usmernenia pre povoľovacie agentúry ohľadom odporúčaných postupoch pri vybavovaní žiadostí o povolenie plytkých geotermálnych zdrojov a o možných zásahoch do pitnej vody s cieľom urýchliť postup udeľovania povolení a zároveň zabezpečiť úplné uplatňovanie environmentálnych noriem;</w:t>
      </w:r>
    </w:p>
    <w:p w:rsidR="00B66E71" w:rsidRPr="00077ED3" w:rsidRDefault="00B66E71" w:rsidP="00B66E71">
      <w:pPr>
        <w:spacing w:after="240"/>
        <w:ind w:left="567" w:hanging="567"/>
      </w:pPr>
      <w:r w:rsidRPr="00077ED3">
        <w:t>41.</w:t>
      </w:r>
      <w:r w:rsidRPr="00077ED3">
        <w:tab/>
        <w:t>vyjadruje poľutovanie nad tým, že na rozdiel od iných obnoviteľných zdrojov sa na geotermálnu energiu vzťahuje analýza životného cyklu, čo je v rozpore s technologicky neutrálnym prístupom nariadenia o taxonómii</w:t>
      </w:r>
      <w:r w:rsidRPr="00077ED3">
        <w:rPr>
          <w:rStyle w:val="FootnoteReference"/>
        </w:rPr>
        <w:footnoteReference w:id="27"/>
      </w:r>
      <w:r w:rsidRPr="00077ED3">
        <w:t>, znižuje značný potenciál geotermálnej energie ako vkladu do dekarbonizácie, najmä v oblasti dodávok tepla, a v porovnaní s inými obnoviteľnými zdrojmi energie ju vystavuje rozdielnym podmienkam hospodárskej súťaže; vyzýva preto Komisiu, aby preskúmala klasifikáciu aplikácií geotermálnej energie v ustanoveniach taxonómie s cieľom postaviť geotermálne prostredie na rovnakú regulačnú úroveň, ako je veterná a solárna energia;</w:t>
      </w:r>
    </w:p>
    <w:p w:rsidR="00B66E71" w:rsidRPr="00077ED3" w:rsidRDefault="00B66E71" w:rsidP="00B66E71">
      <w:pPr>
        <w:tabs>
          <w:tab w:val="left" w:pos="567"/>
        </w:tabs>
        <w:spacing w:after="240"/>
        <w:ind w:left="567" w:hanging="567"/>
      </w:pPr>
      <w:r w:rsidRPr="00077ED3">
        <w:t>42.</w:t>
      </w:r>
      <w:r w:rsidRPr="00077ED3">
        <w:tab/>
        <w:t xml:space="preserve">zdôrazňuje, že geotermálna energia by mala mať rovnaký regulačný štatút, a to aj pri obstarávaní EÚ, ako to už je v prípade iných obnoviteľných zdrojov energie, a v dočasnom krízovom a prechodnom rámci, ako aj pri akýchkoľvek následných </w:t>
      </w:r>
      <w:r w:rsidRPr="00077ED3">
        <w:lastRenderedPageBreak/>
        <w:t>opatreniach;</w:t>
      </w:r>
    </w:p>
    <w:p w:rsidR="00B66E71" w:rsidRPr="00077ED3" w:rsidRDefault="00B66E71" w:rsidP="00B66E71">
      <w:pPr>
        <w:pStyle w:val="Normal12a24b"/>
        <w:tabs>
          <w:tab w:val="left" w:pos="567"/>
        </w:tabs>
        <w:ind w:left="567" w:hanging="567"/>
        <w:rPr>
          <w:b/>
        </w:rPr>
      </w:pPr>
      <w:r w:rsidRPr="00077ED3">
        <w:rPr>
          <w:b/>
          <w:i/>
        </w:rPr>
        <w:t>Pracovná sila, odborná príprava a kvalifikácia</w:t>
      </w:r>
    </w:p>
    <w:p w:rsidR="00B66E71" w:rsidRPr="00077ED3" w:rsidRDefault="00B66E71" w:rsidP="00B66E71">
      <w:pPr>
        <w:spacing w:after="240"/>
        <w:ind w:left="567" w:hanging="567"/>
      </w:pPr>
      <w:r w:rsidRPr="00077ED3">
        <w:t>43.</w:t>
      </w:r>
      <w:r w:rsidRPr="00077ED3">
        <w:tab/>
        <w:t>vyjadruje znepokojenie nad údajne nedoriešenými otázkami a omeškaniami pri inštalácii geotermálnych tepelných čerpadiel, vŕtaní studní a nevyhnutnom povoľovaní pre nedostatok kvalifikovaných pracovníkov; zdôrazňuje, že potreba kvalifikovaných pracovných síl sa v budúcnosti ešte zvýši, a naliehavo vyzýva členské štáty, aby v spolupráci s priemyslom a v prípade potreby s odborovými zväzmi zintenzívnili opatrenia na kvalifikáciu a rekvalifikáciu špecialistov na geotermál, keďže pre dosiahnutie cieľov nasadenia geotermálnych riešení bude nevyhnutná primeraná rezerva pracovníkov;</w:t>
      </w:r>
    </w:p>
    <w:p w:rsidR="00B66E71" w:rsidRPr="00077ED3" w:rsidRDefault="00B66E71" w:rsidP="00B66E71">
      <w:pPr>
        <w:pStyle w:val="NormalHanging12a"/>
      </w:pPr>
      <w:r w:rsidRPr="00077ED3">
        <w:t>44.</w:t>
      </w:r>
      <w:r w:rsidRPr="00077ED3">
        <w:tab/>
        <w:t>vyzýva členské štáty, aby zabezpečili, že najmä pre subjekty, ktoré inštalujú malé plytké geotermálne systémy a tepelné čerpadlá, budú k dispozícii systémy certifikácie alebo rovnocenné kvalifikačné systémy;</w:t>
      </w:r>
    </w:p>
    <w:p w:rsidR="00B66E71" w:rsidRPr="00077ED3" w:rsidRDefault="00B66E71" w:rsidP="00B66E71">
      <w:pPr>
        <w:pStyle w:val="NormalHanging12a"/>
      </w:pPr>
      <w:r w:rsidRPr="00077ED3">
        <w:t>45.</w:t>
      </w:r>
      <w:r w:rsidRPr="00077ED3">
        <w:tab/>
        <w:t>konštatuje, že geotermálnej energii je venovaný len obmedzený počet vysokoškolských kurzov a tie sú krátke a nepovinné, pričom väčšina kurzov v ponuke sa venuje len základným zručnostiam; odporúča preto členským štátom, aby s cieľom aktualizovať a posilniť špecializácie na geotermálnu energiu a primerane vyškoliť budúce generácie pracovníkov v tomto odvetví spolupracovali so vzdelávacími zariadeniami; víta projekty s podporou programu Erasmus+, ktorých cieľom je odstrániť nedostatok kvalifikovaných mladých absolventov v hodnotovom reťazci geotermálnej energie, ako napríklad program Geo3En, ktorý má v rámci programu Erasmus Mundus položiť základy budúceho magisterského štúdia geotermálneho inžinierstva; zdôrazňuje potrebu geotermálneho odvetvia zvyšovať informovanosť študentov a vyučujúcich o geotermálnom odvetví a kariérnych možnostiach, ktoré ponúka;</w:t>
      </w:r>
    </w:p>
    <w:p w:rsidR="00B66E71" w:rsidRPr="00077ED3" w:rsidRDefault="00B66E71" w:rsidP="00B66E71">
      <w:pPr>
        <w:spacing w:after="240"/>
        <w:ind w:left="567" w:hanging="567"/>
        <w:rPr>
          <w:b/>
          <w:i/>
        </w:rPr>
      </w:pPr>
      <w:r w:rsidRPr="00077ED3">
        <w:rPr>
          <w:b/>
          <w:i/>
        </w:rPr>
        <w:t>Rozvoj technológie</w:t>
      </w:r>
    </w:p>
    <w:p w:rsidR="00B66E71" w:rsidRPr="00077ED3" w:rsidRDefault="00B66E71" w:rsidP="00B66E71">
      <w:pPr>
        <w:spacing w:after="240"/>
        <w:ind w:left="567" w:hanging="567"/>
      </w:pPr>
      <w:r w:rsidRPr="00077ED3">
        <w:t>46.</w:t>
      </w:r>
      <w:r w:rsidRPr="00077ED3">
        <w:tab/>
        <w:t>zdôrazňuje, že hoci EÚ je lídrom v oblasti geotermálneho výskumu, vývoja, patentov s vysokou hodnotou, publikácií a výroby, na zachovanie tohto postavenia sú potrebné podporné opatrenia pre geotermálne technológie novej generácie na európskej a vnútroštátnej úrovni, najmä pokiaľ ide o geotermálne skladovanie a priemyselné aplikácie;</w:t>
      </w:r>
    </w:p>
    <w:p w:rsidR="00B66E71" w:rsidRPr="00077ED3" w:rsidRDefault="00B66E71" w:rsidP="00B66E71">
      <w:pPr>
        <w:spacing w:after="240"/>
        <w:ind w:left="567" w:hanging="567"/>
      </w:pPr>
      <w:r w:rsidRPr="00077ED3">
        <w:t>47.</w:t>
      </w:r>
      <w:r w:rsidRPr="00077ED3">
        <w:tab/>
        <w:t>konštatuje, že do výskumu a vývoja v oblasti geotermálnej energie bolo investovaných podstatne menej finančných prostriedkov ako do iných odvetví, pričom z inovačného fondu boli doteraz podporené len dva projekty v oblasti geotermálnej energie; vyzýva preto Komisiu, aby podporovala investície do výskumu a vývoja v oblasti geotermálnych technológií, ako je vývoj spoľahlivej technológie čerpacích staníc a nových vrtných techník;</w:t>
      </w:r>
    </w:p>
    <w:p w:rsidR="00B66E71" w:rsidRPr="00077ED3" w:rsidRDefault="00B66E71" w:rsidP="00B66E71">
      <w:pPr>
        <w:spacing w:after="240"/>
        <w:ind w:left="567" w:hanging="567"/>
      </w:pPr>
      <w:r w:rsidRPr="00077ED3">
        <w:t>48.</w:t>
      </w:r>
      <w:r w:rsidRPr="00077ED3">
        <w:tab/>
        <w:t>zdôrazňuje najmä význam projektov podzemných prečerpávacích vodných elektrární a uskladňovania tepla; vyzýva Komisiu a členské štáty, aby podporovali výskum a vývoj týchto riešení a realizovali rozsiahle pilotné zariadenia; žiada o širšiu podporu týchto projektov v rámci výziev Inovačného fondu EÚ a programu Horizont Európa, a to najmä projektov v priestoroch vyradených baní a lomov premenených na vodné nádrže, pretože toto riešenie môže byť významným prvkom rozvoja dekarbonizovaných systémov elektrickej energie;</w:t>
      </w:r>
    </w:p>
    <w:p w:rsidR="00B66E71" w:rsidRPr="00077ED3" w:rsidRDefault="00B66E71" w:rsidP="00B66E71">
      <w:pPr>
        <w:pStyle w:val="NormalHanging12a"/>
      </w:pPr>
      <w:r w:rsidRPr="00077ED3">
        <w:lastRenderedPageBreak/>
        <w:t>49.</w:t>
      </w:r>
      <w:r w:rsidRPr="00077ED3">
        <w:tab/>
        <w:t>zdôrazňuje, že niektoré členské štáty vyjadrili obavy z nesúladu niektorých dovážaných tepelných čerpadiel s ich deklarovanou energetickou účinnosťou; zdôrazňuje, že pri revízii pravidiel pre štítky s označením energetického ekodizajnu by posudzovanie zhody treťou stranou (namiesto vlastného vyhlásenia) malo byť predmetom diskusie;</w:t>
      </w:r>
    </w:p>
    <w:p w:rsidR="00B66E71" w:rsidRPr="00077ED3" w:rsidRDefault="00B66E71" w:rsidP="00B66E71">
      <w:pPr>
        <w:pStyle w:val="Normal12a24b"/>
      </w:pPr>
      <w:r w:rsidRPr="00077ED3">
        <w:rPr>
          <w:rStyle w:val="BoldItalic"/>
        </w:rPr>
        <w:t>Transformácia území</w:t>
      </w:r>
    </w:p>
    <w:p w:rsidR="00B66E71" w:rsidRPr="00077ED3" w:rsidRDefault="00B66E71" w:rsidP="00B66E71">
      <w:pPr>
        <w:spacing w:after="240"/>
        <w:ind w:left="567" w:hanging="567"/>
      </w:pPr>
      <w:r w:rsidRPr="00077ED3">
        <w:t>50.</w:t>
      </w:r>
      <w:r w:rsidRPr="00077ED3">
        <w:tab/>
        <w:t>zdôrazňuje, že využívanie geotermálneho potenciálu najmä pre diaľkové vykurovanie je jedným z prírodných zdrojov, ktorý v postihnutých oblastiach môže prispieť k spravodlivej energetickej transformácii kompenzáciou strát pracovných príležitostí, keďže bane a iné ťažobné zariadenia sa zatvárajú, odstránením energetickej chudoby a posilňovaním sebestačnosť miestnych komunít a ich správnych orgánov znižovaním ich závislosti od dovozu energie;</w:t>
      </w:r>
    </w:p>
    <w:p w:rsidR="00B66E71" w:rsidRPr="00077ED3" w:rsidRDefault="00B66E71" w:rsidP="00B66E71">
      <w:pPr>
        <w:pStyle w:val="NormalHanging12a"/>
      </w:pPr>
      <w:r w:rsidRPr="00077ED3">
        <w:t>51.</w:t>
      </w:r>
      <w:r w:rsidRPr="00077ED3">
        <w:tab/>
        <w:t>vyjadruje poľutovanie nad tým, že potenciál opätovného využitia geotermálnych aplikácií vo vyčerpaných, opustených a vyradených ložiskách uhľovodíkov, ako aj ropných a plynových vrtoch, nie je plne využitý;</w:t>
      </w:r>
    </w:p>
    <w:p w:rsidR="00B66E71" w:rsidRPr="00077ED3" w:rsidRDefault="00B66E71" w:rsidP="00B66E71">
      <w:pPr>
        <w:spacing w:after="240"/>
        <w:ind w:left="567" w:hanging="567"/>
      </w:pPr>
      <w:r w:rsidRPr="00077ED3">
        <w:t>52.</w:t>
      </w:r>
      <w:r w:rsidRPr="00077ED3">
        <w:tab/>
        <w:t>upozorňuje na existujúce projekty na zmenu účelu vyradených baní, kde je technológia uskladňovania tepelnej energie použitá v kavernách schopná zabezpečiť vykurovanie alebo chladenie; berie na vedomie prípravu projektov, ktoré na uskladňovanie energie plánujú využívať geotermálne zásobníky energie; berie na vedomie súčasné projekty na zmenu účelu vyradených ropných a plynových vrtov na geotermálne využitie, čím sa výrazne znížia riziká prieskumov a náklady na vŕtanie;</w:t>
      </w:r>
    </w:p>
    <w:p w:rsidR="00B66E71" w:rsidRPr="00077ED3" w:rsidRDefault="00B66E71" w:rsidP="00B66E71">
      <w:pPr>
        <w:spacing w:after="240"/>
        <w:ind w:left="567" w:hanging="567"/>
      </w:pPr>
      <w:r w:rsidRPr="00077ED3">
        <w:t>53.</w:t>
      </w:r>
      <w:r w:rsidRPr="00077ED3">
        <w:tab/>
        <w:t>konštatuje, že mnohé z týchto projektov realizuje odvetvie fosílnych palív, ktorý ich považuje za príležitosť zúčastniť sa energetickej transformácie, a že toto odvetvie treba ešte výraznejšie a skoro zapojiť do prieskumu potenciálu geotermálnej energie; zdôrazňuje, že včasné posúdenie zdrojov, kým sú bane ešte prístupné, zabezpečí efektívnejší rozvoj ich alternatívneho využitia; konštatuje, že by sa mal náležite zohľadniť režim zodpovednosti;</w:t>
      </w:r>
    </w:p>
    <w:p w:rsidR="00B66E71" w:rsidRPr="00077ED3" w:rsidRDefault="00B66E71" w:rsidP="00B66E71">
      <w:pPr>
        <w:pStyle w:val="NormalHanging12a"/>
      </w:pPr>
      <w:r w:rsidRPr="00077ED3">
        <w:t>54.</w:t>
      </w:r>
      <w:r w:rsidRPr="00077ED3">
        <w:tab/>
        <w:t>vyzýva členské štáty, aby využili súčasné možnosti európskeho financovania na podporu rekvalifikácie pracovných síl v transformujúcich sa oblastiach so zámerom využiť pracovné príležitosti súvisiace s geotermálnymi projektmi; konštatuje, že v geotermálnej energetike možno uplatniť kvalifikácie pre ropný a plynárenský priemysel a že tam môžu byť veľmi hodnotné; zdôrazňuje preto potrebu prilákať relevantných pracovníkov do geotermálneho odvetvia a podporiť ich, a to aj vytvorením stimulov a programov odbornej prípravy;</w:t>
      </w:r>
    </w:p>
    <w:p w:rsidR="00B66E71" w:rsidRPr="00077ED3" w:rsidRDefault="00B66E71" w:rsidP="00B66E71">
      <w:pPr>
        <w:spacing w:after="240"/>
        <w:ind w:left="567" w:hanging="567"/>
      </w:pPr>
      <w:r w:rsidRPr="00077ED3">
        <w:t>55.</w:t>
      </w:r>
      <w:r w:rsidRPr="00077ED3">
        <w:tab/>
        <w:t>upozorňuje na špecifické potreby najvzdialenejších regiónov pri rozvoji obnoviteľných zdrojov energie podľa ich geografických, geologických a meteorologických charakteristík; poukazuje na to, že vzhľadom na svoju geografickú odľahlosť nie sú tieto regióny napojené na európske energetické siete; konštatuje, že veľkú časť najvzdialenejších regiónov tvoria vulkanické územia, ktoré predstavujú vysoký potenciál pre výrobu povrchovej aj hlbinnej geotermálnej energie; zdôrazňuje zásadnú úlohu, ktorú môže geotermálna energia zohrávať v týchto regiónoch na zaručenie ich energetickej nezávislosti;</w:t>
      </w:r>
    </w:p>
    <w:p w:rsidR="00B66E71" w:rsidRPr="00077ED3" w:rsidRDefault="00B66E71" w:rsidP="00B66E71">
      <w:pPr>
        <w:spacing w:before="360" w:after="240"/>
        <w:rPr>
          <w:b/>
          <w:i/>
        </w:rPr>
      </w:pPr>
      <w:r w:rsidRPr="00077ED3">
        <w:rPr>
          <w:b/>
          <w:i/>
        </w:rPr>
        <w:t>Viditeľnosť a akceptácia verejnosti</w:t>
      </w:r>
    </w:p>
    <w:p w:rsidR="00B66E71" w:rsidRPr="00077ED3" w:rsidRDefault="00B66E71" w:rsidP="00B66E71">
      <w:pPr>
        <w:spacing w:after="240"/>
        <w:ind w:left="567" w:hanging="567"/>
      </w:pPr>
      <w:r w:rsidRPr="00077ED3">
        <w:lastRenderedPageBreak/>
        <w:t>56.</w:t>
      </w:r>
      <w:r w:rsidRPr="00077ED3">
        <w:tab/>
        <w:t>upozorňuje na online mapovanie jestvujúcich geotermálnych zariadení v danom meste alebo regióne ako osvedčený postup, ktorým sa geotermálne riešenia môžu viac zviditeľniť, a tak pomôcť s podporou verejných a súkromných investičných rozhodnutí;</w:t>
      </w:r>
    </w:p>
    <w:p w:rsidR="00B66E71" w:rsidRPr="00077ED3" w:rsidRDefault="00B66E71" w:rsidP="00B66E71">
      <w:pPr>
        <w:pStyle w:val="NormalHanging12a"/>
      </w:pPr>
      <w:r w:rsidRPr="00077ED3">
        <w:t>57.</w:t>
      </w:r>
      <w:r w:rsidRPr="00077ED3">
        <w:tab/>
        <w:t>konštatuje, že problematickou naďalej ostáva akceptácia geotermálnych projektov zo strany verejnosti, najmä na základe environmentálnych obáv, ako je možný zásah do podzemných vôd, nekondenzovateľné emisie plynov, nadmerné využívanie vodných zdrojov a seizmická činnosť; pripomína význam zachovania prísnych environmentálnych a vedeckých noriem vo všetkých fázach projektov geotermálnej energetiky a uplatňovania udržateľného prístupu k posudzovaniu životného cyklu; zdôrazňuje, že prísne dodržiavanie týchto požiadaviek, transparentnosť investícií, väčšie zapojenie zainteresovaných strán a účasť miestnych komunít do jednotlivých etáp plánovania a realizácie môžu slúžiť ako účinná odpoveď na obavy verejnosti a pri prekonávaní nedôvery; vyzýva Komisiu, aby v spolupráci s geotermálnym odvetvím a členskými štátmi vypracovala usmernenia a odporúčané postupy spolupráce realizátorov projektov a miestnych orgánov a komunít pri budovaní dôvery, posilňovaní podpory a vytváraní vzájomne prospešných vzťahov;</w:t>
      </w:r>
    </w:p>
    <w:p w:rsidR="00B66E71" w:rsidRPr="00077ED3" w:rsidRDefault="00B66E71" w:rsidP="00B66E71">
      <w:pPr>
        <w:spacing w:after="240"/>
        <w:ind w:left="567" w:hanging="567"/>
        <w:rPr>
          <w:b/>
          <w:i/>
        </w:rPr>
      </w:pPr>
      <w:r w:rsidRPr="00077ED3">
        <w:rPr>
          <w:b/>
          <w:i/>
        </w:rPr>
        <w:t>Medzinárodná spolupráca</w:t>
      </w:r>
    </w:p>
    <w:p w:rsidR="00B66E71" w:rsidRPr="00077ED3" w:rsidRDefault="00B66E71" w:rsidP="00B66E71">
      <w:pPr>
        <w:spacing w:after="240"/>
        <w:ind w:left="567" w:hanging="567"/>
      </w:pPr>
      <w:r w:rsidRPr="00077ED3">
        <w:t>58.</w:t>
      </w:r>
      <w:r w:rsidRPr="00077ED3">
        <w:tab/>
        <w:t>zdôrazňuje potrebu výmeny odporúčaných postupov, technologického know-how, výsledkov výskumu a inovácií v oblasti geotermálnych technológií s partnerskými krajinami a organizáciami, ktoré už vyvinuli hlbokú a povrchovú geotermálnu energiu vo väčšom rozsahu alebo práve realizujú ambiciózne plány rýchleho rastu geotermálnej energetiky;</w:t>
      </w:r>
    </w:p>
    <w:p w:rsidR="00B66E71" w:rsidRPr="00077ED3" w:rsidRDefault="00B66E71" w:rsidP="00B66E71">
      <w:pPr>
        <w:spacing w:after="240"/>
        <w:ind w:left="567" w:hanging="567"/>
      </w:pPr>
      <w:r w:rsidRPr="00077ED3">
        <w:t>59.</w:t>
      </w:r>
      <w:r w:rsidRPr="00077ED3">
        <w:tab/>
        <w:t>zdôrazňuje význam začlenenia geotermálnej energie do programu spolupráce s rozvojovými krajinami v záujme prenosu environmentálne vhodných technológií, výmeny poznatkov a budovania kapacít na uspokojenie rastúceho dopytu po energii;</w:t>
      </w:r>
    </w:p>
    <w:p w:rsidR="00607BB2" w:rsidRPr="00077ED3" w:rsidRDefault="00607BB2" w:rsidP="00607BB2">
      <w:pPr>
        <w:widowControl/>
        <w:spacing w:after="240"/>
        <w:jc w:val="center"/>
      </w:pPr>
      <w:r w:rsidRPr="00077ED3">
        <w:t>°</w:t>
      </w:r>
    </w:p>
    <w:p w:rsidR="00607BB2" w:rsidRPr="00077ED3" w:rsidRDefault="00607BB2" w:rsidP="00607BB2">
      <w:pPr>
        <w:widowControl/>
        <w:spacing w:after="240"/>
        <w:jc w:val="center"/>
      </w:pPr>
      <w:r w:rsidRPr="00077ED3">
        <w:t>°     °</w:t>
      </w:r>
    </w:p>
    <w:p w:rsidR="00B66E71" w:rsidRPr="00077ED3" w:rsidRDefault="00B66E71" w:rsidP="00B66E71">
      <w:pPr>
        <w:pStyle w:val="NormalHanging12a"/>
      </w:pPr>
      <w:r w:rsidRPr="00077ED3">
        <w:t>60.</w:t>
      </w:r>
      <w:r w:rsidRPr="00077ED3">
        <w:tab/>
        <w:t>poveruje svoju predsedníčku, aby postúpila toto uznesenie Rade a Komisii.</w:t>
      </w:r>
    </w:p>
    <w:sectPr w:rsidR="00B66E71" w:rsidRPr="00077ED3" w:rsidSect="000157C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57DF" w:rsidRPr="000157CD" w:rsidRDefault="007C57DF">
      <w:r w:rsidRPr="000157CD">
        <w:separator/>
      </w:r>
    </w:p>
  </w:endnote>
  <w:endnote w:type="continuationSeparator" w:id="0">
    <w:p w:rsidR="007C57DF" w:rsidRPr="000157CD" w:rsidRDefault="007C57DF">
      <w:r w:rsidRPr="000157C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57C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57C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57C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57DF" w:rsidRPr="000157CD" w:rsidRDefault="007C57DF">
      <w:r w:rsidRPr="000157CD">
        <w:separator/>
      </w:r>
    </w:p>
  </w:footnote>
  <w:footnote w:type="continuationSeparator" w:id="0">
    <w:p w:rsidR="007C57DF" w:rsidRPr="000157CD" w:rsidRDefault="007C57DF">
      <w:r w:rsidRPr="000157CD">
        <w:continuationSeparator/>
      </w:r>
    </w:p>
  </w:footnote>
  <w:footnote w:id="1">
    <w:p w:rsidR="00B66E71" w:rsidRPr="000157CD" w:rsidRDefault="00B66E71" w:rsidP="000157CD">
      <w:pPr>
        <w:pStyle w:val="FootnoteText"/>
        <w:ind w:left="567" w:hanging="567"/>
        <w:rPr>
          <w:sz w:val="24"/>
          <w:lang w:val="sk-SK"/>
        </w:rPr>
      </w:pPr>
      <w:r w:rsidRPr="000157CD">
        <w:rPr>
          <w:rStyle w:val="FootnoteReference"/>
          <w:sz w:val="24"/>
          <w:lang w:val="sk-SK"/>
        </w:rPr>
        <w:footnoteRef/>
      </w:r>
      <w:r w:rsidR="000157CD" w:rsidRPr="000157CD">
        <w:rPr>
          <w:sz w:val="24"/>
          <w:lang w:val="sk-SK"/>
        </w:rPr>
        <w:t xml:space="preserve"> </w:t>
      </w:r>
      <w:r w:rsidR="000157CD" w:rsidRPr="000157CD">
        <w:rPr>
          <w:sz w:val="24"/>
          <w:lang w:val="sk-SK"/>
        </w:rPr>
        <w:tab/>
      </w:r>
      <w:hyperlink r:id="rId1" w:history="1">
        <w:r w:rsidRPr="000157CD">
          <w:rPr>
            <w:rStyle w:val="Hyperlink"/>
            <w:sz w:val="24"/>
            <w:lang w:val="sk-SK"/>
          </w:rPr>
          <w:t>Ú. v. EÚ L 243, 9.7.2021, s. 1.</w:t>
        </w:r>
      </w:hyperlink>
    </w:p>
  </w:footnote>
  <w:footnote w:id="2">
    <w:p w:rsidR="00B66E71" w:rsidRPr="000157CD" w:rsidRDefault="00B66E71" w:rsidP="000157CD">
      <w:pPr>
        <w:pStyle w:val="FootnoteText"/>
        <w:ind w:left="567" w:hanging="567"/>
        <w:rPr>
          <w:sz w:val="24"/>
          <w:lang w:val="sk-SK"/>
        </w:rPr>
      </w:pPr>
      <w:r w:rsidRPr="000157CD">
        <w:rPr>
          <w:rStyle w:val="FootnoteReference"/>
          <w:sz w:val="24"/>
          <w:lang w:val="sk-SK"/>
        </w:rPr>
        <w:footnoteRef/>
      </w:r>
      <w:r w:rsidR="000157CD" w:rsidRPr="000157CD">
        <w:rPr>
          <w:sz w:val="24"/>
          <w:lang w:val="sk-SK"/>
        </w:rPr>
        <w:t xml:space="preserve"> </w:t>
      </w:r>
      <w:r w:rsidR="000157CD" w:rsidRPr="000157CD">
        <w:rPr>
          <w:sz w:val="24"/>
          <w:lang w:val="sk-SK"/>
        </w:rPr>
        <w:tab/>
      </w:r>
      <w:r w:rsidR="00E20FA8">
        <w:fldChar w:fldCharType="begin"/>
      </w:r>
      <w:r w:rsidR="00E20FA8" w:rsidRPr="00E20FA8">
        <w:rPr>
          <w:lang w:val="es-ES"/>
        </w:rPr>
        <w:instrText xml:space="preserve"> HYPERLINK "http://data.europa.eu/eli/dir/2023/2413/oj" </w:instrText>
      </w:r>
      <w:r w:rsidR="00E20FA8">
        <w:fldChar w:fldCharType="separate"/>
      </w:r>
      <w:r w:rsidRPr="000157CD">
        <w:rPr>
          <w:rStyle w:val="Hyperlink"/>
          <w:sz w:val="24"/>
          <w:lang w:val="sk-SK"/>
        </w:rPr>
        <w:t xml:space="preserve">Ú. v. EÚ L 2023/2413, </w:t>
      </w:r>
      <w:r w:rsidR="006C0501">
        <w:rPr>
          <w:rStyle w:val="Hyperlink"/>
          <w:sz w:val="24"/>
          <w:lang w:val="sk-SK"/>
        </w:rPr>
        <w:t>31</w:t>
      </w:r>
      <w:r w:rsidRPr="000157CD">
        <w:rPr>
          <w:rStyle w:val="Hyperlink"/>
          <w:sz w:val="24"/>
          <w:lang w:val="sk-SK"/>
        </w:rPr>
        <w:t>.1</w:t>
      </w:r>
      <w:r w:rsidR="006C0501">
        <w:rPr>
          <w:rStyle w:val="Hyperlink"/>
          <w:sz w:val="24"/>
          <w:lang w:val="sk-SK"/>
        </w:rPr>
        <w:t>0</w:t>
      </w:r>
      <w:r w:rsidRPr="000157CD">
        <w:rPr>
          <w:rStyle w:val="Hyperlink"/>
          <w:sz w:val="24"/>
          <w:lang w:val="sk-SK"/>
        </w:rPr>
        <w:t>.202</w:t>
      </w:r>
      <w:r w:rsidR="006C0501">
        <w:rPr>
          <w:rStyle w:val="Hyperlink"/>
          <w:sz w:val="24"/>
          <w:lang w:val="sk-SK"/>
        </w:rPr>
        <w:t>3</w:t>
      </w:r>
      <w:r w:rsidR="00E20FA8">
        <w:rPr>
          <w:rStyle w:val="Hyperlink"/>
          <w:sz w:val="24"/>
          <w:lang w:val="sk-SK"/>
        </w:rPr>
        <w:fldChar w:fldCharType="end"/>
      </w:r>
      <w:r w:rsidRPr="000157CD">
        <w:rPr>
          <w:sz w:val="24"/>
          <w:lang w:val="sk-SK"/>
        </w:rPr>
        <w:t>.</w:t>
      </w:r>
    </w:p>
  </w:footnote>
  <w:footnote w:id="3">
    <w:p w:rsidR="00B66E71" w:rsidRPr="000157CD" w:rsidRDefault="00B66E71" w:rsidP="000157CD">
      <w:pPr>
        <w:pStyle w:val="FootnoteText"/>
        <w:ind w:left="567" w:hanging="567"/>
        <w:rPr>
          <w:sz w:val="24"/>
          <w:lang w:val="sk-SK"/>
        </w:rPr>
      </w:pPr>
      <w:r w:rsidRPr="000157CD">
        <w:rPr>
          <w:rStyle w:val="FootnoteReference"/>
          <w:sz w:val="24"/>
          <w:lang w:val="sk-SK"/>
        </w:rPr>
        <w:footnoteRef/>
      </w:r>
      <w:r w:rsidR="000157CD" w:rsidRPr="000157CD">
        <w:rPr>
          <w:sz w:val="24"/>
          <w:lang w:val="sk-SK"/>
        </w:rPr>
        <w:t xml:space="preserve"> </w:t>
      </w:r>
      <w:r w:rsidR="000157CD" w:rsidRPr="000157CD">
        <w:rPr>
          <w:sz w:val="24"/>
          <w:lang w:val="sk-SK"/>
        </w:rPr>
        <w:tab/>
      </w:r>
      <w:r w:rsidRPr="000157CD">
        <w:rPr>
          <w:sz w:val="24"/>
          <w:lang w:val="sk-SK"/>
        </w:rPr>
        <w:t>Prijaté texty, P9_TA(2023)0068.</w:t>
      </w:r>
    </w:p>
  </w:footnote>
  <w:footnote w:id="4">
    <w:p w:rsidR="00B66E71" w:rsidRPr="000157CD" w:rsidRDefault="00B66E71" w:rsidP="000157CD">
      <w:pPr>
        <w:pStyle w:val="FootnoteText"/>
        <w:ind w:left="567" w:hanging="567"/>
        <w:rPr>
          <w:sz w:val="24"/>
          <w:lang w:val="sk-SK"/>
        </w:rPr>
      </w:pPr>
      <w:r w:rsidRPr="000157CD">
        <w:rPr>
          <w:rStyle w:val="FootnoteReference"/>
          <w:sz w:val="24"/>
          <w:lang w:val="sk-SK"/>
        </w:rPr>
        <w:footnoteRef/>
      </w:r>
      <w:r w:rsidR="000157CD" w:rsidRPr="000157CD">
        <w:rPr>
          <w:sz w:val="24"/>
          <w:lang w:val="sk-SK"/>
        </w:rPr>
        <w:t xml:space="preserve"> </w:t>
      </w:r>
      <w:r w:rsidR="000157CD" w:rsidRPr="000157CD">
        <w:rPr>
          <w:sz w:val="24"/>
          <w:lang w:val="sk-SK"/>
        </w:rPr>
        <w:tab/>
      </w:r>
      <w:r w:rsidRPr="000157CD">
        <w:rPr>
          <w:sz w:val="24"/>
          <w:lang w:val="sk-SK"/>
        </w:rPr>
        <w:t>Prijaté texty, P9_TA(2023)0325.</w:t>
      </w:r>
    </w:p>
  </w:footnote>
  <w:footnote w:id="5">
    <w:p w:rsidR="00B66E71" w:rsidRPr="000157CD" w:rsidRDefault="00B66E71" w:rsidP="000157CD">
      <w:pPr>
        <w:pStyle w:val="FootnoteText"/>
        <w:ind w:left="567" w:hanging="567"/>
        <w:rPr>
          <w:sz w:val="24"/>
          <w:lang w:val="sk-SK"/>
        </w:rPr>
      </w:pPr>
      <w:r w:rsidRPr="000157CD">
        <w:rPr>
          <w:rStyle w:val="FootnoteReference"/>
          <w:sz w:val="24"/>
          <w:lang w:val="sk-SK"/>
        </w:rPr>
        <w:footnoteRef/>
      </w:r>
      <w:r w:rsidR="000157CD" w:rsidRPr="000157CD">
        <w:rPr>
          <w:sz w:val="24"/>
          <w:lang w:val="sk-SK"/>
        </w:rPr>
        <w:t xml:space="preserve"> </w:t>
      </w:r>
      <w:r w:rsidR="000157CD" w:rsidRPr="000157CD">
        <w:rPr>
          <w:sz w:val="24"/>
          <w:lang w:val="sk-SK"/>
        </w:rPr>
        <w:tab/>
      </w:r>
      <w:r w:rsidRPr="000157CD">
        <w:rPr>
          <w:sz w:val="24"/>
          <w:lang w:val="sk-SK"/>
        </w:rPr>
        <w:t>Prijaté texty, P9_TA(2023)0401.</w:t>
      </w:r>
    </w:p>
  </w:footnote>
  <w:footnote w:id="6">
    <w:p w:rsidR="00B66E71" w:rsidRPr="000157CD" w:rsidRDefault="00B66E71" w:rsidP="000157CD">
      <w:pPr>
        <w:pStyle w:val="FootnoteText"/>
        <w:ind w:left="567" w:hanging="567"/>
        <w:rPr>
          <w:sz w:val="24"/>
          <w:lang w:val="sk-SK"/>
        </w:rPr>
      </w:pPr>
      <w:r w:rsidRPr="000157CD">
        <w:rPr>
          <w:rStyle w:val="FootnoteReference"/>
          <w:sz w:val="24"/>
          <w:lang w:val="sk-SK"/>
        </w:rPr>
        <w:footnoteRef/>
      </w:r>
      <w:r w:rsidR="000157CD" w:rsidRPr="000157CD">
        <w:rPr>
          <w:sz w:val="24"/>
          <w:lang w:val="sk-SK"/>
        </w:rPr>
        <w:t xml:space="preserve"> </w:t>
      </w:r>
      <w:r w:rsidR="000157CD" w:rsidRPr="000157CD">
        <w:rPr>
          <w:sz w:val="24"/>
          <w:lang w:val="sk-SK"/>
        </w:rPr>
        <w:tab/>
      </w:r>
      <w:r w:rsidRPr="000157CD">
        <w:rPr>
          <w:sz w:val="24"/>
          <w:lang w:val="sk-SK"/>
        </w:rPr>
        <w:t>Prijaté texty, P9_TA(2022)0441.</w:t>
      </w:r>
    </w:p>
  </w:footnote>
  <w:footnote w:id="7">
    <w:p w:rsidR="00B66E71" w:rsidRPr="000157CD" w:rsidRDefault="00B66E71" w:rsidP="000157CD">
      <w:pPr>
        <w:pStyle w:val="FootnoteText"/>
        <w:ind w:left="567" w:hanging="567"/>
        <w:rPr>
          <w:sz w:val="24"/>
          <w:lang w:val="sk-SK"/>
        </w:rPr>
      </w:pPr>
      <w:r w:rsidRPr="000157CD">
        <w:rPr>
          <w:rStyle w:val="FootnoteReference"/>
          <w:sz w:val="24"/>
          <w:lang w:val="sk-SK"/>
        </w:rPr>
        <w:footnoteRef/>
      </w:r>
      <w:r w:rsidR="000157CD" w:rsidRPr="000157CD">
        <w:rPr>
          <w:sz w:val="24"/>
          <w:lang w:val="sk-SK"/>
        </w:rPr>
        <w:t xml:space="preserve"> </w:t>
      </w:r>
      <w:r w:rsidR="000157CD" w:rsidRPr="000157CD">
        <w:rPr>
          <w:sz w:val="24"/>
          <w:lang w:val="sk-SK"/>
        </w:rPr>
        <w:tab/>
      </w:r>
      <w:r w:rsidRPr="000157CD">
        <w:rPr>
          <w:sz w:val="24"/>
          <w:lang w:val="sk-SK"/>
        </w:rPr>
        <w:t xml:space="preserve">Nariadenie Európskeho parlamentu a Rady (EÚ) 2019/2088 z 27. novembra 2019 o zverejňovaní informácií o udržateľnosti v sektore finančných služieb </w:t>
      </w:r>
      <w:r w:rsidR="00E20FA8">
        <w:fldChar w:fldCharType="begin"/>
      </w:r>
      <w:r w:rsidR="00E20FA8" w:rsidRPr="00E20FA8">
        <w:rPr>
          <w:lang w:val="sk-SK"/>
        </w:rPr>
        <w:instrText xml:space="preserve"> HYPERLINK "https://eur-lex.europa.eu/legal-content/EN/TXT/?uri=celex:32019R2088" </w:instrText>
      </w:r>
      <w:r w:rsidR="00E20FA8">
        <w:fldChar w:fldCharType="separate"/>
      </w:r>
      <w:r w:rsidRPr="000157CD">
        <w:rPr>
          <w:rStyle w:val="Hyperlink"/>
          <w:sz w:val="24"/>
          <w:lang w:val="sk-SK"/>
        </w:rPr>
        <w:t>(Ú. v. EÚ L 317, 9.12.2019, s. 1)</w:t>
      </w:r>
      <w:r w:rsidR="00E20FA8">
        <w:rPr>
          <w:rStyle w:val="Hyperlink"/>
          <w:sz w:val="24"/>
          <w:lang w:val="sk-SK"/>
        </w:rPr>
        <w:fldChar w:fldCharType="end"/>
      </w:r>
      <w:r w:rsidRPr="000157CD">
        <w:rPr>
          <w:sz w:val="24"/>
          <w:lang w:val="sk-SK"/>
        </w:rPr>
        <w:t>.</w:t>
      </w:r>
    </w:p>
  </w:footnote>
  <w:footnote w:id="8">
    <w:p w:rsidR="00B66E71" w:rsidRPr="000157CD" w:rsidRDefault="00B66E71" w:rsidP="000157CD">
      <w:pPr>
        <w:pStyle w:val="FootnoteText"/>
        <w:ind w:left="567" w:hanging="567"/>
        <w:rPr>
          <w:sz w:val="24"/>
          <w:lang w:val="sk-SK"/>
        </w:rPr>
      </w:pPr>
      <w:r w:rsidRPr="000157CD">
        <w:rPr>
          <w:rStyle w:val="FootnoteReference"/>
          <w:sz w:val="24"/>
          <w:lang w:val="sk-SK"/>
        </w:rPr>
        <w:footnoteRef/>
      </w:r>
      <w:r w:rsidR="000157CD" w:rsidRPr="000157CD">
        <w:rPr>
          <w:sz w:val="24"/>
          <w:lang w:val="sk-SK"/>
        </w:rPr>
        <w:t xml:space="preserve"> </w:t>
      </w:r>
      <w:r w:rsidR="000157CD" w:rsidRPr="000157CD">
        <w:rPr>
          <w:sz w:val="24"/>
          <w:lang w:val="sk-SK"/>
        </w:rPr>
        <w:tab/>
      </w:r>
      <w:r w:rsidR="00E20FA8">
        <w:fldChar w:fldCharType="begin"/>
      </w:r>
      <w:r w:rsidR="00E20FA8" w:rsidRPr="00E20FA8">
        <w:rPr>
          <w:lang w:val="es-ES"/>
        </w:rPr>
        <w:instrText xml:space="preserve"> HYPERLINK "http://data.europa.eu/eli/reg_del/2021/2139/oj" </w:instrText>
      </w:r>
      <w:r w:rsidR="00E20FA8">
        <w:fldChar w:fldCharType="separate"/>
      </w:r>
      <w:r w:rsidRPr="000157CD">
        <w:rPr>
          <w:rStyle w:val="Hyperlink"/>
          <w:sz w:val="24"/>
          <w:lang w:val="sk-SK"/>
        </w:rPr>
        <w:t>Ú. v. EÚ L 442, 9.12.2021, s. 1.</w:t>
      </w:r>
      <w:r w:rsidR="00E20FA8">
        <w:rPr>
          <w:rStyle w:val="Hyperlink"/>
          <w:sz w:val="24"/>
          <w:lang w:val="sk-SK"/>
        </w:rPr>
        <w:fldChar w:fldCharType="end"/>
      </w:r>
    </w:p>
  </w:footnote>
  <w:footnote w:id="9">
    <w:p w:rsidR="00B66E71" w:rsidRPr="000157CD" w:rsidRDefault="00B66E71" w:rsidP="000157CD">
      <w:pPr>
        <w:pStyle w:val="FootnoteText"/>
        <w:ind w:left="567" w:hanging="567"/>
        <w:rPr>
          <w:color w:val="0000FF"/>
          <w:sz w:val="24"/>
          <w:u w:val="single" w:color="0000FF"/>
          <w:lang w:val="sk-SK"/>
        </w:rPr>
      </w:pPr>
      <w:r w:rsidRPr="000157CD">
        <w:rPr>
          <w:rStyle w:val="FootnoteReference"/>
          <w:sz w:val="24"/>
          <w:lang w:val="sk-SK"/>
        </w:rPr>
        <w:footnoteRef/>
      </w:r>
      <w:r w:rsidR="000157CD" w:rsidRPr="000157CD">
        <w:rPr>
          <w:sz w:val="24"/>
          <w:lang w:val="sk-SK"/>
        </w:rPr>
        <w:t xml:space="preserve"> </w:t>
      </w:r>
      <w:r w:rsidR="000157CD" w:rsidRPr="000157CD">
        <w:rPr>
          <w:sz w:val="24"/>
          <w:lang w:val="sk-SK"/>
        </w:rPr>
        <w:tab/>
      </w:r>
      <w:r w:rsidR="00E20FA8">
        <w:fldChar w:fldCharType="begin"/>
      </w:r>
      <w:r w:rsidR="00E20FA8" w:rsidRPr="00E20FA8">
        <w:rPr>
          <w:lang w:val="es-ES"/>
        </w:rPr>
        <w:instrText xml:space="preserve"> HYPERLINK "https://eur-lex.europa.eu/legal-content/SK/TXT/?uri=uriserv:OJ.L_.2013.239.01.0136.01.ENG" </w:instrText>
      </w:r>
      <w:r w:rsidR="00E20FA8">
        <w:fldChar w:fldCharType="separate"/>
      </w:r>
      <w:r w:rsidRPr="000157CD">
        <w:rPr>
          <w:color w:val="0000FF"/>
          <w:sz w:val="24"/>
          <w:u w:val="single" w:color="0000FF"/>
          <w:lang w:val="sk-SK"/>
        </w:rPr>
        <w:t>Ú. v. EÚ L 239, 6.9.2013, s. 136</w:t>
      </w:r>
      <w:r w:rsidR="00E20FA8">
        <w:rPr>
          <w:color w:val="0000FF"/>
          <w:sz w:val="24"/>
          <w:u w:val="single" w:color="0000FF"/>
          <w:lang w:val="sk-SK"/>
        </w:rPr>
        <w:fldChar w:fldCharType="end"/>
      </w:r>
      <w:r w:rsidRPr="000157CD">
        <w:rPr>
          <w:sz w:val="24"/>
          <w:lang w:val="sk-SK"/>
        </w:rPr>
        <w:t>.</w:t>
      </w:r>
    </w:p>
  </w:footnote>
  <w:footnote w:id="10">
    <w:p w:rsidR="00B66E71" w:rsidRPr="000157CD" w:rsidRDefault="00B66E71" w:rsidP="000157CD">
      <w:pPr>
        <w:pStyle w:val="FootnoteText"/>
        <w:ind w:left="567" w:hanging="567"/>
        <w:rPr>
          <w:color w:val="0000FF"/>
          <w:sz w:val="24"/>
          <w:u w:val="single" w:color="0000FF"/>
          <w:lang w:val="sk-SK"/>
        </w:rPr>
      </w:pPr>
      <w:r w:rsidRPr="000157CD">
        <w:rPr>
          <w:rStyle w:val="FootnoteReference"/>
          <w:sz w:val="24"/>
          <w:lang w:val="sk-SK"/>
        </w:rPr>
        <w:footnoteRef/>
      </w:r>
      <w:r w:rsidR="000157CD" w:rsidRPr="000157CD">
        <w:rPr>
          <w:sz w:val="24"/>
          <w:lang w:val="sk-SK"/>
        </w:rPr>
        <w:t xml:space="preserve"> </w:t>
      </w:r>
      <w:r w:rsidR="000157CD" w:rsidRPr="000157CD">
        <w:rPr>
          <w:sz w:val="24"/>
          <w:lang w:val="sk-SK"/>
        </w:rPr>
        <w:tab/>
      </w:r>
      <w:r w:rsidR="00E20FA8">
        <w:fldChar w:fldCharType="begin"/>
      </w:r>
      <w:r w:rsidR="00E20FA8" w:rsidRPr="00E20FA8">
        <w:rPr>
          <w:lang w:val="es-ES"/>
        </w:rPr>
        <w:instrText xml:space="preserve"> HYPERLINK "https://eur-lex.europa.eu/legal-content/EN/TXT/?uri=uriserv:OJ.L_.2014.124.01.0001.01.ENG" </w:instrText>
      </w:r>
      <w:r w:rsidR="00E20FA8">
        <w:fldChar w:fldCharType="separate"/>
      </w:r>
      <w:r w:rsidRPr="000157CD">
        <w:rPr>
          <w:color w:val="0000FF"/>
          <w:sz w:val="24"/>
          <w:u w:val="single" w:color="0000FF"/>
          <w:lang w:val="sk-SK"/>
        </w:rPr>
        <w:t>Ú. v. EÚ L 124, 25.4.2014, s. 1</w:t>
      </w:r>
      <w:r w:rsidR="00E20FA8">
        <w:rPr>
          <w:color w:val="0000FF"/>
          <w:sz w:val="24"/>
          <w:u w:val="single" w:color="0000FF"/>
          <w:lang w:val="sk-SK"/>
        </w:rPr>
        <w:fldChar w:fldCharType="end"/>
      </w:r>
      <w:r w:rsidRPr="000157CD">
        <w:rPr>
          <w:sz w:val="24"/>
          <w:lang w:val="sk-SK"/>
        </w:rPr>
        <w:t>.</w:t>
      </w:r>
    </w:p>
  </w:footnote>
  <w:footnote w:id="11">
    <w:p w:rsidR="00B66E71" w:rsidRPr="000157CD" w:rsidRDefault="00B66E71" w:rsidP="000157CD">
      <w:pPr>
        <w:pStyle w:val="FootnoteText"/>
        <w:ind w:left="567" w:hanging="567"/>
        <w:rPr>
          <w:color w:val="0000FF"/>
          <w:sz w:val="24"/>
          <w:u w:val="single" w:color="0000FF"/>
          <w:lang w:val="sk-SK"/>
        </w:rPr>
      </w:pPr>
      <w:r w:rsidRPr="000157CD">
        <w:rPr>
          <w:rStyle w:val="FootnoteReference"/>
          <w:sz w:val="24"/>
          <w:lang w:val="sk-SK"/>
        </w:rPr>
        <w:footnoteRef/>
      </w:r>
      <w:r w:rsidR="000157CD" w:rsidRPr="000157CD">
        <w:rPr>
          <w:sz w:val="24"/>
          <w:lang w:val="sk-SK"/>
        </w:rPr>
        <w:t xml:space="preserve"> </w:t>
      </w:r>
      <w:r w:rsidR="000157CD" w:rsidRPr="000157CD">
        <w:rPr>
          <w:sz w:val="24"/>
          <w:lang w:val="sk-SK"/>
        </w:rPr>
        <w:tab/>
      </w:r>
      <w:r w:rsidR="00E20FA8">
        <w:fldChar w:fldCharType="begin"/>
      </w:r>
      <w:r w:rsidR="00E20FA8" w:rsidRPr="00E20FA8">
        <w:rPr>
          <w:lang w:val="es-ES"/>
        </w:rPr>
        <w:instrText xml:space="preserve"> HYPERLINK "https://eur-lex.europa.eu/legal-content/SK/TXT/?uri=uriserv:OJ.L_.2023.019.01.0043.01.ENG" </w:instrText>
      </w:r>
      <w:r w:rsidR="00E20FA8">
        <w:fldChar w:fldCharType="separate"/>
      </w:r>
      <w:r w:rsidRPr="000157CD">
        <w:rPr>
          <w:color w:val="0000FF"/>
          <w:sz w:val="24"/>
          <w:u w:val="single" w:color="0000FF"/>
          <w:lang w:val="sk-SK"/>
        </w:rPr>
        <w:t>Ú. v. EÚ L 19, 20.1.2023, s. 43</w:t>
      </w:r>
      <w:r w:rsidR="00E20FA8">
        <w:rPr>
          <w:color w:val="0000FF"/>
          <w:sz w:val="24"/>
          <w:u w:val="single" w:color="0000FF"/>
          <w:lang w:val="sk-SK"/>
        </w:rPr>
        <w:fldChar w:fldCharType="end"/>
      </w:r>
      <w:r w:rsidRPr="000157CD">
        <w:rPr>
          <w:sz w:val="24"/>
          <w:lang w:val="sk-SK"/>
        </w:rPr>
        <w:t>.</w:t>
      </w:r>
    </w:p>
  </w:footnote>
  <w:footnote w:id="12">
    <w:p w:rsidR="00B66E71" w:rsidRPr="000157CD" w:rsidRDefault="00B66E71" w:rsidP="000157CD">
      <w:pPr>
        <w:pStyle w:val="FootnoteText"/>
        <w:ind w:left="567" w:hanging="567"/>
        <w:rPr>
          <w:sz w:val="24"/>
          <w:lang w:val="sk-SK"/>
        </w:rPr>
      </w:pPr>
      <w:r w:rsidRPr="000157CD">
        <w:rPr>
          <w:rStyle w:val="FootnoteReference"/>
          <w:sz w:val="24"/>
          <w:lang w:val="sk-SK"/>
        </w:rPr>
        <w:footnoteRef/>
      </w:r>
      <w:r w:rsidR="000157CD" w:rsidRPr="000157CD">
        <w:rPr>
          <w:sz w:val="24"/>
          <w:lang w:val="sk-SK"/>
        </w:rPr>
        <w:t xml:space="preserve"> </w:t>
      </w:r>
      <w:r w:rsidR="000157CD" w:rsidRPr="000157CD">
        <w:rPr>
          <w:sz w:val="24"/>
          <w:lang w:val="sk-SK"/>
        </w:rPr>
        <w:tab/>
      </w:r>
      <w:r w:rsidRPr="000157CD">
        <w:rPr>
          <w:sz w:val="24"/>
          <w:lang w:val="sk-SK"/>
        </w:rPr>
        <w:t>ISBN: 978-92-9260-495-0.</w:t>
      </w:r>
    </w:p>
  </w:footnote>
  <w:footnote w:id="13">
    <w:p w:rsidR="00B66E71" w:rsidRPr="000157CD" w:rsidRDefault="00B66E71" w:rsidP="000157CD">
      <w:pPr>
        <w:pStyle w:val="FootnoteText"/>
        <w:ind w:left="567" w:hanging="567"/>
        <w:rPr>
          <w:sz w:val="24"/>
          <w:lang w:val="sk-SK"/>
        </w:rPr>
      </w:pPr>
      <w:r w:rsidRPr="000157CD">
        <w:rPr>
          <w:rStyle w:val="FootnoteReference"/>
          <w:sz w:val="24"/>
          <w:lang w:val="sk-SK"/>
        </w:rPr>
        <w:footnoteRef/>
      </w:r>
      <w:r w:rsidR="000157CD" w:rsidRPr="000157CD">
        <w:rPr>
          <w:sz w:val="24"/>
          <w:lang w:val="sk-SK"/>
        </w:rPr>
        <w:t xml:space="preserve"> </w:t>
      </w:r>
      <w:r w:rsidR="000157CD" w:rsidRPr="000157CD">
        <w:rPr>
          <w:sz w:val="24"/>
          <w:lang w:val="sk-SK"/>
        </w:rPr>
        <w:tab/>
      </w:r>
      <w:r w:rsidRPr="000157CD">
        <w:rPr>
          <w:sz w:val="24"/>
          <w:lang w:val="sk-SK"/>
        </w:rPr>
        <w:t xml:space="preserve">Bruhn, D. a kol., </w:t>
      </w:r>
      <w:r w:rsidRPr="000157CD">
        <w:rPr>
          <w:i/>
          <w:iCs/>
          <w:sz w:val="24"/>
          <w:lang w:val="sk-SK"/>
        </w:rPr>
        <w:t>Stredisko pre monitorovanie technológií čistej energie:</w:t>
      </w:r>
      <w:r w:rsidRPr="000157CD">
        <w:rPr>
          <w:i/>
          <w:sz w:val="24"/>
          <w:lang w:val="sk-SK"/>
        </w:rPr>
        <w:t xml:space="preserve"> </w:t>
      </w:r>
      <w:r w:rsidRPr="000157CD">
        <w:rPr>
          <w:i/>
          <w:iCs/>
          <w:sz w:val="24"/>
          <w:lang w:val="sk-SK"/>
        </w:rPr>
        <w:t>Deep Geothermal Heat and Power in the European Union – 2022 Status Report on Technology Development, Trends, Value Chains and Markets (Správa o stave technologického rozvoja, trendov, hodnotových reťazcov a trhov)</w:t>
      </w:r>
      <w:r w:rsidRPr="000157CD">
        <w:rPr>
          <w:sz w:val="24"/>
          <w:lang w:val="sk-SK"/>
        </w:rPr>
        <w:t>, Úrad pre vydávanie publikácií Európskej únie, Luxemburg, 2022.</w:t>
      </w:r>
    </w:p>
  </w:footnote>
  <w:footnote w:id="14">
    <w:p w:rsidR="00B66E71" w:rsidRPr="000157CD" w:rsidRDefault="00B66E71" w:rsidP="000157CD">
      <w:pPr>
        <w:pStyle w:val="FootnoteText"/>
        <w:ind w:left="567" w:hanging="567"/>
        <w:rPr>
          <w:sz w:val="24"/>
          <w:lang w:val="sk-SK"/>
        </w:rPr>
      </w:pPr>
      <w:r w:rsidRPr="000157CD">
        <w:rPr>
          <w:rStyle w:val="FootnoteReference"/>
          <w:sz w:val="24"/>
          <w:lang w:val="sk-SK"/>
        </w:rPr>
        <w:footnoteRef/>
      </w:r>
      <w:r w:rsidR="000157CD" w:rsidRPr="000157CD">
        <w:rPr>
          <w:sz w:val="24"/>
          <w:lang w:val="sk-SK"/>
        </w:rPr>
        <w:t xml:space="preserve"> </w:t>
      </w:r>
      <w:r w:rsidR="000157CD" w:rsidRPr="000157CD">
        <w:rPr>
          <w:sz w:val="24"/>
          <w:lang w:val="sk-SK"/>
        </w:rPr>
        <w:tab/>
      </w:r>
      <w:r w:rsidRPr="000157CD">
        <w:rPr>
          <w:sz w:val="24"/>
          <w:lang w:val="sk-SK"/>
        </w:rPr>
        <w:t xml:space="preserve">Georgakaki, A. a kol., </w:t>
      </w:r>
      <w:r w:rsidRPr="000157CD">
        <w:rPr>
          <w:i/>
          <w:iCs/>
          <w:sz w:val="24"/>
          <w:lang w:val="sk-SK"/>
        </w:rPr>
        <w:t>Stredisko pre monitorovanie technológií čistej energie:</w:t>
      </w:r>
      <w:r w:rsidRPr="000157CD">
        <w:rPr>
          <w:i/>
          <w:sz w:val="24"/>
          <w:lang w:val="sk-SK"/>
        </w:rPr>
        <w:t xml:space="preserve"> </w:t>
      </w:r>
      <w:r w:rsidRPr="000157CD">
        <w:rPr>
          <w:i/>
          <w:iCs/>
          <w:sz w:val="24"/>
          <w:lang w:val="sk-SK"/>
        </w:rPr>
        <w:t>Global Strategic Analysis of Clean Energy Technology in the European Union – 2022 Status Report (Globálna strategická analýza technológií čistej energie v Európskej únii – správa o stave za rok 2022),</w:t>
      </w:r>
      <w:r w:rsidRPr="000157CD">
        <w:rPr>
          <w:sz w:val="24"/>
          <w:lang w:val="sk-SK"/>
        </w:rPr>
        <w:t xml:space="preserve"> Úrad pre vydávanie publikácií Európskej únie, Luxemburg, 2022.</w:t>
      </w:r>
    </w:p>
  </w:footnote>
  <w:footnote w:id="15">
    <w:p w:rsidR="00B66E71" w:rsidRPr="000157CD" w:rsidRDefault="00B66E71" w:rsidP="000157CD">
      <w:pPr>
        <w:pStyle w:val="FootnoteText"/>
        <w:ind w:left="567" w:hanging="567"/>
        <w:rPr>
          <w:sz w:val="24"/>
          <w:lang w:val="sk-SK"/>
        </w:rPr>
      </w:pPr>
      <w:r w:rsidRPr="000157CD">
        <w:rPr>
          <w:rStyle w:val="FootnoteReference"/>
          <w:sz w:val="24"/>
          <w:lang w:val="sk-SK"/>
        </w:rPr>
        <w:footnoteRef/>
      </w:r>
      <w:r w:rsidR="000157CD" w:rsidRPr="000157CD">
        <w:rPr>
          <w:sz w:val="24"/>
          <w:lang w:val="sk-SK"/>
        </w:rPr>
        <w:t xml:space="preserve"> </w:t>
      </w:r>
      <w:r w:rsidR="000157CD" w:rsidRPr="000157CD">
        <w:rPr>
          <w:sz w:val="24"/>
          <w:lang w:val="sk-SK"/>
        </w:rPr>
        <w:tab/>
      </w:r>
      <w:r w:rsidRPr="000157CD">
        <w:rPr>
          <w:sz w:val="24"/>
          <w:lang w:val="sk-SK"/>
        </w:rPr>
        <w:t xml:space="preserve">Ernst &amp; Young, RINA Consulting S.p.A, </w:t>
      </w:r>
      <w:r w:rsidRPr="000157CD">
        <w:rPr>
          <w:i/>
          <w:iCs/>
          <w:sz w:val="24"/>
          <w:lang w:val="sk-SK"/>
        </w:rPr>
        <w:t>Vito Study on Geothermal plants and applications emissions (Štúdia Vito o emisiách z geotermálnych zariadení a aplikácií):</w:t>
      </w:r>
      <w:r w:rsidRPr="000157CD">
        <w:rPr>
          <w:i/>
          <w:sz w:val="24"/>
          <w:lang w:val="sk-SK"/>
        </w:rPr>
        <w:t xml:space="preserve"> </w:t>
      </w:r>
      <w:r w:rsidRPr="000157CD">
        <w:rPr>
          <w:i/>
          <w:iCs/>
          <w:sz w:val="24"/>
          <w:lang w:val="sk-SK"/>
        </w:rPr>
        <w:t>Prehľad a analýza,</w:t>
      </w:r>
      <w:r w:rsidRPr="000157CD">
        <w:rPr>
          <w:sz w:val="24"/>
          <w:lang w:val="sk-SK"/>
        </w:rPr>
        <w:t xml:space="preserve"> Úrad pre vydávanie publikácií Európskej únie, Luxemburg, 2020.</w:t>
      </w:r>
    </w:p>
  </w:footnote>
  <w:footnote w:id="16">
    <w:p w:rsidR="00B66E71" w:rsidRPr="000157CD" w:rsidRDefault="00B66E71" w:rsidP="000157CD">
      <w:pPr>
        <w:pStyle w:val="FootnoteText"/>
        <w:ind w:left="567" w:hanging="567"/>
        <w:rPr>
          <w:sz w:val="24"/>
          <w:lang w:val="sk-SK"/>
        </w:rPr>
      </w:pPr>
      <w:r w:rsidRPr="000157CD">
        <w:rPr>
          <w:rStyle w:val="FootnoteReference"/>
          <w:sz w:val="24"/>
          <w:lang w:val="sk-SK"/>
        </w:rPr>
        <w:footnoteRef/>
      </w:r>
      <w:r w:rsidR="000157CD" w:rsidRPr="000157CD">
        <w:rPr>
          <w:sz w:val="24"/>
          <w:lang w:val="sk-SK"/>
        </w:rPr>
        <w:t xml:space="preserve"> </w:t>
      </w:r>
      <w:r w:rsidR="000157CD" w:rsidRPr="000157CD">
        <w:rPr>
          <w:sz w:val="24"/>
          <w:lang w:val="sk-SK"/>
        </w:rPr>
        <w:tab/>
      </w:r>
      <w:r w:rsidRPr="000157CD">
        <w:rPr>
          <w:sz w:val="24"/>
          <w:lang w:val="sk-SK"/>
        </w:rPr>
        <w:t xml:space="preserve">Bacquet, A., Galindo Fernández, M., Oger, A. a kol., </w:t>
      </w:r>
      <w:r w:rsidR="00E20FA8">
        <w:fldChar w:fldCharType="begin"/>
      </w:r>
      <w:r w:rsidR="00E20FA8" w:rsidRPr="00E20FA8">
        <w:rPr>
          <w:lang w:val="sk-SK"/>
        </w:rPr>
        <w:instrText xml:space="preserve"> HYPERLINK "https://data.europa.eu/doi/10.2833/96390" </w:instrText>
      </w:r>
      <w:r w:rsidR="00E20FA8">
        <w:fldChar w:fldCharType="separate"/>
      </w:r>
      <w:r w:rsidRPr="000157CD">
        <w:rPr>
          <w:rStyle w:val="Hyperlink"/>
          <w:i/>
          <w:sz w:val="24"/>
          <w:lang w:val="sk-SK"/>
        </w:rPr>
        <w:t>Diaľkové kúrenie a chladenie v Európskej únii – Prehľad trhov a regulačných rámcov podľa revidovanej smernice o energii z obnoviteľných zdrojov.</w:t>
      </w:r>
      <w:r w:rsidR="00E20FA8">
        <w:rPr>
          <w:rStyle w:val="Hyperlink"/>
          <w:i/>
          <w:sz w:val="24"/>
          <w:lang w:val="sk-SK"/>
        </w:rPr>
        <w:fldChar w:fldCharType="end"/>
      </w:r>
      <w:hyperlink r:id="rId2" w:history="1">
        <w:r w:rsidRPr="000157CD">
          <w:rPr>
            <w:rStyle w:val="Hyperlink"/>
            <w:i/>
            <w:sz w:val="24"/>
            <w:lang w:val="sk-SK"/>
          </w:rPr>
          <w:t xml:space="preserve"> Prílohy 6 a 7 – konečná verzia</w:t>
        </w:r>
      </w:hyperlink>
      <w:r w:rsidRPr="000157CD">
        <w:rPr>
          <w:sz w:val="24"/>
          <w:lang w:val="sk-SK"/>
        </w:rPr>
        <w:t>, Úrad pre vydávanie publikácií Európskej únie, 2022.</w:t>
      </w:r>
    </w:p>
  </w:footnote>
  <w:footnote w:id="17">
    <w:p w:rsidR="00B66E71" w:rsidRPr="000157CD" w:rsidRDefault="00B66E71" w:rsidP="000157CD">
      <w:pPr>
        <w:pStyle w:val="FootnoteText"/>
        <w:ind w:left="567" w:hanging="567"/>
        <w:rPr>
          <w:sz w:val="24"/>
          <w:lang w:val="sk-SK"/>
        </w:rPr>
      </w:pPr>
      <w:r w:rsidRPr="000157CD">
        <w:rPr>
          <w:rStyle w:val="FootnoteReference"/>
          <w:sz w:val="24"/>
          <w:lang w:val="sk-SK"/>
        </w:rPr>
        <w:footnoteRef/>
      </w:r>
      <w:r w:rsidR="000157CD" w:rsidRPr="000157CD">
        <w:rPr>
          <w:sz w:val="24"/>
          <w:lang w:val="sk-SK"/>
        </w:rPr>
        <w:t xml:space="preserve"> </w:t>
      </w:r>
      <w:r w:rsidR="000157CD" w:rsidRPr="000157CD">
        <w:rPr>
          <w:sz w:val="24"/>
          <w:lang w:val="sk-SK"/>
        </w:rPr>
        <w:tab/>
      </w:r>
      <w:r w:rsidRPr="000157CD">
        <w:rPr>
          <w:sz w:val="24"/>
          <w:lang w:val="sk-SK"/>
        </w:rPr>
        <w:t xml:space="preserve">Toleikyte, A., a kol., </w:t>
      </w:r>
      <w:r w:rsidR="00E20FA8">
        <w:fldChar w:fldCharType="begin"/>
      </w:r>
      <w:r w:rsidR="00E20FA8" w:rsidRPr="00E20FA8">
        <w:rPr>
          <w:lang w:val="sk-SK"/>
        </w:rPr>
        <w:instrText xml:space="preserve"> HYPERLINK "https://publications.jrc.ec.europa.eu/repository/handle/JRC134045" </w:instrText>
      </w:r>
      <w:r w:rsidR="00E20FA8">
        <w:fldChar w:fldCharType="separate"/>
      </w:r>
      <w:r w:rsidRPr="000157CD">
        <w:rPr>
          <w:rStyle w:val="Hyperlink"/>
          <w:i/>
          <w:sz w:val="24"/>
          <w:lang w:val="sk-SK"/>
        </w:rPr>
        <w:t>Vlna tepelných čerpadiel: príležitosti a výzvy</w:t>
      </w:r>
      <w:r w:rsidR="00E20FA8">
        <w:rPr>
          <w:rStyle w:val="Hyperlink"/>
          <w:i/>
          <w:sz w:val="24"/>
          <w:lang w:val="sk-SK"/>
        </w:rPr>
        <w:fldChar w:fldCharType="end"/>
      </w:r>
      <w:r w:rsidRPr="000157CD">
        <w:rPr>
          <w:i/>
          <w:iCs/>
          <w:sz w:val="24"/>
          <w:lang w:val="sk-SK"/>
        </w:rPr>
        <w:t>,</w:t>
      </w:r>
      <w:r w:rsidRPr="000157CD">
        <w:rPr>
          <w:sz w:val="24"/>
          <w:lang w:val="sk-SK"/>
        </w:rPr>
        <w:t xml:space="preserve"> Úrad pre vydávanie publikácií Európskej únie, Luxemburg, 2023.</w:t>
      </w:r>
    </w:p>
  </w:footnote>
  <w:footnote w:id="18">
    <w:p w:rsidR="00B66E71" w:rsidRPr="000157CD" w:rsidRDefault="00B66E71" w:rsidP="000157CD">
      <w:pPr>
        <w:pStyle w:val="FootnoteText"/>
        <w:ind w:left="567" w:hanging="567"/>
        <w:rPr>
          <w:sz w:val="24"/>
          <w:lang w:val="sk-SK"/>
        </w:rPr>
      </w:pPr>
      <w:r w:rsidRPr="000157CD">
        <w:rPr>
          <w:rStyle w:val="FootnoteReference"/>
          <w:sz w:val="24"/>
          <w:lang w:val="sk-SK"/>
        </w:rPr>
        <w:footnoteRef/>
      </w:r>
      <w:r w:rsidR="000157CD" w:rsidRPr="000157CD">
        <w:rPr>
          <w:sz w:val="24"/>
          <w:lang w:val="sk-SK"/>
        </w:rPr>
        <w:t xml:space="preserve"> </w:t>
      </w:r>
      <w:r w:rsidR="000157CD" w:rsidRPr="000157CD">
        <w:rPr>
          <w:sz w:val="24"/>
          <w:lang w:val="sk-SK"/>
        </w:rPr>
        <w:tab/>
      </w:r>
      <w:r w:rsidRPr="000157CD">
        <w:rPr>
          <w:sz w:val="24"/>
          <w:lang w:val="sk-SK"/>
        </w:rPr>
        <w:t xml:space="preserve">Breitschopf, B., et al., </w:t>
      </w:r>
      <w:r w:rsidR="00E20FA8">
        <w:fldChar w:fldCharType="begin"/>
      </w:r>
      <w:r w:rsidR="00E20FA8" w:rsidRPr="00E20FA8">
        <w:rPr>
          <w:lang w:val="sk-SK"/>
        </w:rPr>
        <w:instrText xml:space="preserve"> HYPERLINK "https://data.europa.eu/doi/10.2833/962558" </w:instrText>
      </w:r>
      <w:r w:rsidR="00E20FA8">
        <w:fldChar w:fldCharType="separate"/>
      </w:r>
      <w:r w:rsidRPr="000157CD">
        <w:rPr>
          <w:rStyle w:val="Hyperlink"/>
          <w:i/>
          <w:sz w:val="24"/>
          <w:lang w:val="sk-SK"/>
        </w:rPr>
        <w:t>Overview of heating and cooling – Perceptions, markets and regulatory frameworks for decarbonisation – Final report</w:t>
      </w:r>
      <w:r w:rsidR="00E20FA8">
        <w:rPr>
          <w:rStyle w:val="Hyperlink"/>
          <w:i/>
          <w:sz w:val="24"/>
          <w:lang w:val="sk-SK"/>
        </w:rPr>
        <w:fldChar w:fldCharType="end"/>
      </w:r>
      <w:r w:rsidRPr="000157CD">
        <w:rPr>
          <w:sz w:val="24"/>
          <w:lang w:val="sk-SK"/>
        </w:rPr>
        <w:t xml:space="preserve">, </w:t>
      </w:r>
      <w:r w:rsidRPr="000157CD">
        <w:rPr>
          <w:i/>
          <w:iCs/>
          <w:sz w:val="24"/>
          <w:lang w:val="sk-SK"/>
        </w:rPr>
        <w:t>(Prehľad o vykurovaní a chladení – Vnímanie, trhy a regulačné rámce pre dekarbonizáciu – Záverečná správa)</w:t>
      </w:r>
      <w:r w:rsidRPr="000157CD">
        <w:rPr>
          <w:sz w:val="24"/>
          <w:lang w:val="sk-SK"/>
        </w:rPr>
        <w:t>, Úrad pre publikácie Európskej únie, 2023.</w:t>
      </w:r>
    </w:p>
  </w:footnote>
  <w:footnote w:id="19">
    <w:p w:rsidR="00B66E71" w:rsidRPr="000157CD" w:rsidRDefault="00B66E71" w:rsidP="000157CD">
      <w:pPr>
        <w:pStyle w:val="FootnoteText"/>
        <w:ind w:left="567" w:hanging="567"/>
        <w:rPr>
          <w:sz w:val="24"/>
          <w:lang w:val="sk-SK"/>
        </w:rPr>
      </w:pPr>
      <w:r w:rsidRPr="000157CD">
        <w:rPr>
          <w:rStyle w:val="FootnoteReference"/>
          <w:sz w:val="24"/>
          <w:lang w:val="sk-SK"/>
        </w:rPr>
        <w:footnoteRef/>
      </w:r>
      <w:r w:rsidR="000157CD" w:rsidRPr="000157CD">
        <w:rPr>
          <w:sz w:val="24"/>
          <w:lang w:val="sk-SK"/>
        </w:rPr>
        <w:t xml:space="preserve"> </w:t>
      </w:r>
      <w:r w:rsidR="000157CD" w:rsidRPr="000157CD">
        <w:rPr>
          <w:sz w:val="24"/>
          <w:lang w:val="sk-SK"/>
        </w:rPr>
        <w:tab/>
      </w:r>
      <w:r w:rsidR="00E20FA8">
        <w:fldChar w:fldCharType="begin"/>
      </w:r>
      <w:r w:rsidR="00E20FA8" w:rsidRPr="00E20FA8">
        <w:rPr>
          <w:lang w:val="es-ES"/>
        </w:rPr>
        <w:instrText xml:space="preserve"> HYPERLINK "https://eur-lex.europa.eu/legal-content</w:instrText>
      </w:r>
      <w:r w:rsidR="00E20FA8" w:rsidRPr="00E20FA8">
        <w:rPr>
          <w:lang w:val="es-ES"/>
        </w:rPr>
        <w:instrText xml:space="preserve">/SK/TXT/?uri=CELEX:52021IP0503" </w:instrText>
      </w:r>
      <w:r w:rsidR="00E20FA8">
        <w:fldChar w:fldCharType="separate"/>
      </w:r>
      <w:r w:rsidRPr="000157CD">
        <w:rPr>
          <w:rStyle w:val="Hyperlink"/>
          <w:sz w:val="24"/>
          <w:lang w:val="sk-SK"/>
        </w:rPr>
        <w:t>Ú. v. EÚ C 251, 30.6.2022, s. 58</w:t>
      </w:r>
      <w:r w:rsidR="00E20FA8">
        <w:rPr>
          <w:rStyle w:val="Hyperlink"/>
          <w:sz w:val="24"/>
          <w:lang w:val="sk-SK"/>
        </w:rPr>
        <w:fldChar w:fldCharType="end"/>
      </w:r>
      <w:r w:rsidRPr="000157CD">
        <w:rPr>
          <w:sz w:val="24"/>
          <w:lang w:val="sk-SK"/>
        </w:rPr>
        <w:t>.</w:t>
      </w:r>
    </w:p>
  </w:footnote>
  <w:footnote w:id="20">
    <w:p w:rsidR="00B66E71" w:rsidRPr="000157CD" w:rsidRDefault="00B66E71" w:rsidP="000157CD">
      <w:pPr>
        <w:pStyle w:val="FootnoteText"/>
        <w:ind w:left="567" w:hanging="567"/>
        <w:rPr>
          <w:sz w:val="24"/>
          <w:lang w:val="sk-SK"/>
        </w:rPr>
      </w:pPr>
      <w:r w:rsidRPr="000157CD">
        <w:rPr>
          <w:rStyle w:val="FootnoteReference"/>
          <w:sz w:val="24"/>
          <w:lang w:val="sk-SK"/>
        </w:rPr>
        <w:footnoteRef/>
      </w:r>
      <w:r w:rsidR="000157CD" w:rsidRPr="000157CD">
        <w:rPr>
          <w:sz w:val="24"/>
          <w:lang w:val="sk-SK"/>
        </w:rPr>
        <w:t xml:space="preserve"> </w:t>
      </w:r>
      <w:r w:rsidR="000157CD" w:rsidRPr="000157CD">
        <w:rPr>
          <w:sz w:val="24"/>
          <w:lang w:val="sk-SK"/>
        </w:rPr>
        <w:tab/>
      </w:r>
      <w:r w:rsidR="00E20FA8">
        <w:fldChar w:fldCharType="begin"/>
      </w:r>
      <w:r w:rsidR="00E20FA8" w:rsidRPr="00E20FA8">
        <w:rPr>
          <w:lang w:val="es-ES"/>
        </w:rPr>
        <w:instrText xml:space="preserve"> HYPERLINK "https://eur-lex.europa.eu/legal-content/SK/TXT/?uri=CELEX:52020IP0198" </w:instrText>
      </w:r>
      <w:r w:rsidR="00E20FA8">
        <w:fldChar w:fldCharType="separate"/>
      </w:r>
      <w:r w:rsidRPr="000157CD">
        <w:rPr>
          <w:rStyle w:val="Hyperlink"/>
          <w:sz w:val="24"/>
          <w:lang w:val="sk-SK"/>
        </w:rPr>
        <w:t>Ú. v. EÚ C 371, 15.9.2021, s. 58</w:t>
      </w:r>
      <w:r w:rsidR="00E20FA8">
        <w:rPr>
          <w:rStyle w:val="Hyperlink"/>
          <w:sz w:val="24"/>
          <w:lang w:val="sk-SK"/>
        </w:rPr>
        <w:fldChar w:fldCharType="end"/>
      </w:r>
      <w:r w:rsidRPr="000157CD">
        <w:rPr>
          <w:sz w:val="24"/>
          <w:lang w:val="sk-SK"/>
        </w:rPr>
        <w:t>.</w:t>
      </w:r>
    </w:p>
  </w:footnote>
  <w:footnote w:id="21">
    <w:p w:rsidR="00B66E71" w:rsidRPr="000157CD" w:rsidRDefault="00B66E71" w:rsidP="000157CD">
      <w:pPr>
        <w:pStyle w:val="FootnoteText"/>
        <w:ind w:left="567" w:hanging="567"/>
        <w:rPr>
          <w:sz w:val="24"/>
          <w:lang w:val="sk-SK"/>
        </w:rPr>
      </w:pPr>
      <w:r w:rsidRPr="000157CD">
        <w:rPr>
          <w:rStyle w:val="FootnoteReference"/>
          <w:sz w:val="24"/>
          <w:lang w:val="sk-SK"/>
        </w:rPr>
        <w:footnoteRef/>
      </w:r>
      <w:r w:rsidR="000157CD" w:rsidRPr="000157CD">
        <w:rPr>
          <w:sz w:val="24"/>
          <w:lang w:val="sk-SK"/>
        </w:rPr>
        <w:t xml:space="preserve"> </w:t>
      </w:r>
      <w:r w:rsidR="000157CD" w:rsidRPr="000157CD">
        <w:rPr>
          <w:sz w:val="24"/>
          <w:lang w:val="sk-SK"/>
        </w:rPr>
        <w:tab/>
      </w:r>
      <w:r w:rsidR="00E20FA8">
        <w:fldChar w:fldCharType="begin"/>
      </w:r>
      <w:r w:rsidR="00E20FA8" w:rsidRPr="00E20FA8">
        <w:rPr>
          <w:lang w:val="es-ES"/>
        </w:rPr>
        <w:instrText xml:space="preserve"> HYPERLINK "https://eur-lex.europa.eu/legal-content/SK/TXT/?u</w:instrText>
      </w:r>
      <w:r w:rsidR="00E20FA8" w:rsidRPr="00E20FA8">
        <w:rPr>
          <w:lang w:val="es-ES"/>
        </w:rPr>
        <w:instrText xml:space="preserve">ri=CELEX:32023H0320(01)" </w:instrText>
      </w:r>
      <w:r w:rsidR="00E20FA8">
        <w:fldChar w:fldCharType="separate"/>
      </w:r>
      <w:r w:rsidRPr="000157CD">
        <w:rPr>
          <w:rStyle w:val="Hyperlink"/>
          <w:sz w:val="24"/>
          <w:lang w:val="sk-SK"/>
        </w:rPr>
        <w:t>Ú. v. EÚ C 103, 20.3.2023, s. 1</w:t>
      </w:r>
      <w:r w:rsidR="00E20FA8">
        <w:rPr>
          <w:rStyle w:val="Hyperlink"/>
          <w:sz w:val="24"/>
          <w:lang w:val="sk-SK"/>
        </w:rPr>
        <w:fldChar w:fldCharType="end"/>
      </w:r>
      <w:r w:rsidRPr="000157CD">
        <w:rPr>
          <w:sz w:val="24"/>
          <w:lang w:val="sk-SK"/>
        </w:rPr>
        <w:t>.</w:t>
      </w:r>
    </w:p>
  </w:footnote>
  <w:footnote w:id="22">
    <w:p w:rsidR="00B66E71" w:rsidRPr="000157CD" w:rsidRDefault="00B66E71" w:rsidP="000157CD">
      <w:pPr>
        <w:pStyle w:val="FootnoteText"/>
        <w:ind w:left="567" w:hanging="567"/>
        <w:rPr>
          <w:sz w:val="24"/>
          <w:lang w:val="sk-SK"/>
        </w:rPr>
      </w:pPr>
      <w:r w:rsidRPr="000157CD">
        <w:rPr>
          <w:rStyle w:val="FootnoteReference"/>
          <w:sz w:val="24"/>
          <w:lang w:val="sk-SK"/>
        </w:rPr>
        <w:footnoteRef/>
      </w:r>
      <w:r w:rsidR="000157CD" w:rsidRPr="000157CD">
        <w:rPr>
          <w:sz w:val="24"/>
          <w:lang w:val="sk-SK"/>
        </w:rPr>
        <w:t xml:space="preserve"> </w:t>
      </w:r>
      <w:r w:rsidR="000157CD" w:rsidRPr="000157CD">
        <w:rPr>
          <w:sz w:val="24"/>
          <w:lang w:val="sk-SK"/>
        </w:rPr>
        <w:tab/>
      </w:r>
      <w:r w:rsidR="00E20FA8">
        <w:fldChar w:fldCharType="begin"/>
      </w:r>
      <w:r w:rsidR="00E20FA8" w:rsidRPr="00E20FA8">
        <w:rPr>
          <w:lang w:val="es-ES"/>
        </w:rPr>
        <w:instrText xml:space="preserve"> HYPERLINK "https://eur-lex.europa.eu/legal-content/EN/TXT/?uri=CELEX:52021IP0020" </w:instrText>
      </w:r>
      <w:r w:rsidR="00E20FA8">
        <w:fldChar w:fldCharType="separate"/>
      </w:r>
      <w:r w:rsidRPr="000157CD">
        <w:rPr>
          <w:rStyle w:val="Hyperlink"/>
          <w:sz w:val="24"/>
          <w:lang w:val="sk-SK"/>
        </w:rPr>
        <w:t>Ú. v. EÚ C 456, 10.11.2021, s. 145</w:t>
      </w:r>
      <w:r w:rsidR="00E20FA8">
        <w:rPr>
          <w:rStyle w:val="Hyperlink"/>
          <w:sz w:val="24"/>
          <w:lang w:val="sk-SK"/>
        </w:rPr>
        <w:fldChar w:fldCharType="end"/>
      </w:r>
      <w:r w:rsidRPr="000157CD">
        <w:rPr>
          <w:sz w:val="24"/>
          <w:lang w:val="sk-SK"/>
        </w:rPr>
        <w:t>.</w:t>
      </w:r>
    </w:p>
  </w:footnote>
  <w:footnote w:id="23">
    <w:p w:rsidR="00B66E71" w:rsidRPr="000157CD" w:rsidRDefault="00B66E71" w:rsidP="000157CD">
      <w:pPr>
        <w:pStyle w:val="FootnoteText"/>
        <w:ind w:left="567" w:hanging="567"/>
        <w:rPr>
          <w:sz w:val="24"/>
          <w:lang w:val="sk-SK"/>
        </w:rPr>
      </w:pPr>
      <w:r w:rsidRPr="000157CD">
        <w:rPr>
          <w:rStyle w:val="FootnoteReference"/>
          <w:sz w:val="24"/>
          <w:lang w:val="sk-SK"/>
        </w:rPr>
        <w:footnoteRef/>
      </w:r>
      <w:r w:rsidR="000157CD" w:rsidRPr="000157CD">
        <w:rPr>
          <w:sz w:val="24"/>
          <w:lang w:val="sk-SK"/>
        </w:rPr>
        <w:t xml:space="preserve"> </w:t>
      </w:r>
      <w:r w:rsidR="000157CD" w:rsidRPr="000157CD">
        <w:rPr>
          <w:sz w:val="24"/>
          <w:lang w:val="sk-SK"/>
        </w:rPr>
        <w:tab/>
      </w:r>
      <w:r w:rsidRPr="000157CD">
        <w:rPr>
          <w:sz w:val="24"/>
          <w:lang w:val="sk-SK"/>
        </w:rPr>
        <w:t xml:space="preserve">Eurostat 2021, </w:t>
      </w:r>
      <w:r w:rsidR="00E20FA8">
        <w:fldChar w:fldCharType="begin"/>
      </w:r>
      <w:r w:rsidR="00E20FA8" w:rsidRPr="00E20FA8">
        <w:rPr>
          <w:lang w:val="pl-PL"/>
        </w:rPr>
        <w:instrText xml:space="preserve"> HYPERLINK "https://ec.europa.eu/eurostat/statistics-explained/index.php?title=Energy_consumption_in_households" \l "Energy_consumption_in_households_by_type_of_end-use" </w:instrText>
      </w:r>
      <w:r w:rsidR="00E20FA8">
        <w:fldChar w:fldCharType="separate"/>
      </w:r>
      <w:r w:rsidRPr="000157CD">
        <w:rPr>
          <w:rStyle w:val="Hyperlink"/>
          <w:sz w:val="24"/>
          <w:lang w:val="sk-SK"/>
        </w:rPr>
        <w:t>Spotreba energie v domácnostiach</w:t>
      </w:r>
      <w:r w:rsidR="00E20FA8">
        <w:rPr>
          <w:rStyle w:val="Hyperlink"/>
          <w:sz w:val="24"/>
          <w:lang w:val="sk-SK"/>
        </w:rPr>
        <w:fldChar w:fldCharType="end"/>
      </w:r>
      <w:r w:rsidRPr="000157CD">
        <w:rPr>
          <w:sz w:val="24"/>
          <w:lang w:val="sk-SK"/>
        </w:rPr>
        <w:t xml:space="preserve">. </w:t>
      </w:r>
    </w:p>
  </w:footnote>
  <w:footnote w:id="24">
    <w:p w:rsidR="00B66E71" w:rsidRPr="000157CD" w:rsidRDefault="00B66E71" w:rsidP="000157CD">
      <w:pPr>
        <w:pStyle w:val="FootnoteText"/>
        <w:ind w:left="567" w:hanging="567"/>
        <w:rPr>
          <w:sz w:val="24"/>
          <w:lang w:val="sk-SK"/>
        </w:rPr>
      </w:pPr>
      <w:r w:rsidRPr="000157CD">
        <w:rPr>
          <w:rStyle w:val="FootnoteReference"/>
          <w:sz w:val="24"/>
          <w:lang w:val="sk-SK"/>
        </w:rPr>
        <w:footnoteRef/>
      </w:r>
      <w:r w:rsidR="000157CD" w:rsidRPr="000157CD">
        <w:rPr>
          <w:sz w:val="24"/>
          <w:lang w:val="sk-SK"/>
        </w:rPr>
        <w:t xml:space="preserve"> </w:t>
      </w:r>
      <w:r w:rsidR="000157CD" w:rsidRPr="000157CD">
        <w:rPr>
          <w:sz w:val="24"/>
          <w:lang w:val="sk-SK"/>
        </w:rPr>
        <w:tab/>
      </w:r>
      <w:r w:rsidRPr="000157CD">
        <w:rPr>
          <w:sz w:val="24"/>
          <w:lang w:val="sk-SK"/>
        </w:rPr>
        <w:t xml:space="preserve">Smernica Európskeho parlamentu a Rady 2012/27/EÚ z 25. októbra 2012 o energetickej efektívnosti, ktorou sa menia a dopĺňajú smernice 2009/125/ES a 2010/30/EÚ a ktorou sa zrušujú smernice 2004/8/ES a 2006/32/ES </w:t>
      </w:r>
      <w:r w:rsidR="00E20FA8">
        <w:fldChar w:fldCharType="begin"/>
      </w:r>
      <w:r w:rsidR="00E20FA8" w:rsidRPr="00E20FA8">
        <w:rPr>
          <w:lang w:val="sk-SK"/>
        </w:rPr>
        <w:instrText xml:space="preserve"> HYPERLINK "http://data.europa.eu/eli/dir/2012/27/oj" </w:instrText>
      </w:r>
      <w:r w:rsidR="00E20FA8">
        <w:fldChar w:fldCharType="separate"/>
      </w:r>
      <w:r w:rsidRPr="000157CD">
        <w:rPr>
          <w:rStyle w:val="Hyperlink"/>
          <w:sz w:val="24"/>
          <w:lang w:val="sk-SK"/>
        </w:rPr>
        <w:t>(Ú. v. EÚ L 315, 14.11.2012, s. 1)</w:t>
      </w:r>
      <w:r w:rsidR="00E20FA8">
        <w:rPr>
          <w:rStyle w:val="Hyperlink"/>
          <w:sz w:val="24"/>
          <w:lang w:val="sk-SK"/>
        </w:rPr>
        <w:fldChar w:fldCharType="end"/>
      </w:r>
      <w:r w:rsidRPr="000157CD">
        <w:rPr>
          <w:sz w:val="24"/>
          <w:lang w:val="sk-SK"/>
        </w:rPr>
        <w:t>.</w:t>
      </w:r>
    </w:p>
  </w:footnote>
  <w:footnote w:id="25">
    <w:p w:rsidR="00B66E71" w:rsidRPr="000157CD" w:rsidRDefault="00B66E71" w:rsidP="000157CD">
      <w:pPr>
        <w:pStyle w:val="FootnoteText"/>
        <w:ind w:left="567" w:hanging="567"/>
        <w:rPr>
          <w:sz w:val="24"/>
          <w:lang w:val="sk-SK"/>
        </w:rPr>
      </w:pPr>
      <w:r w:rsidRPr="000157CD">
        <w:rPr>
          <w:rStyle w:val="FootnoteReference"/>
          <w:sz w:val="24"/>
          <w:lang w:val="sk-SK"/>
        </w:rPr>
        <w:footnoteRef/>
      </w:r>
      <w:r w:rsidR="000157CD" w:rsidRPr="000157CD">
        <w:rPr>
          <w:sz w:val="24"/>
          <w:lang w:val="sk-SK"/>
        </w:rPr>
        <w:t xml:space="preserve"> </w:t>
      </w:r>
      <w:r w:rsidR="000157CD" w:rsidRPr="000157CD">
        <w:rPr>
          <w:sz w:val="24"/>
          <w:lang w:val="sk-SK"/>
        </w:rPr>
        <w:tab/>
      </w:r>
      <w:r w:rsidRPr="000157CD">
        <w:rPr>
          <w:sz w:val="24"/>
          <w:lang w:val="sk-SK"/>
        </w:rPr>
        <w:t>Napríklad národné iniciatívy Poľska (Viacročný program rozvoja využívania geotermálnych zdrojov v Poľsku – 2022), Francúzska (Národný akčný plán pre geotermálnu energiu – 2023) a Nemecka (Nemecká stratégia pre geotermálnu energiu 2022).</w:t>
      </w:r>
    </w:p>
  </w:footnote>
  <w:footnote w:id="26">
    <w:p w:rsidR="00B66E71" w:rsidRPr="000157CD" w:rsidRDefault="00B66E71" w:rsidP="000157CD">
      <w:pPr>
        <w:pStyle w:val="FootnoteText"/>
        <w:ind w:left="567" w:hanging="567"/>
        <w:rPr>
          <w:sz w:val="24"/>
          <w:lang w:val="sk-SK"/>
        </w:rPr>
      </w:pPr>
      <w:r w:rsidRPr="000157CD">
        <w:rPr>
          <w:rStyle w:val="FootnoteReference"/>
          <w:sz w:val="24"/>
          <w:lang w:val="sk-SK"/>
        </w:rPr>
        <w:footnoteRef/>
      </w:r>
      <w:r w:rsidR="000157CD" w:rsidRPr="000157CD">
        <w:rPr>
          <w:sz w:val="24"/>
          <w:lang w:val="sk-SK"/>
        </w:rPr>
        <w:t xml:space="preserve"> </w:t>
      </w:r>
      <w:r w:rsidR="000157CD" w:rsidRPr="000157CD">
        <w:rPr>
          <w:sz w:val="24"/>
          <w:lang w:val="sk-SK"/>
        </w:rPr>
        <w:tab/>
      </w:r>
      <w:r w:rsidRPr="000157CD">
        <w:rPr>
          <w:sz w:val="24"/>
          <w:lang w:val="sk-SK"/>
        </w:rPr>
        <w:t>Smernica 2009/31/ES z 23. apríla 2009 o geologickom ukladaní oxidu uhličitého a o zmene a doplnení smernice Rady 85/337/EHS, smerníc Európskeho parlamentu a Rady 2000/60/ES, 2001/80/ES, 2004/35/ES, 2006/12/ES, 2008/1/ES a nariadenia (ES) č. 1013/2006</w:t>
      </w:r>
      <w:r w:rsidR="001302D4">
        <w:rPr>
          <w:sz w:val="24"/>
          <w:lang w:val="sk-SK"/>
        </w:rPr>
        <w:t xml:space="preserve"> </w:t>
      </w:r>
      <w:r w:rsidR="001302D4" w:rsidRPr="001302D4">
        <w:rPr>
          <w:sz w:val="24"/>
          <w:lang w:val="sk-SK"/>
        </w:rPr>
        <w:t>(</w:t>
      </w:r>
      <w:r w:rsidR="001302D4">
        <w:rPr>
          <w:sz w:val="24"/>
          <w:lang w:val="sk-SK"/>
        </w:rPr>
        <w:t>Ú. v. EÚ</w:t>
      </w:r>
      <w:r w:rsidR="001302D4" w:rsidRPr="001302D4">
        <w:rPr>
          <w:sz w:val="24"/>
          <w:lang w:val="sk-SK"/>
        </w:rPr>
        <w:t xml:space="preserve"> L 140, 5.6.2009, </w:t>
      </w:r>
      <w:r w:rsidR="001302D4">
        <w:rPr>
          <w:sz w:val="24"/>
          <w:lang w:val="sk-SK"/>
        </w:rPr>
        <w:t>s</w:t>
      </w:r>
      <w:r w:rsidR="001302D4" w:rsidRPr="001302D4">
        <w:rPr>
          <w:sz w:val="24"/>
          <w:lang w:val="sk-SK"/>
        </w:rPr>
        <w:t>. 114)</w:t>
      </w:r>
      <w:r w:rsidR="00F86D8F">
        <w:rPr>
          <w:sz w:val="24"/>
          <w:lang w:val="sk-SK"/>
        </w:rPr>
        <w:t>.</w:t>
      </w:r>
    </w:p>
  </w:footnote>
  <w:footnote w:id="27">
    <w:p w:rsidR="00B66E71" w:rsidRPr="000157CD" w:rsidRDefault="00B66E71" w:rsidP="000157CD">
      <w:pPr>
        <w:pStyle w:val="FootnoteText"/>
        <w:ind w:left="567" w:hanging="567"/>
        <w:rPr>
          <w:sz w:val="24"/>
          <w:lang w:val="sk-SK"/>
        </w:rPr>
      </w:pPr>
      <w:r w:rsidRPr="000157CD">
        <w:rPr>
          <w:rStyle w:val="FootnoteReference"/>
          <w:sz w:val="24"/>
          <w:lang w:val="sk-SK"/>
        </w:rPr>
        <w:footnoteRef/>
      </w:r>
      <w:r w:rsidR="000157CD" w:rsidRPr="000157CD">
        <w:rPr>
          <w:sz w:val="24"/>
          <w:lang w:val="sk-SK"/>
        </w:rPr>
        <w:t xml:space="preserve"> </w:t>
      </w:r>
      <w:r w:rsidR="000157CD" w:rsidRPr="000157CD">
        <w:rPr>
          <w:sz w:val="24"/>
          <w:lang w:val="sk-SK"/>
        </w:rPr>
        <w:tab/>
      </w:r>
      <w:r w:rsidRPr="000157CD">
        <w:rPr>
          <w:sz w:val="24"/>
          <w:lang w:val="sk-SK"/>
        </w:rPr>
        <w:t>Nariadenie Rady (EÚ) 2020/852 z 18. júna 2020 o vytvorení rámca na uľahčenie udržateľných investícií a o zmene nariadenia (EÚ) 2019/2088</w:t>
      </w:r>
      <w:r w:rsidR="001302D4">
        <w:rPr>
          <w:sz w:val="24"/>
          <w:lang w:val="sk-SK"/>
        </w:rPr>
        <w:t xml:space="preserve"> </w:t>
      </w:r>
      <w:r w:rsidR="001302D4" w:rsidRPr="001302D4">
        <w:rPr>
          <w:sz w:val="24"/>
          <w:lang w:val="sk-SK"/>
        </w:rPr>
        <w:t xml:space="preserve">(Ú. v. EÚ L 198, 22.6.2020, </w:t>
      </w:r>
      <w:r w:rsidR="001302D4">
        <w:rPr>
          <w:sz w:val="24"/>
          <w:lang w:val="sk-SK"/>
        </w:rPr>
        <w:t>s</w:t>
      </w:r>
      <w:r w:rsidR="001302D4" w:rsidRPr="001302D4">
        <w:rPr>
          <w:sz w:val="24"/>
          <w:lang w:val="sk-SK"/>
        </w:rPr>
        <w:t>. 13)</w:t>
      </w:r>
      <w:r w:rsidRPr="000157CD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57C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57C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57C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2/2023"/>
    <w:docVar w:name="dvlangue" w:val="SK"/>
    <w:docVar w:name="dvnumam" w:val="0"/>
    <w:docVar w:name="dvpe" w:val="752.863"/>
    <w:docVar w:name="dvrapporteur" w:val="Spravodajca: "/>
    <w:docVar w:name="dvtitre" w:val="Uznesenie Európskeho parlamentu z xx. januára 2024 o geotermálnej energii(2023/2111(INI))"/>
  </w:docVars>
  <w:rsids>
    <w:rsidRoot w:val="007C57DF"/>
    <w:rsid w:val="00002272"/>
    <w:rsid w:val="000157CD"/>
    <w:rsid w:val="00064002"/>
    <w:rsid w:val="000677B9"/>
    <w:rsid w:val="00077ED3"/>
    <w:rsid w:val="000831BA"/>
    <w:rsid w:val="000A42CC"/>
    <w:rsid w:val="000E7DD9"/>
    <w:rsid w:val="0010095E"/>
    <w:rsid w:val="00125B37"/>
    <w:rsid w:val="001302D4"/>
    <w:rsid w:val="00187494"/>
    <w:rsid w:val="001F32AE"/>
    <w:rsid w:val="002767FF"/>
    <w:rsid w:val="002B18FE"/>
    <w:rsid w:val="002B5493"/>
    <w:rsid w:val="00343214"/>
    <w:rsid w:val="00361C00"/>
    <w:rsid w:val="00394E8B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07BB2"/>
    <w:rsid w:val="006631B6"/>
    <w:rsid w:val="00680577"/>
    <w:rsid w:val="006C0501"/>
    <w:rsid w:val="006F74FA"/>
    <w:rsid w:val="00731ADD"/>
    <w:rsid w:val="00734777"/>
    <w:rsid w:val="00747932"/>
    <w:rsid w:val="00751A4A"/>
    <w:rsid w:val="00756632"/>
    <w:rsid w:val="00762C74"/>
    <w:rsid w:val="00786EC0"/>
    <w:rsid w:val="007C57DF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7FE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6E7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0FA8"/>
    <w:rsid w:val="00E365E1"/>
    <w:rsid w:val="00E64C04"/>
    <w:rsid w:val="00E820A4"/>
    <w:rsid w:val="00EB006A"/>
    <w:rsid w:val="00EB4772"/>
    <w:rsid w:val="00ED169E"/>
    <w:rsid w:val="00ED4235"/>
    <w:rsid w:val="00F04346"/>
    <w:rsid w:val="00F075DC"/>
    <w:rsid w:val="00F149E9"/>
    <w:rsid w:val="00F30383"/>
    <w:rsid w:val="00F5134D"/>
    <w:rsid w:val="00F74202"/>
    <w:rsid w:val="00F86D8F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09D143"/>
  <w15:chartTrackingRefBased/>
  <w15:docId w15:val="{B85F889D-0A45-4039-929B-238CA28D1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66E71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B66E71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B66E71"/>
    <w:pPr>
      <w:spacing w:after="240"/>
      <w:jc w:val="center"/>
    </w:pPr>
  </w:style>
  <w:style w:type="character" w:customStyle="1" w:styleId="Bold">
    <w:name w:val="Bold"/>
    <w:uiPriority w:val="1"/>
    <w:rsid w:val="00B66E71"/>
    <w:rPr>
      <w:b/>
    </w:rPr>
  </w:style>
  <w:style w:type="character" w:customStyle="1" w:styleId="BoldItalic">
    <w:name w:val="BoldItalic"/>
    <w:uiPriority w:val="1"/>
    <w:rsid w:val="00B66E71"/>
    <w:rPr>
      <w:b/>
      <w:i/>
      <w:u w:val="none"/>
    </w:rPr>
  </w:style>
  <w:style w:type="character" w:customStyle="1" w:styleId="Italic">
    <w:name w:val="Italic"/>
    <w:uiPriority w:val="1"/>
    <w:rsid w:val="00B66E71"/>
    <w:rPr>
      <w:i/>
    </w:rPr>
  </w:style>
  <w:style w:type="paragraph" w:customStyle="1" w:styleId="Normal12a24b">
    <w:name w:val="Normal12a24b"/>
    <w:basedOn w:val="Normal"/>
    <w:rsid w:val="00B66E71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unhideWhenUsed/>
    <w:rsid w:val="00B66E7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6C050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data.europa.eu/doi/10.2833/96390" TargetMode="External"/><Relationship Id="rId1" Type="http://schemas.openxmlformats.org/officeDocument/2006/relationships/hyperlink" Target="http://data.europa.eu/eli/reg/2021/111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07AFC7-760F-4BA9-90F3-D582D8D96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4922</Words>
  <Characters>32409</Characters>
  <Application>Microsoft Office Word</Application>
  <DocSecurity>0</DocSecurity>
  <Lines>953</Lines>
  <Paragraphs>511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VILEM Jan</cp:lastModifiedBy>
  <cp:revision>2</cp:revision>
  <cp:lastPrinted>2004-11-19T15:42:00Z</cp:lastPrinted>
  <dcterms:created xsi:type="dcterms:W3CDTF">2024-02-26T10:41:00Z</dcterms:created>
  <dcterms:modified xsi:type="dcterms:W3CDTF">2024-02-26T10:41:00Z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A9-0432/2023</vt:lpwstr>
  </property>
  <property fmtid="{D5CDD505-2E9C-101B-9397-08002B2CF9AE}" pid="4" name="&lt;Type&gt;">
    <vt:lpwstr>RR</vt:lpwstr>
  </property>
</Properties>
</file>