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32C9D" w14:paraId="1F5ADB5F" w14:textId="77777777" w:rsidTr="0010095E">
        <w:trPr>
          <w:trHeight w:hRule="exact" w:val="1418"/>
        </w:trPr>
        <w:tc>
          <w:tcPr>
            <w:tcW w:w="6804" w:type="dxa"/>
            <w:shd w:val="clear" w:color="auto" w:fill="auto"/>
            <w:vAlign w:val="center"/>
          </w:tcPr>
          <w:p w14:paraId="184B857A" w14:textId="77777777" w:rsidR="00751A4A" w:rsidRPr="00B32C9D" w:rsidRDefault="000575A0" w:rsidP="0010095E">
            <w:pPr>
              <w:pStyle w:val="EPName"/>
            </w:pPr>
            <w:bookmarkStart w:id="0" w:name="_GoBack"/>
            <w:bookmarkEnd w:id="0"/>
            <w:r w:rsidRPr="00B32C9D">
              <w:t>Europa-Parlamentet</w:t>
            </w:r>
          </w:p>
          <w:p w14:paraId="244C63E0" w14:textId="77777777" w:rsidR="00751A4A" w:rsidRPr="00B32C9D" w:rsidRDefault="00817416" w:rsidP="00756632">
            <w:pPr>
              <w:pStyle w:val="EPTerm"/>
              <w:rPr>
                <w:rStyle w:val="HideTWBExt"/>
                <w:noProof w:val="0"/>
                <w:vanish w:val="0"/>
                <w:color w:val="auto"/>
              </w:rPr>
            </w:pPr>
            <w:r w:rsidRPr="00B32C9D">
              <w:t>2019-2024</w:t>
            </w:r>
          </w:p>
        </w:tc>
        <w:tc>
          <w:tcPr>
            <w:tcW w:w="2268" w:type="dxa"/>
            <w:shd w:val="clear" w:color="auto" w:fill="auto"/>
          </w:tcPr>
          <w:p w14:paraId="21A057F3" w14:textId="77777777" w:rsidR="00751A4A" w:rsidRPr="00B32C9D" w:rsidRDefault="00187494" w:rsidP="0010095E">
            <w:pPr>
              <w:pStyle w:val="EPLogo"/>
            </w:pPr>
            <w:r w:rsidRPr="00B32C9D">
              <w:rPr>
                <w:noProof/>
                <w:lang w:eastAsia="da-DK"/>
              </w:rPr>
              <w:drawing>
                <wp:inline distT="0" distB="0" distL="0" distR="0" wp14:anchorId="553EFFDA" wp14:editId="6CEA35F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B9E9A09" w14:textId="77777777" w:rsidR="00D058B8" w:rsidRPr="00B32C9D" w:rsidRDefault="00D058B8" w:rsidP="004C5D52">
      <w:pPr>
        <w:pStyle w:val="LineTop"/>
      </w:pPr>
    </w:p>
    <w:p w14:paraId="0E8832E6" w14:textId="77777777" w:rsidR="00680577" w:rsidRPr="00B32C9D" w:rsidRDefault="000575A0" w:rsidP="00680577">
      <w:pPr>
        <w:pStyle w:val="EPBodyTA1"/>
      </w:pPr>
      <w:r w:rsidRPr="00B32C9D">
        <w:t>VEDTAGNE TEKSTER</w:t>
      </w:r>
    </w:p>
    <w:p w14:paraId="1A155D20" w14:textId="77777777" w:rsidR="00D058B8" w:rsidRPr="00B32C9D" w:rsidRDefault="00D058B8" w:rsidP="00D058B8">
      <w:pPr>
        <w:pStyle w:val="LineBottom"/>
      </w:pPr>
    </w:p>
    <w:p w14:paraId="40A2579C" w14:textId="77777777" w:rsidR="000575A0" w:rsidRPr="00B32C9D" w:rsidRDefault="00EF3DF7" w:rsidP="000575A0">
      <w:pPr>
        <w:pStyle w:val="ATHeading1"/>
      </w:pPr>
      <w:bookmarkStart w:id="1" w:name="TANumber"/>
      <w:r>
        <w:t>P9_TA(2024)005</w:t>
      </w:r>
      <w:r w:rsidR="000575A0" w:rsidRPr="00B32C9D">
        <w:t>0</w:t>
      </w:r>
      <w:bookmarkEnd w:id="1"/>
    </w:p>
    <w:p w14:paraId="2F07E459" w14:textId="77777777" w:rsidR="000575A0" w:rsidRPr="00B32C9D" w:rsidRDefault="00F3366E" w:rsidP="000575A0">
      <w:pPr>
        <w:pStyle w:val="ATHeading2"/>
      </w:pPr>
      <w:r w:rsidRPr="00F3366E">
        <w:t>Situationen vedrørende grundlæggende rettigheder i EU i 2022 og 2023</w:t>
      </w:r>
    </w:p>
    <w:p w14:paraId="5CCFFAA7" w14:textId="77777777" w:rsidR="000575A0" w:rsidRPr="00B32C9D" w:rsidRDefault="000575A0" w:rsidP="000575A0">
      <w:pPr>
        <w:rPr>
          <w:i/>
          <w:vanish/>
        </w:rPr>
      </w:pPr>
      <w:r w:rsidRPr="00B32C9D">
        <w:rPr>
          <w:i/>
        </w:rPr>
        <w:fldChar w:fldCharType="begin"/>
      </w:r>
      <w:r w:rsidRPr="00B32C9D">
        <w:rPr>
          <w:i/>
        </w:rPr>
        <w:instrText xml:space="preserve"> TC"(</w:instrText>
      </w:r>
      <w:bookmarkStart w:id="2" w:name="DocNumber"/>
      <w:r w:rsidRPr="00B32C9D">
        <w:rPr>
          <w:i/>
        </w:rPr>
        <w:instrText>A9-0376/2023</w:instrText>
      </w:r>
      <w:bookmarkEnd w:id="2"/>
      <w:r w:rsidRPr="00B32C9D">
        <w:rPr>
          <w:i/>
        </w:rPr>
        <w:instrText xml:space="preserve"> - Ordfører: Katarina Barley)"\l3 \n&gt; \* MERGEFORMAT </w:instrText>
      </w:r>
      <w:r w:rsidRPr="00B32C9D">
        <w:rPr>
          <w:i/>
        </w:rPr>
        <w:fldChar w:fldCharType="end"/>
      </w:r>
    </w:p>
    <w:p w14:paraId="31CFCE15" w14:textId="77777777" w:rsidR="000575A0" w:rsidRPr="00B32C9D" w:rsidRDefault="000575A0" w:rsidP="000575A0">
      <w:pPr>
        <w:rPr>
          <w:vanish/>
        </w:rPr>
      </w:pPr>
      <w:bookmarkStart w:id="3" w:name="Commission"/>
      <w:r w:rsidRPr="00B32C9D">
        <w:rPr>
          <w:vanish/>
        </w:rPr>
        <w:t>Udvalget om Borgernes Rettigheder og Retlige og Indre Anliggender</w:t>
      </w:r>
      <w:bookmarkEnd w:id="3"/>
    </w:p>
    <w:p w14:paraId="0C21C74F" w14:textId="77777777" w:rsidR="000575A0" w:rsidRPr="00B32C9D" w:rsidRDefault="000575A0" w:rsidP="000575A0">
      <w:pPr>
        <w:rPr>
          <w:vanish/>
        </w:rPr>
      </w:pPr>
      <w:bookmarkStart w:id="4" w:name="PE"/>
      <w:r w:rsidRPr="00B32C9D">
        <w:rPr>
          <w:vanish/>
        </w:rPr>
        <w:t>PE749.923</w:t>
      </w:r>
      <w:bookmarkEnd w:id="4"/>
    </w:p>
    <w:p w14:paraId="06E7E6B6" w14:textId="77777777" w:rsidR="000575A0" w:rsidRPr="00B32C9D" w:rsidRDefault="000575A0" w:rsidP="000575A0">
      <w:pPr>
        <w:pStyle w:val="ATHeading3"/>
      </w:pPr>
      <w:bookmarkStart w:id="5" w:name="Sujet"/>
      <w:r w:rsidRPr="00B32C9D">
        <w:t xml:space="preserve">Europa-Parlamentets beslutning af </w:t>
      </w:r>
      <w:r w:rsidR="00F4181B">
        <w:t>18</w:t>
      </w:r>
      <w:r w:rsidRPr="00B32C9D">
        <w:t>.</w:t>
      </w:r>
      <w:r w:rsidR="00F3366E">
        <w:t xml:space="preserve"> januar</w:t>
      </w:r>
      <w:r w:rsidRPr="00B32C9D">
        <w:t xml:space="preserve"> 2024 om situationen vedrørende grundlæggende rettigheder i Den Europæiske Union – årsberetning 2022 og 2023</w:t>
      </w:r>
      <w:bookmarkEnd w:id="5"/>
      <w:r w:rsidRPr="00B32C9D">
        <w:t xml:space="preserve"> </w:t>
      </w:r>
      <w:bookmarkStart w:id="6" w:name="References"/>
      <w:r w:rsidRPr="00B32C9D">
        <w:t>(2023/2028(INI))</w:t>
      </w:r>
      <w:bookmarkEnd w:id="6"/>
    </w:p>
    <w:p w14:paraId="098A92C3" w14:textId="77777777" w:rsidR="00147154" w:rsidRPr="00B32C9D" w:rsidRDefault="00147154" w:rsidP="00147154">
      <w:pPr>
        <w:pStyle w:val="EPComma"/>
      </w:pPr>
      <w:bookmarkStart w:id="7" w:name="TextBodyBegin"/>
      <w:bookmarkEnd w:id="7"/>
      <w:r w:rsidRPr="00B32C9D">
        <w:rPr>
          <w:rStyle w:val="Italic"/>
        </w:rPr>
        <w:t>Europa-Parlamentet</w:t>
      </w:r>
      <w:r w:rsidRPr="00B32C9D">
        <w:t>,</w:t>
      </w:r>
    </w:p>
    <w:p w14:paraId="242CF0A0" w14:textId="77777777" w:rsidR="00147154" w:rsidRPr="00B32C9D" w:rsidRDefault="00147154" w:rsidP="00147154">
      <w:pPr>
        <w:pStyle w:val="NormalHanging12a"/>
      </w:pPr>
      <w:r w:rsidRPr="00B32C9D">
        <w:t>–</w:t>
      </w:r>
      <w:r w:rsidRPr="00B32C9D">
        <w:tab/>
        <w:t>der henviser til traktaten om Den Europæiske Union (TEU) og traktaten om Den Europæiske Unions funktionsmåde (TEUF),</w:t>
      </w:r>
    </w:p>
    <w:p w14:paraId="6B17DCED" w14:textId="77777777" w:rsidR="00147154" w:rsidRPr="00B32C9D" w:rsidRDefault="00147154" w:rsidP="00147154">
      <w:pPr>
        <w:pStyle w:val="NormalHanging12a"/>
      </w:pPr>
      <w:r w:rsidRPr="00B32C9D">
        <w:t>–</w:t>
      </w:r>
      <w:r w:rsidRPr="00B32C9D">
        <w:tab/>
        <w:t>der henviser til Den Europæiske Unions charter om grundlæggende rettigheder (chartret),</w:t>
      </w:r>
    </w:p>
    <w:p w14:paraId="0D834FC9" w14:textId="77777777" w:rsidR="00147154" w:rsidRPr="00B32C9D" w:rsidRDefault="00147154" w:rsidP="00147154">
      <w:pPr>
        <w:pStyle w:val="NormalHanging12a"/>
      </w:pPr>
      <w:r w:rsidRPr="00B32C9D">
        <w:t>–</w:t>
      </w:r>
      <w:r w:rsidRPr="00B32C9D">
        <w:tab/>
        <w:t>der henviser til EU-Domstolens praksis</w:t>
      </w:r>
      <w:r w:rsidRPr="00B32C9D">
        <w:rPr>
          <w:rStyle w:val="FootnoteReference"/>
        </w:rPr>
        <w:footnoteReference w:id="1"/>
      </w:r>
      <w:r w:rsidRPr="00B32C9D">
        <w:t>,</w:t>
      </w:r>
    </w:p>
    <w:p w14:paraId="019883DA" w14:textId="77777777" w:rsidR="00147154" w:rsidRPr="00B32C9D" w:rsidRDefault="00147154" w:rsidP="00147154">
      <w:pPr>
        <w:pStyle w:val="NormalHanging12a"/>
      </w:pPr>
      <w:r w:rsidRPr="00B32C9D">
        <w:t>–</w:t>
      </w:r>
      <w:r w:rsidRPr="00B32C9D">
        <w:tab/>
        <w:t>der henviser til Europa-Parlamentets og Rådets forordning (EU, Euratom) 2020/2092 af 16. december 2020 om en generel ordning med konditionalitet til beskyttelse af Unionens budget</w:t>
      </w:r>
      <w:r w:rsidRPr="00B32C9D">
        <w:rPr>
          <w:rStyle w:val="FootnoteReference"/>
        </w:rPr>
        <w:footnoteReference w:id="2"/>
      </w:r>
      <w:r w:rsidRPr="00B32C9D">
        <w:t xml:space="preserve"> (forordningen om konditionalitet vedrørende retsstatsprincippet),</w:t>
      </w:r>
    </w:p>
    <w:p w14:paraId="5306EDA7" w14:textId="77777777" w:rsidR="00147154" w:rsidRPr="00B32C9D" w:rsidRDefault="00147154" w:rsidP="00147154">
      <w:pPr>
        <w:pStyle w:val="NormalHanging12a"/>
      </w:pPr>
      <w:r w:rsidRPr="00B32C9D">
        <w:t>–</w:t>
      </w:r>
      <w:r w:rsidRPr="00B32C9D">
        <w:tab/>
        <w:t>der henviser til Europa-Parlamentets og Rådets forordning (EU) 2021/692 af 28. april 2021 om oprettelse af programmet for borgere, ligestilling, rettigheder og værdier og om ophævelse af Europa-Parlamentets og Rådets forordning (EU) nr. 1381/2013 og Rådets forordning (EU) nr. 390/2014</w:t>
      </w:r>
      <w:r w:rsidRPr="00B32C9D">
        <w:rPr>
          <w:rStyle w:val="FootnoteReference"/>
        </w:rPr>
        <w:footnoteReference w:id="3"/>
      </w:r>
      <w:r w:rsidRPr="00B32C9D">
        <w:t>,</w:t>
      </w:r>
    </w:p>
    <w:p w14:paraId="4BD806FF" w14:textId="77777777" w:rsidR="00147154" w:rsidRPr="00B32C9D" w:rsidRDefault="00147154" w:rsidP="00147154">
      <w:pPr>
        <w:pStyle w:val="NormalHanging12a"/>
      </w:pPr>
      <w:r w:rsidRPr="00B32C9D">
        <w:t>–</w:t>
      </w:r>
      <w:r w:rsidRPr="00B32C9D">
        <w:tab/>
        <w:t xml:space="preserve">der henviser til Rådets forordning (EU) 2017/1939 af 12. oktober 2017 om gennemførelse af et forstærket samarbejde om oprettelse af Den Europæiske </w:t>
      </w:r>
      <w:r w:rsidRPr="00B32C9D">
        <w:lastRenderedPageBreak/>
        <w:t>Anklagemyndighed ("EPPO")</w:t>
      </w:r>
      <w:r w:rsidRPr="00B32C9D">
        <w:rPr>
          <w:rStyle w:val="FootnoteReference"/>
        </w:rPr>
        <w:footnoteReference w:id="4"/>
      </w:r>
      <w:r w:rsidRPr="00B32C9D">
        <w:t>,</w:t>
      </w:r>
    </w:p>
    <w:p w14:paraId="39913616" w14:textId="77777777" w:rsidR="00147154" w:rsidRPr="00B32C9D" w:rsidRDefault="00147154" w:rsidP="00147154">
      <w:pPr>
        <w:pStyle w:val="NormalHanging12a"/>
      </w:pPr>
      <w:r w:rsidRPr="00B32C9D">
        <w:t>–</w:t>
      </w:r>
      <w:r w:rsidRPr="00B32C9D">
        <w:tab/>
        <w:t>der henviser til Europa-Parlamentets og Rådets forordning (EU) 2016/679 af 27. april 2016 om beskyttelse af fysiske personer i forbindelse med behandling af personoplysninger og om fri udveksling af sådanne oplysninger og om ophævelse af direktiv 95/46/EF (generel forordning om databeskyttelse)</w:t>
      </w:r>
      <w:r w:rsidRPr="00B32C9D">
        <w:rPr>
          <w:rStyle w:val="FootnoteReference"/>
        </w:rPr>
        <w:footnoteReference w:id="5"/>
      </w:r>
      <w:r w:rsidRPr="00B32C9D">
        <w:t>,</w:t>
      </w:r>
    </w:p>
    <w:p w14:paraId="12D4AE7B" w14:textId="77777777" w:rsidR="00147154" w:rsidRPr="00B32C9D" w:rsidRDefault="00147154" w:rsidP="00147154">
      <w:pPr>
        <w:pStyle w:val="NormalHanging12a"/>
      </w:pPr>
      <w:r w:rsidRPr="00B32C9D">
        <w:t>–</w:t>
      </w:r>
      <w:r w:rsidRPr="00B32C9D">
        <w:tab/>
        <w:t>der henviser til Europa-Parlamentets og Rådets direktiv (EU) 2017/1371 af 5. juli 2017 om strafferetlig bekæmpelse af svig rettet mod Den Europæiske Unions finansielle interesser</w:t>
      </w:r>
      <w:r w:rsidRPr="00B32C9D">
        <w:rPr>
          <w:rStyle w:val="FootnoteReference"/>
        </w:rPr>
        <w:footnoteReference w:id="6"/>
      </w:r>
      <w:r w:rsidRPr="00B32C9D">
        <w:t>,</w:t>
      </w:r>
    </w:p>
    <w:p w14:paraId="043658EA" w14:textId="77777777" w:rsidR="00147154" w:rsidRPr="00B32C9D" w:rsidRDefault="00147154" w:rsidP="00147154">
      <w:pPr>
        <w:pStyle w:val="NormalHanging12a"/>
      </w:pPr>
      <w:r w:rsidRPr="00B32C9D">
        <w:t>–</w:t>
      </w:r>
      <w:r w:rsidRPr="00B32C9D">
        <w:tab/>
        <w:t>der henviser til Rådets rammeafgørelse 2008/913/RIA af 28. november 2008 om bekæmpelse af visse former for og tilkendegivelser af racisme og fremmedhad ved hjælp af straffelovgivningen</w:t>
      </w:r>
      <w:r w:rsidRPr="00B32C9D">
        <w:rPr>
          <w:rStyle w:val="FootnoteReference"/>
        </w:rPr>
        <w:footnoteReference w:id="7"/>
      </w:r>
      <w:r w:rsidRPr="00B32C9D">
        <w:t xml:space="preserve">, </w:t>
      </w:r>
    </w:p>
    <w:p w14:paraId="33FDAD46" w14:textId="77777777" w:rsidR="00147154" w:rsidRPr="00B32C9D" w:rsidRDefault="00147154" w:rsidP="00147154">
      <w:pPr>
        <w:pStyle w:val="NormalHanging12a"/>
        <w:rPr>
          <w:szCs w:val="24"/>
        </w:rPr>
      </w:pPr>
      <w:r w:rsidRPr="00B32C9D">
        <w:t>–</w:t>
      </w:r>
      <w:r w:rsidRPr="00B32C9D">
        <w:tab/>
        <w:t>der henviser til Rådets direktiv 2000/43/EF af 29. juni 2000 om gennemførelse af princippet om ligebehandling af alle uanset race eller etnisk oprindelse</w:t>
      </w:r>
      <w:r w:rsidRPr="00B32C9D">
        <w:rPr>
          <w:rStyle w:val="FootnoteReference"/>
        </w:rPr>
        <w:footnoteReference w:id="8"/>
      </w:r>
      <w:r w:rsidRPr="00B32C9D">
        <w:t xml:space="preserve"> og verserende traktatbrudsprocedurer iværksat af Kommissionen på grundlag af dette direktiv mod flere medlemsstater, hvoraf Kommissionen har indbragt en for Domstolen,</w:t>
      </w:r>
    </w:p>
    <w:p w14:paraId="25ED2CF9" w14:textId="77777777" w:rsidR="00147154" w:rsidRPr="00B32C9D" w:rsidRDefault="00147154" w:rsidP="00147154">
      <w:pPr>
        <w:pStyle w:val="NormalHanging12a"/>
        <w:rPr>
          <w:szCs w:val="24"/>
        </w:rPr>
      </w:pPr>
      <w:r w:rsidRPr="00B32C9D">
        <w:t>–</w:t>
      </w:r>
      <w:r w:rsidRPr="00B32C9D">
        <w:tab/>
        <w:t>der henviser til Rådets henstilling af 12. marts 2021 om romaernes ligestilling, inklusion og deltagelse (2021/C 93/01)</w:t>
      </w:r>
      <w:r w:rsidRPr="00B32C9D">
        <w:rPr>
          <w:rStyle w:val="FootnoteReference"/>
        </w:rPr>
        <w:footnoteReference w:id="9"/>
      </w:r>
      <w:r w:rsidRPr="00B32C9D">
        <w:t xml:space="preserve">, </w:t>
      </w:r>
    </w:p>
    <w:p w14:paraId="16E31E6E" w14:textId="77777777" w:rsidR="00147154" w:rsidRPr="00B32C9D" w:rsidRDefault="00147154" w:rsidP="00147154">
      <w:pPr>
        <w:pStyle w:val="NormalHanging12a"/>
        <w:rPr>
          <w:szCs w:val="24"/>
        </w:rPr>
      </w:pPr>
      <w:r w:rsidRPr="00B32C9D">
        <w:t>–</w:t>
      </w:r>
      <w:r w:rsidRPr="00B32C9D">
        <w:tab/>
        <w:t>der henviser til Kommissionens meddelelse af 9. januar 2023 med titlen "Rapport om vurdering af medlemsstaternes nationale strategiske rammer for romaerne" (COM(2023)</w:t>
      </w:r>
      <w:r w:rsidR="00F3366E">
        <w:t>0</w:t>
      </w:r>
      <w:r w:rsidRPr="00B32C9D">
        <w:t>007),</w:t>
      </w:r>
    </w:p>
    <w:p w14:paraId="221330DD" w14:textId="77777777" w:rsidR="00147154" w:rsidRPr="00B32C9D" w:rsidRDefault="00147154" w:rsidP="00147154">
      <w:pPr>
        <w:pStyle w:val="NormalHanging12a"/>
      </w:pPr>
      <w:r w:rsidRPr="00B32C9D">
        <w:t>–</w:t>
      </w:r>
      <w:r w:rsidRPr="00B32C9D">
        <w:tab/>
        <w:t>der henviser til Kommissionens henstilling (EU) 2021/1534 af 16. september 2021 om sikring af journalisters og andre mediefolks beskyttelse og sikkerhed og styrkelse af deres position i Den Europæiske Union</w:t>
      </w:r>
      <w:r w:rsidRPr="00B32C9D">
        <w:rPr>
          <w:rStyle w:val="FootnoteReference"/>
        </w:rPr>
        <w:footnoteReference w:id="10"/>
      </w:r>
      <w:r w:rsidRPr="00B32C9D">
        <w:t>,</w:t>
      </w:r>
    </w:p>
    <w:p w14:paraId="55464C06" w14:textId="77777777" w:rsidR="00147154" w:rsidRPr="00B32C9D" w:rsidRDefault="00147154" w:rsidP="00147154">
      <w:pPr>
        <w:pStyle w:val="NormalHanging12a"/>
      </w:pPr>
      <w:r w:rsidRPr="00B32C9D">
        <w:t>–</w:t>
      </w:r>
      <w:r w:rsidRPr="00B32C9D">
        <w:tab/>
        <w:t>der henviser til Kommissionens meddelelse af 9. december 2021 med titlen "Et mere inklusivt og beskyttende Europa: udvidelse af listen over strafbare handlinger i EU til hadefuld tale og hadforbrydelser" (COM(2021)0777),</w:t>
      </w:r>
    </w:p>
    <w:p w14:paraId="04DF75CC" w14:textId="77777777" w:rsidR="00147154" w:rsidRPr="00B32C9D" w:rsidRDefault="00147154" w:rsidP="00147154">
      <w:pPr>
        <w:pStyle w:val="NormalHanging12a"/>
      </w:pPr>
      <w:r w:rsidRPr="00B32C9D">
        <w:t>–</w:t>
      </w:r>
      <w:r w:rsidRPr="00B32C9D">
        <w:tab/>
        <w:t>der henviser til Kommissionens meddelelse af 5. marts 2020 med titlen "Et EU med ligestilling: strategi for ligestilling mellem mænd og kvinder 2020-2025" (COM(2020)0152),</w:t>
      </w:r>
    </w:p>
    <w:p w14:paraId="0BB6D101" w14:textId="77777777" w:rsidR="00147154" w:rsidRPr="00B32C9D" w:rsidRDefault="00147154" w:rsidP="00147154">
      <w:pPr>
        <w:pStyle w:val="NormalHanging12a"/>
      </w:pPr>
      <w:r w:rsidRPr="00B32C9D">
        <w:t>–</w:t>
      </w:r>
      <w:r w:rsidRPr="00B32C9D">
        <w:tab/>
        <w:t>der henviser til Kommissionens meddelelse af 24. juni 2020 med titlen "EU-strategi for ofres rettigheder (2020-2025)" (COM(2020)0258),</w:t>
      </w:r>
    </w:p>
    <w:p w14:paraId="7F7CC82F" w14:textId="77777777" w:rsidR="00147154" w:rsidRPr="00B32C9D" w:rsidRDefault="00147154" w:rsidP="00147154">
      <w:pPr>
        <w:pStyle w:val="NormalHanging12a"/>
      </w:pPr>
      <w:r w:rsidRPr="00B32C9D">
        <w:t>–</w:t>
      </w:r>
      <w:r w:rsidRPr="00B32C9D">
        <w:tab/>
        <w:t xml:space="preserve">der henviser til Kommissionens meddelelse af 12. november 2020 med titlen "En Union med lige muligheder: strategi for ligestilling af LGBTIQ-personer 2020-2025" </w:t>
      </w:r>
      <w:r w:rsidRPr="00B32C9D">
        <w:lastRenderedPageBreak/>
        <w:t>(COM(2020)0698),</w:t>
      </w:r>
    </w:p>
    <w:p w14:paraId="7118B572" w14:textId="77777777" w:rsidR="00147154" w:rsidRPr="00B32C9D" w:rsidRDefault="00147154" w:rsidP="00147154">
      <w:pPr>
        <w:pStyle w:val="NormalHanging12a"/>
      </w:pPr>
      <w:r w:rsidRPr="00B32C9D">
        <w:t>–</w:t>
      </w:r>
      <w:r w:rsidRPr="00B32C9D">
        <w:tab/>
        <w:t>der henviser til Rådets konklusioner af 2. marts 2022 om bekæmpelse af racisme og antisemitisme,</w:t>
      </w:r>
    </w:p>
    <w:p w14:paraId="5BF5D8B7" w14:textId="77777777" w:rsidR="00147154" w:rsidRPr="00B32C9D" w:rsidRDefault="00147154" w:rsidP="00147154">
      <w:pPr>
        <w:pStyle w:val="NormalHanging12a"/>
      </w:pPr>
      <w:r w:rsidRPr="00B32C9D">
        <w:t>–</w:t>
      </w:r>
      <w:r w:rsidRPr="00B32C9D">
        <w:tab/>
        <w:t>der henviser til Kommissionens meddelelse af 2. december 2020 med titlen "Strategi til styrkelse af anvendelsen af chartret om grundlæggende rettigheder i EU" (COM(2020)0711),</w:t>
      </w:r>
    </w:p>
    <w:p w14:paraId="0187B987" w14:textId="77777777" w:rsidR="00147154" w:rsidRPr="00B32C9D" w:rsidRDefault="00147154" w:rsidP="00147154">
      <w:pPr>
        <w:pStyle w:val="NormalHanging12a"/>
      </w:pPr>
      <w:r w:rsidRPr="00B32C9D">
        <w:t>–</w:t>
      </w:r>
      <w:r w:rsidRPr="00B32C9D">
        <w:tab/>
        <w:t>der henviser til Kommissionens beretning af 6. december 2022 med titlen "Et blomstrende civilt råderum for opretholdelse af de grundlæggende rettigheder i EU – Årsberetning for 2022 om anvendelsen af EU's charter om grundlæggende rettigheder" (COM(2022)0716),</w:t>
      </w:r>
    </w:p>
    <w:p w14:paraId="4EE529BD" w14:textId="77777777" w:rsidR="00147154" w:rsidRPr="00B32C9D" w:rsidRDefault="00147154" w:rsidP="00147154">
      <w:pPr>
        <w:pStyle w:val="NormalHanging12a"/>
      </w:pPr>
      <w:r w:rsidRPr="00B32C9D">
        <w:t>–</w:t>
      </w:r>
      <w:r w:rsidRPr="00B32C9D">
        <w:tab/>
        <w:t>der henviser til Kommissionens henstilling (EU) 2023/681 af 8. december 2022 om proceduremæssige rettigheder for mistænkte og tiltalte, der er varetægtsfængslet, og om materielle forhold under frihedsberøvelse</w:t>
      </w:r>
      <w:r w:rsidRPr="00B32C9D">
        <w:rPr>
          <w:rStyle w:val="FootnoteReference"/>
        </w:rPr>
        <w:footnoteReference w:id="11"/>
      </w:r>
      <w:r w:rsidRPr="00B32C9D">
        <w:t>,</w:t>
      </w:r>
    </w:p>
    <w:p w14:paraId="487F0C41" w14:textId="77777777" w:rsidR="00147154" w:rsidRPr="00B32C9D" w:rsidRDefault="00147154" w:rsidP="00147154">
      <w:pPr>
        <w:pStyle w:val="NormalHanging12a"/>
        <w:rPr>
          <w:szCs w:val="24"/>
        </w:rPr>
      </w:pPr>
      <w:r w:rsidRPr="00B32C9D">
        <w:t>–</w:t>
      </w:r>
      <w:r w:rsidRPr="00B32C9D">
        <w:tab/>
        <w:t xml:space="preserve">der henviser til Kommissionens meddelelse af 5. juli 2023 med titlen "Rapport om retsstatssituationen 2023 – Retsstatssituationen i Den Europæiske Union" (COM(2023)0800), de 27 landekapitler og de ledsagende henstillinger til medlemsstaterne, </w:t>
      </w:r>
    </w:p>
    <w:p w14:paraId="4D0601B0" w14:textId="77777777" w:rsidR="00147154" w:rsidRPr="00B32C9D" w:rsidRDefault="00147154" w:rsidP="00147154">
      <w:pPr>
        <w:pStyle w:val="NormalHanging12a"/>
        <w:rPr>
          <w:szCs w:val="24"/>
        </w:rPr>
      </w:pPr>
      <w:r w:rsidRPr="00B32C9D">
        <w:t>–</w:t>
      </w:r>
      <w:r w:rsidRPr="00B32C9D">
        <w:tab/>
        <w:t>der henviser til den europæiske søjle for sociale rettigheder, herunder dens tredje princip om lige muligheder, og til Kommissionens meddelelse af 4. marts 2021 med titlen "Handlingsplanen for den europæiske søjle for sociale rettigheder" (COM(2021)0102),</w:t>
      </w:r>
    </w:p>
    <w:p w14:paraId="7A7BA23D" w14:textId="77777777" w:rsidR="00147154" w:rsidRPr="00B32C9D" w:rsidRDefault="00147154" w:rsidP="00147154">
      <w:pPr>
        <w:pStyle w:val="NormalHanging12a"/>
      </w:pPr>
      <w:r w:rsidRPr="00B32C9D">
        <w:t>–</w:t>
      </w:r>
      <w:r w:rsidRPr="00B32C9D">
        <w:tab/>
        <w:t>der henviser til Kommissionens forslag af 27. april 2022 til Europa-Parlamentets og Rådets direktiv om beskyttelse af personer, der engagerer sig offentligt, mod åbenbart grundløse eller urimelige retssager ("strategiske retssager mod offentligt engagement") (COM(2022)0177) ("direktivet om bekæmpelse af SLAPP") og de ledsagende henstillinger,</w:t>
      </w:r>
    </w:p>
    <w:p w14:paraId="740BEE2D" w14:textId="77777777" w:rsidR="00147154" w:rsidRPr="00B32C9D" w:rsidRDefault="00147154" w:rsidP="00147154">
      <w:pPr>
        <w:pStyle w:val="NormalHanging12a"/>
        <w:rPr>
          <w:szCs w:val="24"/>
        </w:rPr>
      </w:pPr>
      <w:r w:rsidRPr="00B32C9D">
        <w:t>–</w:t>
      </w:r>
      <w:r w:rsidRPr="00B32C9D">
        <w:tab/>
        <w:t>der henviser til Kommissionens forslag til Europa-Parlamentets og Rådets forordning af 16. september 2022 om oprettelse af en fælles ramme for medietjenester i det indre marked (europæisk retsakt om mediefrihed) og om ændring af direktiv 2010/13/EU (COM(2022)0457) og den ledsagende henstilling om interne garantier for redaktionel uafhængighed og gennemsigtige ejerforhold i mediesektoren</w:t>
      </w:r>
      <w:r w:rsidRPr="00B32C9D">
        <w:rPr>
          <w:rStyle w:val="FootnoteReference"/>
        </w:rPr>
        <w:footnoteReference w:id="12"/>
      </w:r>
      <w:r w:rsidRPr="00B32C9D">
        <w:t>,</w:t>
      </w:r>
    </w:p>
    <w:p w14:paraId="08BD2378" w14:textId="77777777" w:rsidR="00147154" w:rsidRPr="00B32C9D" w:rsidRDefault="00147154" w:rsidP="00147154">
      <w:pPr>
        <w:pStyle w:val="NormalHanging12a"/>
      </w:pPr>
      <w:r w:rsidRPr="00B32C9D">
        <w:t>–</w:t>
      </w:r>
      <w:r w:rsidRPr="00B32C9D">
        <w:tab/>
        <w:t>der henviser til Kommissionens forslag til Rådets direktiv af 7. december 2022 om standarder for ligestillingsorganer på området ligebehandling af alle uanset race eller etnisk oprindelse, ligebehandling i forbindelse med beskæftigelse og erhverv mellem personer uanset religion eller tro, handicap, alder eller seksuel orientering og ligebehandling af kvinder og mænd med hensyn til social sikring og i forbindelse med adgang til og levering af varer og tjenesteydelser og om ophævelse af artikel 13 i direktiv 2000/43/EF og artikel 12 i direktiv 2004/113/EF (COM(2022)0689),</w:t>
      </w:r>
    </w:p>
    <w:p w14:paraId="5B067474" w14:textId="77777777" w:rsidR="00147154" w:rsidRPr="00B32C9D" w:rsidRDefault="00147154" w:rsidP="00147154">
      <w:pPr>
        <w:pStyle w:val="NormalHanging12a"/>
        <w:rPr>
          <w:szCs w:val="24"/>
        </w:rPr>
      </w:pPr>
      <w:r w:rsidRPr="00B32C9D">
        <w:t>–</w:t>
      </w:r>
      <w:r w:rsidRPr="00B32C9D">
        <w:tab/>
        <w:t xml:space="preserve">der henviser til Kommissionens forslag til Rådets forordning af 7. december 2022 om kompetence, lovvalg, anerkendelse af retsafgørelser og accept af officielt bekræftede </w:t>
      </w:r>
      <w:r w:rsidRPr="00B32C9D">
        <w:lastRenderedPageBreak/>
        <w:t>dokumenter vedrørende forældreskab og om indførelse af en europæisk forældreskabsattest (COM(2022)0695),</w:t>
      </w:r>
    </w:p>
    <w:p w14:paraId="21AE7962" w14:textId="77777777" w:rsidR="00147154" w:rsidRPr="00B32C9D" w:rsidRDefault="00147154" w:rsidP="00147154">
      <w:pPr>
        <w:pStyle w:val="NormalHanging12a"/>
      </w:pPr>
      <w:r w:rsidRPr="00B32C9D">
        <w:t>–</w:t>
      </w:r>
      <w:r w:rsidRPr="00B32C9D">
        <w:tab/>
        <w:t>der henviser til Kommissionens forslag til Europa-Parlamentets og Rådets direktiv af 7. december 2022 om standarder for ligestillingsorganer på området ligebehandling af og lige muligheder for kvinder og mænd i forbindelse med beskæftigelse og erhverv og om ophævelse af artikel 20 i direktiv 2006/54/EF og artikel 11 i direktiv 2010/41/EU (COM(2022)0688),</w:t>
      </w:r>
    </w:p>
    <w:p w14:paraId="3D736604" w14:textId="77777777" w:rsidR="00147154" w:rsidRPr="00B32C9D" w:rsidRDefault="00147154" w:rsidP="00147154">
      <w:pPr>
        <w:pStyle w:val="NormalHanging12a"/>
      </w:pPr>
      <w:r w:rsidRPr="00B32C9D">
        <w:t>–</w:t>
      </w:r>
      <w:r w:rsidRPr="00B32C9D">
        <w:tab/>
        <w:t>der henviser til rapporterne fra EU's Agentur for Grundlæggende Rettigheder (FRA), navnlig rapporterne om grundlæggende rettigheder for 2022 og 2023, herunder FRANET-landerapporter,</w:t>
      </w:r>
    </w:p>
    <w:p w14:paraId="0F1D70E3" w14:textId="77777777" w:rsidR="00147154" w:rsidRPr="00B32C9D" w:rsidRDefault="00147154" w:rsidP="00147154">
      <w:pPr>
        <w:pStyle w:val="NormalHanging12a"/>
      </w:pPr>
      <w:r w:rsidRPr="00B32C9D">
        <w:t>–</w:t>
      </w:r>
      <w:r w:rsidRPr="00B32C9D">
        <w:tab/>
        <w:t>der henviser til verdenserklæringen om menneskerettighederne,</w:t>
      </w:r>
    </w:p>
    <w:p w14:paraId="7780683D" w14:textId="77777777" w:rsidR="00147154" w:rsidRPr="00B32C9D" w:rsidRDefault="00147154" w:rsidP="00147154">
      <w:pPr>
        <w:pStyle w:val="NormalHanging12a"/>
      </w:pPr>
      <w:r w:rsidRPr="00B32C9D">
        <w:t>–</w:t>
      </w:r>
      <w:r w:rsidRPr="00B32C9D">
        <w:tab/>
        <w:t>der henviser til FN's instrumenter om beskyttelse af menneskerettighederne og de grundlæggende frihedsrettigheder, herunder den internationale konvention om borgerlige og politiske rettigheder, den internationale konvention om afskaffelse af alle former for diskrimination imod kvinder og konventionen om rettigheder for personer med handicap, henstillingerne og rapporterne fra FN's universelle regelmæssige gennemgang, retspraksis i FN's traktatorganer og Menneskerettighedsrådets særlige procedurer,</w:t>
      </w:r>
    </w:p>
    <w:p w14:paraId="142BD9B5" w14:textId="77777777" w:rsidR="00147154" w:rsidRPr="00B32C9D" w:rsidRDefault="00147154" w:rsidP="00147154">
      <w:pPr>
        <w:pStyle w:val="NormalHanging12a"/>
      </w:pPr>
      <w:r w:rsidRPr="00B32C9D">
        <w:t>–</w:t>
      </w:r>
      <w:r w:rsidRPr="00B32C9D">
        <w:tab/>
        <w:t xml:space="preserve">der henviser til FN's 2030-dagsorden for bæredygtig udvikling, </w:t>
      </w:r>
    </w:p>
    <w:p w14:paraId="714BBDCE" w14:textId="77777777" w:rsidR="00147154" w:rsidRPr="00B32C9D" w:rsidRDefault="00147154" w:rsidP="00147154">
      <w:pPr>
        <w:pStyle w:val="NormalHanging12a"/>
        <w:rPr>
          <w:szCs w:val="24"/>
        </w:rPr>
      </w:pPr>
      <w:r w:rsidRPr="00B32C9D">
        <w:t>–</w:t>
      </w:r>
      <w:r w:rsidRPr="00B32C9D">
        <w:tab/>
        <w:t xml:space="preserve">der henviser til Den Europæiske Menneskerettighedskonvention og Den Europæiske Menneskerettighedsdomstols retspraksis, </w:t>
      </w:r>
    </w:p>
    <w:p w14:paraId="01BD8BDD" w14:textId="77777777" w:rsidR="00147154" w:rsidRPr="00B32C9D" w:rsidRDefault="00147154" w:rsidP="00147154">
      <w:pPr>
        <w:pStyle w:val="NormalHanging12a"/>
      </w:pPr>
      <w:r w:rsidRPr="00B32C9D">
        <w:t>–</w:t>
      </w:r>
      <w:r w:rsidRPr="00B32C9D">
        <w:tab/>
        <w:t xml:space="preserve">der henviser til Europarådets konvention om forebyggelse og bekæmpelse af vold mod kvinder og vold i hjemmet, som blev åbnet for undertegnelse i Istanbul den 11. maj 2011 ("Istanbulkonventionen") og ratificeret af Den Europæiske Union den 28. juni 2023, </w:t>
      </w:r>
    </w:p>
    <w:p w14:paraId="5FAB52DB" w14:textId="77777777" w:rsidR="00147154" w:rsidRPr="00B32C9D" w:rsidRDefault="00147154" w:rsidP="00147154">
      <w:pPr>
        <w:pStyle w:val="NormalHanging12a"/>
        <w:rPr>
          <w:szCs w:val="24"/>
        </w:rPr>
      </w:pPr>
      <w:r w:rsidRPr="00B32C9D">
        <w:t>–</w:t>
      </w:r>
      <w:r w:rsidRPr="00B32C9D">
        <w:tab/>
        <w:t>der henviser til henstillingerne og rapporterne fra Kontoret for Demokratiske Institutioner og Menneskerettigheder, højkommissæren for nationale mindretal og andre organer under Organisationen for Sikkerhed og Samarbejde i Europa (OSCE),</w:t>
      </w:r>
    </w:p>
    <w:p w14:paraId="4A9696E5" w14:textId="77777777" w:rsidR="00147154" w:rsidRPr="00B32C9D" w:rsidRDefault="00147154" w:rsidP="00147154">
      <w:pPr>
        <w:pStyle w:val="NormalHanging12a"/>
      </w:pPr>
      <w:r w:rsidRPr="00B32C9D">
        <w:t>–</w:t>
      </w:r>
      <w:r w:rsidRPr="00B32C9D">
        <w:tab/>
        <w:t>der henviser til Europarådets rapport af 23. marts 2023 med titlen "Human Rights Defenders in the Europe Area in Times of Crises" efter rundbordsdialogen om menneskerettigheder, der blev afholdt af Europarådets menneskerettighedskommissær i Dublin den 24.-25. oktober 2022</w:t>
      </w:r>
      <w:r w:rsidRPr="00B32C9D">
        <w:rPr>
          <w:rStyle w:val="FootnoteReference"/>
        </w:rPr>
        <w:footnoteReference w:id="13"/>
      </w:r>
      <w:r w:rsidRPr="00B32C9D">
        <w:t>,</w:t>
      </w:r>
    </w:p>
    <w:p w14:paraId="0E2798ED" w14:textId="77777777" w:rsidR="00147154" w:rsidRPr="00B32C9D" w:rsidRDefault="00147154" w:rsidP="00147154">
      <w:pPr>
        <w:pStyle w:val="NormalHanging12a"/>
        <w:rPr>
          <w:szCs w:val="24"/>
        </w:rPr>
      </w:pPr>
      <w:r w:rsidRPr="00B32C9D">
        <w:t>–</w:t>
      </w:r>
      <w:r w:rsidRPr="00B32C9D">
        <w:tab/>
        <w:t xml:space="preserve">der henviser til Europarådets rammekonvention om beskyttelse af nationale mindretal og til den europæiske pagt om regionale sprog eller mindretalssprog, </w:t>
      </w:r>
    </w:p>
    <w:p w14:paraId="20226563" w14:textId="77777777" w:rsidR="00147154" w:rsidRPr="00B32C9D" w:rsidRDefault="00147154" w:rsidP="00147154">
      <w:pPr>
        <w:pStyle w:val="NormalHanging12a"/>
        <w:rPr>
          <w:szCs w:val="24"/>
        </w:rPr>
      </w:pPr>
      <w:r w:rsidRPr="00B32C9D">
        <w:t>–</w:t>
      </w:r>
      <w:r w:rsidRPr="00B32C9D">
        <w:tab/>
        <w:t>der henviser til Europarådets europæiske socialpagt,</w:t>
      </w:r>
    </w:p>
    <w:p w14:paraId="62983DA9" w14:textId="77777777" w:rsidR="00147154" w:rsidRPr="00B32C9D" w:rsidRDefault="00147154" w:rsidP="00147154">
      <w:pPr>
        <w:pStyle w:val="NormalHanging12a"/>
        <w:rPr>
          <w:szCs w:val="24"/>
        </w:rPr>
      </w:pPr>
      <w:r w:rsidRPr="00B32C9D">
        <w:t>–</w:t>
      </w:r>
      <w:r w:rsidRPr="00B32C9D">
        <w:tab/>
        <w:t xml:space="preserve">der henviser til Europarådets menneskerettighedskommissærs erklæringer, henstillinger </w:t>
      </w:r>
      <w:r w:rsidRPr="00B32C9D">
        <w:lastRenderedPageBreak/>
        <w:t>og rapporter,</w:t>
      </w:r>
    </w:p>
    <w:p w14:paraId="05826D2A" w14:textId="77777777" w:rsidR="00147154" w:rsidRPr="00B32C9D" w:rsidRDefault="00147154" w:rsidP="00147154">
      <w:pPr>
        <w:pStyle w:val="NormalHanging12a"/>
        <w:rPr>
          <w:szCs w:val="24"/>
        </w:rPr>
      </w:pPr>
      <w:r w:rsidRPr="00B32C9D">
        <w:t>–</w:t>
      </w:r>
      <w:r w:rsidRPr="00B32C9D">
        <w:tab/>
        <w:t>der henviser til henstillinger og rapporter fra Europarådet, navnlig fra Venedigkommissionen, Den Europæiske Kommission mod Racisme og Intolerance (ECRI), GREVIO og Greco,</w:t>
      </w:r>
    </w:p>
    <w:p w14:paraId="77A2A5E4" w14:textId="77777777" w:rsidR="00147154" w:rsidRPr="00B32C9D" w:rsidRDefault="00147154" w:rsidP="00147154">
      <w:pPr>
        <w:pStyle w:val="NormalHanging12a"/>
        <w:rPr>
          <w:szCs w:val="24"/>
        </w:rPr>
      </w:pPr>
      <w:r w:rsidRPr="00B32C9D">
        <w:t>–</w:t>
      </w:r>
      <w:r w:rsidRPr="00B32C9D">
        <w:tab/>
        <w:t>der henviser til sin beslutning af 13. november 2018 om minimumsstandarder for mindretal i EU</w:t>
      </w:r>
      <w:r w:rsidRPr="00B32C9D">
        <w:rPr>
          <w:rStyle w:val="FootnoteReference"/>
        </w:rPr>
        <w:footnoteReference w:id="14"/>
      </w:r>
      <w:r w:rsidRPr="00B32C9D">
        <w:t>,</w:t>
      </w:r>
    </w:p>
    <w:p w14:paraId="35C32087" w14:textId="77777777" w:rsidR="00147154" w:rsidRPr="00B32C9D" w:rsidRDefault="00147154" w:rsidP="00147154">
      <w:pPr>
        <w:pStyle w:val="NormalHanging12a"/>
        <w:rPr>
          <w:szCs w:val="24"/>
        </w:rPr>
      </w:pPr>
      <w:r w:rsidRPr="00B32C9D">
        <w:t>–</w:t>
      </w:r>
      <w:r w:rsidRPr="00B32C9D">
        <w:tab/>
        <w:t>der henviser til sin beslutning af 15. januar 2019 om ligestilling og beskatning i EU</w:t>
      </w:r>
      <w:r w:rsidRPr="00B32C9D">
        <w:rPr>
          <w:rStyle w:val="FootnoteReference"/>
        </w:rPr>
        <w:footnoteReference w:id="15"/>
      </w:r>
      <w:r w:rsidRPr="00B32C9D">
        <w:t>,</w:t>
      </w:r>
    </w:p>
    <w:p w14:paraId="19C3A8E5" w14:textId="77777777" w:rsidR="00147154" w:rsidRPr="00B32C9D" w:rsidRDefault="00147154" w:rsidP="00147154">
      <w:pPr>
        <w:pStyle w:val="NormalHanging12a"/>
      </w:pPr>
      <w:r w:rsidRPr="00B32C9D">
        <w:t>–</w:t>
      </w:r>
      <w:r w:rsidRPr="00B32C9D">
        <w:tab/>
        <w:t>der henviser til sin beslutning af 11. november 2021 om styrkelse af demokrati og mediefrihed og -pluralisme i EU: uberettiget brug af civil- og strafferetlige foranstaltninger til at bringe journalister, NGO'er og civilsamfundet til tavshed</w:t>
      </w:r>
      <w:r w:rsidRPr="00B32C9D">
        <w:rPr>
          <w:rStyle w:val="FootnoteReference"/>
        </w:rPr>
        <w:footnoteReference w:id="16"/>
      </w:r>
      <w:r w:rsidRPr="00B32C9D">
        <w:t>,</w:t>
      </w:r>
    </w:p>
    <w:p w14:paraId="02332878" w14:textId="77777777" w:rsidR="00147154" w:rsidRPr="00B32C9D" w:rsidRDefault="00147154" w:rsidP="00147154">
      <w:pPr>
        <w:pStyle w:val="NormalHanging12a"/>
      </w:pPr>
      <w:r w:rsidRPr="00B32C9D">
        <w:t>–</w:t>
      </w:r>
      <w:r w:rsidRPr="00B32C9D">
        <w:tab/>
        <w:t>der henviser til sin beslutning af 15. december 2021 om evaluering af forebyggende foranstaltninger til undgåelse af korruption, regelstridige udgifter og misbrug af EU-midler og nationale midler i forbindelse med nødfonde og kriserelaterede udgiftsområder</w:t>
      </w:r>
      <w:r w:rsidRPr="00B32C9D">
        <w:rPr>
          <w:rStyle w:val="FootnoteReference"/>
        </w:rPr>
        <w:footnoteReference w:id="17"/>
      </w:r>
      <w:r w:rsidRPr="00B32C9D">
        <w:t>,</w:t>
      </w:r>
    </w:p>
    <w:p w14:paraId="7FA43DCF" w14:textId="77777777" w:rsidR="00147154" w:rsidRPr="00B32C9D" w:rsidRDefault="00147154" w:rsidP="00147154">
      <w:pPr>
        <w:pStyle w:val="NormalHanging12a"/>
      </w:pPr>
      <w:r w:rsidRPr="00B32C9D">
        <w:t>–</w:t>
      </w:r>
      <w:r w:rsidRPr="00B32C9D">
        <w:tab/>
        <w:t>der henviser til sin beslutning af 17. februar 2022 med henstillinger til Kommissionen om en statut for europæiske grænseoverskridende foreninger og nonprofitorganisationer</w:t>
      </w:r>
      <w:r w:rsidRPr="00B32C9D">
        <w:rPr>
          <w:rStyle w:val="FootnoteReference"/>
        </w:rPr>
        <w:footnoteReference w:id="18"/>
      </w:r>
      <w:r w:rsidRPr="00B32C9D">
        <w:t>,</w:t>
      </w:r>
    </w:p>
    <w:p w14:paraId="5AE43393" w14:textId="77777777" w:rsidR="00147154" w:rsidRPr="00B32C9D" w:rsidRDefault="00147154" w:rsidP="00147154">
      <w:pPr>
        <w:pStyle w:val="NormalHanging12a"/>
      </w:pPr>
      <w:r w:rsidRPr="00B32C9D">
        <w:t>–</w:t>
      </w:r>
      <w:r w:rsidRPr="00B32C9D">
        <w:tab/>
        <w:t>der henviser til dens beslutning af 8. marts 2022 om indskrænkning af råderummet for civilsamfundet i Europa</w:t>
      </w:r>
      <w:r w:rsidRPr="00B32C9D">
        <w:rPr>
          <w:rStyle w:val="FootnoteReference"/>
        </w:rPr>
        <w:footnoteReference w:id="19"/>
      </w:r>
      <w:r w:rsidRPr="00B32C9D">
        <w:t>,</w:t>
      </w:r>
    </w:p>
    <w:p w14:paraId="7F9B653E" w14:textId="77777777" w:rsidR="00147154" w:rsidRPr="00B32C9D" w:rsidRDefault="00147154" w:rsidP="00147154">
      <w:pPr>
        <w:pStyle w:val="NormalHanging12a"/>
      </w:pPr>
      <w:r w:rsidRPr="00B32C9D">
        <w:t>–</w:t>
      </w:r>
      <w:r w:rsidRPr="00B32C9D">
        <w:tab/>
        <w:t>der henviser til sin beslutning af 10. marts 2022 om retsstatsprincippet og konsekvenserne af EU-Domstolens afgørelse</w:t>
      </w:r>
      <w:r w:rsidRPr="00B32C9D">
        <w:rPr>
          <w:rStyle w:val="FootnoteReference"/>
        </w:rPr>
        <w:footnoteReference w:id="20"/>
      </w:r>
      <w:r w:rsidRPr="00B32C9D">
        <w:t>,</w:t>
      </w:r>
    </w:p>
    <w:p w14:paraId="0787E95F" w14:textId="77777777" w:rsidR="00147154" w:rsidRPr="00B32C9D" w:rsidRDefault="00147154" w:rsidP="00147154">
      <w:pPr>
        <w:pStyle w:val="NormalHanging12a"/>
      </w:pPr>
      <w:r w:rsidRPr="00B32C9D">
        <w:t>–</w:t>
      </w:r>
      <w:r w:rsidRPr="00B32C9D">
        <w:tab/>
        <w:t>der henviser til sin beslutning af 9. juni 2022 om retsstatsprincippet og den potentielle godkendelse af Polens nationale genopretningsplan)</w:t>
      </w:r>
      <w:r w:rsidRPr="00B32C9D">
        <w:rPr>
          <w:rStyle w:val="FootnoteReference"/>
        </w:rPr>
        <w:footnoteReference w:id="21"/>
      </w:r>
      <w:r w:rsidRPr="00B32C9D">
        <w:t>,</w:t>
      </w:r>
    </w:p>
    <w:p w14:paraId="0410A015" w14:textId="77777777" w:rsidR="00147154" w:rsidRPr="00B32C9D" w:rsidRDefault="00147154" w:rsidP="00147154">
      <w:pPr>
        <w:pStyle w:val="NormalHanging12a"/>
      </w:pPr>
      <w:r w:rsidRPr="00B32C9D">
        <w:t>–</w:t>
      </w:r>
      <w:r w:rsidRPr="00B32C9D">
        <w:tab/>
        <w:t>der henviser til sin beslutning af 6. juli 2022 om intersektionel diskrimination i EU: den socioøkonomiske situation for kvinder af afrikansk, mellemøstlig, latinamerikansk og asiatisk afstamning</w:t>
      </w:r>
      <w:r w:rsidRPr="00B32C9D">
        <w:rPr>
          <w:rStyle w:val="FootnoteReference"/>
        </w:rPr>
        <w:footnoteReference w:id="22"/>
      </w:r>
      <w:r w:rsidRPr="00B32C9D">
        <w:t>,</w:t>
      </w:r>
    </w:p>
    <w:p w14:paraId="0CD9EC72" w14:textId="77777777" w:rsidR="00147154" w:rsidRPr="00B32C9D" w:rsidRDefault="00147154" w:rsidP="00147154">
      <w:pPr>
        <w:pStyle w:val="NormalHanging12a"/>
      </w:pPr>
      <w:r w:rsidRPr="00B32C9D">
        <w:t>–</w:t>
      </w:r>
      <w:r w:rsidRPr="00B32C9D">
        <w:tab/>
        <w:t>der henviser til sin beslutning af 15. september 2022 om forslag til Rådets afgørelse om på grundlag af artikel 7, stk. 1, i traktaten om Den Europæiske Union at fastslå, at der er en klar fare for, at Ungarn groft overtræder de værdier, som Unionen bygger på</w:t>
      </w:r>
      <w:r w:rsidRPr="00B32C9D">
        <w:rPr>
          <w:rStyle w:val="FootnoteReference"/>
        </w:rPr>
        <w:footnoteReference w:id="23"/>
      </w:r>
      <w:r w:rsidRPr="00B32C9D">
        <w:t>,</w:t>
      </w:r>
    </w:p>
    <w:p w14:paraId="1F508857" w14:textId="77777777" w:rsidR="00147154" w:rsidRPr="00B32C9D" w:rsidRDefault="00147154" w:rsidP="00147154">
      <w:pPr>
        <w:pStyle w:val="NormalHanging12a"/>
      </w:pPr>
      <w:r w:rsidRPr="00B32C9D">
        <w:lastRenderedPageBreak/>
        <w:t>–</w:t>
      </w:r>
      <w:r w:rsidRPr="00B32C9D">
        <w:tab/>
        <w:t>der henviser til sin beslutning af 5. oktober 2022 om situationen for romaer, der bor i bosættelser i EU</w:t>
      </w:r>
      <w:r w:rsidRPr="00B32C9D">
        <w:rPr>
          <w:rStyle w:val="FootnoteReference"/>
        </w:rPr>
        <w:footnoteReference w:id="24"/>
      </w:r>
      <w:r w:rsidRPr="00B32C9D">
        <w:t>,</w:t>
      </w:r>
    </w:p>
    <w:p w14:paraId="6F8B2A8C" w14:textId="77777777" w:rsidR="00147154" w:rsidRPr="00B32C9D" w:rsidRDefault="00147154" w:rsidP="00147154">
      <w:pPr>
        <w:pStyle w:val="NormalHanging12a"/>
      </w:pPr>
      <w:r w:rsidRPr="00B32C9D">
        <w:t>–</w:t>
      </w:r>
      <w:r w:rsidRPr="00B32C9D">
        <w:tab/>
        <w:t>der henviser til sin beslutning af 15. december 2022 om mistanke om korruption fra Qatar og det bredere behov for gennemsigtighed og ansvarlighed i EU-institutionerne</w:t>
      </w:r>
      <w:r w:rsidRPr="00B32C9D">
        <w:rPr>
          <w:rStyle w:val="FootnoteReference"/>
        </w:rPr>
        <w:footnoteReference w:id="25"/>
      </w:r>
      <w:r w:rsidRPr="00B32C9D">
        <w:t>,</w:t>
      </w:r>
    </w:p>
    <w:p w14:paraId="48EC3EDC" w14:textId="77777777" w:rsidR="00147154" w:rsidRPr="00B32C9D" w:rsidRDefault="00147154" w:rsidP="00147154">
      <w:pPr>
        <w:pStyle w:val="NormalHanging12a"/>
      </w:pPr>
      <w:r w:rsidRPr="00B32C9D">
        <w:t>–</w:t>
      </w:r>
      <w:r w:rsidRPr="00B32C9D">
        <w:tab/>
        <w:t>der henviser til sin beslutning af 7. juli 2022 om den amerikanske højesterets afgørelse om at omstøde abortrettigheder i USA og behovet for at beskytte abortrettigheder og kvinders sundhed i EU</w:t>
      </w:r>
      <w:r w:rsidRPr="00B32C9D">
        <w:rPr>
          <w:rStyle w:val="FootnoteReference"/>
        </w:rPr>
        <w:footnoteReference w:id="26"/>
      </w:r>
      <w:r w:rsidRPr="00B32C9D">
        <w:t>,</w:t>
      </w:r>
    </w:p>
    <w:p w14:paraId="2A345D75" w14:textId="77777777" w:rsidR="00147154" w:rsidRPr="00B32C9D" w:rsidRDefault="00147154" w:rsidP="00147154">
      <w:pPr>
        <w:pStyle w:val="NormalHanging12a"/>
      </w:pPr>
      <w:r w:rsidRPr="00B32C9D">
        <w:t>–</w:t>
      </w:r>
      <w:r w:rsidRPr="00B32C9D">
        <w:tab/>
        <w:t>der henviser til sin beslutning af 3. maj 2022 om forfølgelse af mindretal på grund af tro eller religion</w:t>
      </w:r>
      <w:r w:rsidRPr="00B32C9D">
        <w:rPr>
          <w:rStyle w:val="FootnoteReference"/>
        </w:rPr>
        <w:footnoteReference w:id="27"/>
      </w:r>
      <w:r w:rsidRPr="00B32C9D">
        <w:t>,</w:t>
      </w:r>
    </w:p>
    <w:p w14:paraId="35F21BAF" w14:textId="77777777" w:rsidR="00147154" w:rsidRPr="00B32C9D" w:rsidRDefault="00147154" w:rsidP="00147154">
      <w:pPr>
        <w:pStyle w:val="NormalHanging12a"/>
      </w:pPr>
      <w:r w:rsidRPr="00B32C9D">
        <w:t>–</w:t>
      </w:r>
      <w:r w:rsidRPr="00B32C9D">
        <w:tab/>
        <w:t>der henviser til sin beslutning af 5. maj 2022 om igangværende høringer inden for rammerne af artikel 7, stk. 1, i TEU vedrørende Polen og Ungarn</w:t>
      </w:r>
      <w:r w:rsidRPr="00B32C9D">
        <w:rPr>
          <w:rStyle w:val="FootnoteReference"/>
        </w:rPr>
        <w:footnoteReference w:id="28"/>
      </w:r>
      <w:r w:rsidRPr="00B32C9D">
        <w:t>,</w:t>
      </w:r>
    </w:p>
    <w:p w14:paraId="241CDBAC" w14:textId="77777777" w:rsidR="00147154" w:rsidRPr="00B32C9D" w:rsidRDefault="00147154" w:rsidP="00147154">
      <w:pPr>
        <w:pStyle w:val="NormalHanging12a"/>
        <w:rPr>
          <w:szCs w:val="24"/>
        </w:rPr>
      </w:pPr>
      <w:r w:rsidRPr="00B32C9D">
        <w:t>–</w:t>
      </w:r>
      <w:r w:rsidRPr="00B32C9D">
        <w:tab/>
        <w:t>der henviser til sin afgørelse (EU) 2023/325 af 18. oktober 2022 om decharge for gennemførelsen af budgettet for Det Europæiske Agentur for Grænse- og Kystbevogtning (Frontex) for regnskabsåret 2020</w:t>
      </w:r>
      <w:r w:rsidRPr="00B32C9D">
        <w:rPr>
          <w:vertAlign w:val="superscript"/>
        </w:rPr>
        <w:footnoteReference w:id="29"/>
      </w:r>
      <w:r w:rsidRPr="00B32C9D">
        <w:t>,</w:t>
      </w:r>
    </w:p>
    <w:p w14:paraId="022419D3" w14:textId="77777777" w:rsidR="00147154" w:rsidRPr="00B32C9D" w:rsidRDefault="00147154" w:rsidP="00147154">
      <w:pPr>
        <w:pStyle w:val="NormalHanging12a"/>
        <w:rPr>
          <w:szCs w:val="24"/>
        </w:rPr>
      </w:pPr>
      <w:r w:rsidRPr="00B32C9D">
        <w:t>–</w:t>
      </w:r>
      <w:r w:rsidRPr="00B32C9D">
        <w:tab/>
        <w:t>der henviser til sin beslutning af 20. oktober 2022 om tiltagende hadforbrydelser mod LGBTIQ+-personer i Europa i lyset af det nylige homofobiske mord i Slovakiet</w:t>
      </w:r>
      <w:r w:rsidRPr="00B32C9D">
        <w:rPr>
          <w:vertAlign w:val="superscript"/>
        </w:rPr>
        <w:footnoteReference w:id="30"/>
      </w:r>
      <w:r w:rsidRPr="00B32C9D">
        <w:t>,</w:t>
      </w:r>
    </w:p>
    <w:p w14:paraId="3DFF59F1" w14:textId="77777777" w:rsidR="00147154" w:rsidRPr="00B32C9D" w:rsidRDefault="00147154" w:rsidP="00147154">
      <w:pPr>
        <w:pStyle w:val="NormalHanging12a"/>
        <w:rPr>
          <w:szCs w:val="24"/>
        </w:rPr>
      </w:pPr>
      <w:r w:rsidRPr="00B32C9D">
        <w:t>–</w:t>
      </w:r>
      <w:r w:rsidRPr="00B32C9D">
        <w:tab/>
        <w:t>der henviser til sin beslutning af 10. november 2022 om racemæssig retfærdighed, ikkeforskelsbehandling og bekæmpelse af racisme i EU</w:t>
      </w:r>
      <w:r w:rsidRPr="00B32C9D">
        <w:rPr>
          <w:rStyle w:val="FootnoteReference"/>
        </w:rPr>
        <w:footnoteReference w:id="31"/>
      </w:r>
      <w:r w:rsidRPr="00B32C9D">
        <w:t>,</w:t>
      </w:r>
    </w:p>
    <w:p w14:paraId="082A456D" w14:textId="77777777" w:rsidR="00147154" w:rsidRPr="00B32C9D" w:rsidRDefault="00147154" w:rsidP="00147154">
      <w:pPr>
        <w:pStyle w:val="NormalHanging12a"/>
        <w:rPr>
          <w:szCs w:val="24"/>
        </w:rPr>
      </w:pPr>
      <w:r w:rsidRPr="00B32C9D">
        <w:t>–</w:t>
      </w:r>
      <w:r w:rsidRPr="00B32C9D">
        <w:tab/>
        <w:t>der henviser til sin beslutning af 13. december 2022 om vejen til lige rettigheder for personer med handicap</w:t>
      </w:r>
      <w:r w:rsidRPr="00B32C9D">
        <w:rPr>
          <w:vertAlign w:val="superscript"/>
        </w:rPr>
        <w:footnoteReference w:id="32"/>
      </w:r>
      <w:r w:rsidRPr="00B32C9D">
        <w:t>,</w:t>
      </w:r>
    </w:p>
    <w:p w14:paraId="58B62D07" w14:textId="77777777" w:rsidR="00147154" w:rsidRPr="00B32C9D" w:rsidRDefault="00147154" w:rsidP="00147154">
      <w:pPr>
        <w:pStyle w:val="NormalHanging12a"/>
      </w:pPr>
      <w:r w:rsidRPr="00B32C9D">
        <w:t>–</w:t>
      </w:r>
      <w:r w:rsidRPr="00B32C9D">
        <w:tab/>
        <w:t>der henviser til sin beslutning af 19. april 2023 om bekæmpelse af forskelsbehandling i EU – det længe ventede horisontale direktiv om bekæmpelse af forskelsbehandling</w:t>
      </w:r>
      <w:r w:rsidRPr="00B32C9D">
        <w:rPr>
          <w:rStyle w:val="FootnoteReference"/>
        </w:rPr>
        <w:footnoteReference w:id="33"/>
      </w:r>
      <w:r w:rsidRPr="00B32C9D">
        <w:t>,</w:t>
      </w:r>
    </w:p>
    <w:p w14:paraId="5FEA5BDA" w14:textId="77777777" w:rsidR="00147154" w:rsidRPr="00B32C9D" w:rsidRDefault="00147154" w:rsidP="00147154">
      <w:pPr>
        <w:pStyle w:val="NormalHanging12a"/>
        <w:rPr>
          <w:szCs w:val="24"/>
        </w:rPr>
      </w:pPr>
      <w:r w:rsidRPr="00B32C9D">
        <w:t>–</w:t>
      </w:r>
      <w:r w:rsidRPr="00B32C9D">
        <w:tab/>
        <w:t>der henviser til sin holdning af 10. maj 2023 om udkast til Rådets afgørelser om indgåelse på Den Europæiske Unions vegne af Europarådets konvention til forebyggelse og bekæmpelse af vold mod kvinder og vold i hjemmet for så vidt angår Unionens institutioner og offentlige forvaltning</w:t>
      </w:r>
      <w:r w:rsidRPr="00B32C9D">
        <w:rPr>
          <w:rStyle w:val="FootnoteReference"/>
        </w:rPr>
        <w:footnoteReference w:id="34"/>
      </w:r>
      <w:r w:rsidRPr="00B32C9D">
        <w:t xml:space="preserve"> og for så vidt angår spørgsmål vedrørende retligt samarbejde i straffesager, asyl og nonrefoulement,</w:t>
      </w:r>
    </w:p>
    <w:p w14:paraId="3CD2B321" w14:textId="77777777" w:rsidR="00147154" w:rsidRPr="00B32C9D" w:rsidRDefault="00147154" w:rsidP="00147154">
      <w:pPr>
        <w:pStyle w:val="NormalHanging12a"/>
      </w:pPr>
      <w:r w:rsidRPr="00B32C9D">
        <w:t>–</w:t>
      </w:r>
      <w:r w:rsidRPr="00B32C9D">
        <w:tab/>
        <w:t xml:space="preserve">der henviser til sin beslutning af 11. maj 2023 om tilstrækkeligheden af den beskyttelse, </w:t>
      </w:r>
      <w:r w:rsidRPr="00B32C9D">
        <w:lastRenderedPageBreak/>
        <w:t>der opnås ved hjælp af rammen for databeskyttelse mellem EU og USA</w:t>
      </w:r>
      <w:r w:rsidRPr="00B32C9D">
        <w:rPr>
          <w:rStyle w:val="FootnoteReference"/>
          <w:szCs w:val="24"/>
        </w:rPr>
        <w:footnoteReference w:id="35"/>
      </w:r>
      <w:r w:rsidRPr="00B32C9D">
        <w:t>,</w:t>
      </w:r>
    </w:p>
    <w:p w14:paraId="7A2ED945" w14:textId="77777777" w:rsidR="00147154" w:rsidRPr="00B32C9D" w:rsidRDefault="00147154" w:rsidP="00147154">
      <w:pPr>
        <w:pStyle w:val="NormalHanging12a"/>
        <w:rPr>
          <w:szCs w:val="24"/>
        </w:rPr>
      </w:pPr>
      <w:r w:rsidRPr="00B32C9D">
        <w:t>–</w:t>
      </w:r>
      <w:r w:rsidRPr="00B32C9D">
        <w:tab/>
        <w:t xml:space="preserve">der henviser til sin rapport og henstilling af 22. maj 2023 om undersøgelsen af påståede overtrædelser og misforvaltning i anvendelsen af EU-retten i forbindelse med brugen af Pegasus-spyware og tilsvarende overvågningsspyware, </w:t>
      </w:r>
    </w:p>
    <w:p w14:paraId="72521590" w14:textId="77777777" w:rsidR="00147154" w:rsidRPr="00B32C9D" w:rsidRDefault="00147154" w:rsidP="00147154">
      <w:pPr>
        <w:pStyle w:val="NormalHanging12a"/>
        <w:rPr>
          <w:szCs w:val="24"/>
        </w:rPr>
      </w:pPr>
      <w:r w:rsidRPr="00B32C9D">
        <w:t>–</w:t>
      </w:r>
      <w:r w:rsidRPr="00B32C9D">
        <w:tab/>
        <w:t>der henviser til sin beslutning af 1. juni 2023 om krænkelser af retsstatsprincippet og grundlæggende rettigheder i Ungarn og indefrosne EU-midler</w:t>
      </w:r>
      <w:r w:rsidRPr="00B32C9D">
        <w:rPr>
          <w:rStyle w:val="FootnoteReference"/>
        </w:rPr>
        <w:footnoteReference w:id="36"/>
      </w:r>
      <w:r w:rsidRPr="00B32C9D">
        <w:t>,</w:t>
      </w:r>
    </w:p>
    <w:p w14:paraId="52122BEC" w14:textId="77777777" w:rsidR="00147154" w:rsidRPr="00B32C9D" w:rsidRDefault="00147154" w:rsidP="00147154">
      <w:pPr>
        <w:pStyle w:val="NormalHanging12a"/>
        <w:rPr>
          <w:szCs w:val="24"/>
        </w:rPr>
      </w:pPr>
      <w:r w:rsidRPr="00B32C9D">
        <w:t>–</w:t>
      </w:r>
      <w:r w:rsidRPr="00B32C9D">
        <w:tab/>
        <w:t>der henviser til sin beslutning af 13. juli 2023 om aktindsigt (årsberetning for 2019-2021)</w:t>
      </w:r>
      <w:r w:rsidRPr="00B32C9D">
        <w:rPr>
          <w:rStyle w:val="FootnoteReference"/>
        </w:rPr>
        <w:footnoteReference w:id="37"/>
      </w:r>
      <w:r w:rsidRPr="00B32C9D">
        <w:t xml:space="preserve">, </w:t>
      </w:r>
    </w:p>
    <w:p w14:paraId="1E2BEB42" w14:textId="77777777" w:rsidR="00147154" w:rsidRPr="00B32C9D" w:rsidRDefault="00147154" w:rsidP="00147154">
      <w:pPr>
        <w:pStyle w:val="NormalHanging12a"/>
        <w:rPr>
          <w:szCs w:val="24"/>
        </w:rPr>
      </w:pPr>
      <w:r w:rsidRPr="00B32C9D">
        <w:t>–</w:t>
      </w:r>
      <w:r w:rsidRPr="00B32C9D">
        <w:tab/>
        <w:t>der henviser til sin beslutning af 4. oktober 2023 om segregering og forskelsbehandling af romabørn i uddannelsessystemet</w:t>
      </w:r>
      <w:r w:rsidRPr="00B32C9D">
        <w:rPr>
          <w:rStyle w:val="FootnoteReference"/>
        </w:rPr>
        <w:footnoteReference w:id="38"/>
      </w:r>
      <w:r w:rsidRPr="00B32C9D">
        <w:t>,</w:t>
      </w:r>
    </w:p>
    <w:p w14:paraId="15ECF362" w14:textId="77777777" w:rsidR="00147154" w:rsidRPr="00B32C9D" w:rsidRDefault="00147154" w:rsidP="00147154">
      <w:pPr>
        <w:pStyle w:val="NormalHanging12a"/>
      </w:pPr>
      <w:r w:rsidRPr="00B32C9D">
        <w:t>–</w:t>
      </w:r>
      <w:r w:rsidRPr="00B32C9D">
        <w:tab/>
        <w:t>der henviser til forretningsordenens artikel 54,</w:t>
      </w:r>
    </w:p>
    <w:p w14:paraId="3E41B71E" w14:textId="77777777" w:rsidR="00147154" w:rsidRPr="00B32C9D" w:rsidRDefault="00147154" w:rsidP="00147154">
      <w:pPr>
        <w:pStyle w:val="NormalHanging12a"/>
      </w:pPr>
      <w:r w:rsidRPr="00B32C9D">
        <w:t>–</w:t>
      </w:r>
      <w:r w:rsidRPr="00B32C9D">
        <w:tab/>
        <w:t>der henviser til udtalelse fra Udvalget om Konstitutionelle Anliggender,</w:t>
      </w:r>
    </w:p>
    <w:p w14:paraId="7A1ABC6E" w14:textId="77777777" w:rsidR="00147154" w:rsidRPr="00B32C9D" w:rsidRDefault="00147154" w:rsidP="00147154">
      <w:pPr>
        <w:pStyle w:val="NormalHanging12a"/>
      </w:pPr>
      <w:r w:rsidRPr="00B32C9D">
        <w:t>–</w:t>
      </w:r>
      <w:r w:rsidRPr="00B32C9D">
        <w:tab/>
        <w:t>der henviser til betænkning fra Udvalget om Borgernes Rettigheder og Retlige og Indre Anliggender (A9-0376/2023),</w:t>
      </w:r>
    </w:p>
    <w:p w14:paraId="6EBBD38D" w14:textId="77777777" w:rsidR="00147154" w:rsidRPr="00B32C9D" w:rsidRDefault="00147154" w:rsidP="00147154">
      <w:pPr>
        <w:pStyle w:val="NormalHanging12a"/>
      </w:pPr>
      <w:r w:rsidRPr="00B32C9D">
        <w:t>A.</w:t>
      </w:r>
      <w:r w:rsidRPr="00B32C9D">
        <w:tab/>
        <w:t>der henviser til, at EU bygger på værdierne for respekt for menneskelig værdighed, frihed, demokrati, ligestilling, retsstaten og for menneskerettighederne, herunder rettigheder for personer, der tilhører mindretal, som fastsat i artikel 2 i TEU og i chartret og nedfældet i de internationale menneskerettighedstraktater; der henviser til, at disse værdier bør være fælles og bør respekteres og fremmes aktivt af EU og medlemsstaterne i deres interne og eksterne tiltag; der henviser til, at nogle medlemsstater i de senere år har vist et bekymrende fald i respekten for disse værdier;</w:t>
      </w:r>
    </w:p>
    <w:p w14:paraId="36AFB159" w14:textId="77777777" w:rsidR="00147154" w:rsidRPr="00B32C9D" w:rsidRDefault="00147154" w:rsidP="00147154">
      <w:pPr>
        <w:pStyle w:val="NormalHanging12a"/>
        <w:rPr>
          <w:szCs w:val="24"/>
        </w:rPr>
      </w:pPr>
      <w:r w:rsidRPr="00B32C9D">
        <w:t>B.</w:t>
      </w:r>
      <w:r w:rsidRPr="00B32C9D">
        <w:tab/>
        <w:t>der henviser til, at demokrati, retsstatsprincippet og grundlæggende rettigheder er gensidigt forstærkende værdier, som, hvis de undergraves, udgør en systemisk trussel mod Unionen og alle EU-borgeres rettigheder og frihedsrettigheder; der henviser til, at respekten for retsstatsprincippet er bindende for Unionen som helhed og dens medlemsstater på alle forvaltningsniveauer;</w:t>
      </w:r>
    </w:p>
    <w:p w14:paraId="0D33772E" w14:textId="77777777" w:rsidR="00147154" w:rsidRPr="00B32C9D" w:rsidRDefault="00147154" w:rsidP="00147154">
      <w:pPr>
        <w:pStyle w:val="NormalHanging12a"/>
        <w:rPr>
          <w:szCs w:val="24"/>
        </w:rPr>
      </w:pPr>
      <w:r w:rsidRPr="00B32C9D">
        <w:t>C.</w:t>
      </w:r>
      <w:r w:rsidRPr="00B32C9D">
        <w:tab/>
        <w:t>der henviser til, at frie, uafhængige og gennemsigtige valg er en af demokratiets søjler;</w:t>
      </w:r>
    </w:p>
    <w:p w14:paraId="0A6FDD02" w14:textId="77777777" w:rsidR="00147154" w:rsidRPr="00B32C9D" w:rsidRDefault="00147154" w:rsidP="00147154">
      <w:pPr>
        <w:pStyle w:val="NormalHanging12a"/>
        <w:rPr>
          <w:szCs w:val="24"/>
        </w:rPr>
      </w:pPr>
      <w:r w:rsidRPr="00B32C9D">
        <w:t xml:space="preserve">D. </w:t>
      </w:r>
      <w:r w:rsidR="00F3366E">
        <w:tab/>
      </w:r>
      <w:r w:rsidRPr="00B32C9D">
        <w:t>der henviser til, at den voksende udbredelse af desinformation udgør en trussel mod Unionens demokratiske funktion; der henviser til, at det er et offentligt anliggende at mindske informationsmanipulation; der henviser til, at desinformation begrænser muligheden for, at borgere og bosiddende i EU kan træffe beslutninger baseret på fakta og deltage frit i demokratiske processer; der henviser til, at uafhængige og pluralistiske medier er et stærkt redskab til at bekæmpe desinformation;</w:t>
      </w:r>
    </w:p>
    <w:p w14:paraId="007E392C" w14:textId="77777777" w:rsidR="00147154" w:rsidRPr="00B32C9D" w:rsidRDefault="00147154" w:rsidP="00147154">
      <w:pPr>
        <w:pStyle w:val="NormalHanging12a"/>
      </w:pPr>
      <w:r w:rsidRPr="00B32C9D">
        <w:t>E.</w:t>
      </w:r>
      <w:r w:rsidRPr="00B32C9D">
        <w:tab/>
        <w:t xml:space="preserve">der henviser til, at mediefrihed og -pluralisme samt journalisters uafhængighed og sikkerhed er afgørende elementer for ytringsfrihed og informationsfrihed og er </w:t>
      </w:r>
      <w:r w:rsidRPr="00B32C9D">
        <w:lastRenderedPageBreak/>
        <w:t>afgørende for EU's og medlemsstaternes demokratiske funktionsmåde; der henviser til, at journalister og andre medieaktører i mange medlemsstater og uden for EU i de senere år i stigende grad er blevet udsat for trusler, uberettiget pres, intimidering, vold og andre former for indgreb i deres arbejde, navnlig hvis de har arbejdet med sager om magtmisbrug, korruption, krænkelser af de grundlæggende rettigheder og kriminelle aktiviteter; der henviser til, at SLAPP'er fortsat er et presserende problem i hele EU; der henviser til, at den foruroligende situation med trusler og angreb ikke kun er begrænset til professionelle journalister og andre traditionelle medieaktører; der henviser til, at definitionen af medieaktører er blevet bredere som følge af de nye medieformer i den digitale tidsalder og derfor omfatter andre aktører, der bidrager til den offentlige debat og udfører journalistiske aktiviteter eller fungerer som vagthunde for offentligheden;</w:t>
      </w:r>
    </w:p>
    <w:p w14:paraId="0563FD3E" w14:textId="77777777" w:rsidR="00147154" w:rsidRPr="00B32C9D" w:rsidRDefault="00147154" w:rsidP="00147154">
      <w:pPr>
        <w:ind w:left="567" w:hanging="567"/>
      </w:pPr>
      <w:r w:rsidRPr="00B32C9D">
        <w:t>F.</w:t>
      </w:r>
      <w:r w:rsidRPr="00B32C9D">
        <w:tab/>
        <w:t xml:space="preserve">der henviser til, at statslige organer i nogle medlemsstater og tredjelande har brugt Pegasus-spyware og tilsvarende overvågningsspyware mod journalister, politikere, retshåndhævelsespersonale, diplomater, advokater, forretningsfolk, civilsamfundsaktører og andre aktører til politiske og endda kriminelle formål; der henviser til, at en sådan praksis er yderst alarmerende og understreger risikoen for misbrug af overvågningsteknologier til at undergrave grundlæggende menneskerettigheder, demokratiet og valgprocesser; </w:t>
      </w:r>
    </w:p>
    <w:p w14:paraId="67F6E619" w14:textId="77777777" w:rsidR="00147154" w:rsidRPr="00B32C9D" w:rsidRDefault="00147154" w:rsidP="00147154">
      <w:pPr>
        <w:ind w:left="567" w:hanging="567"/>
        <w:rPr>
          <w:szCs w:val="24"/>
        </w:rPr>
      </w:pPr>
    </w:p>
    <w:p w14:paraId="05E649B9" w14:textId="77777777" w:rsidR="00147154" w:rsidRPr="00B32C9D" w:rsidRDefault="00147154" w:rsidP="00147154">
      <w:pPr>
        <w:pStyle w:val="NormalHanging12a"/>
      </w:pPr>
      <w:r w:rsidRPr="00B32C9D">
        <w:t>G.</w:t>
      </w:r>
      <w:r w:rsidRPr="00B32C9D">
        <w:tab/>
        <w:t>der henviser til, at korruption er en alvorlig trussel mod demokratiet og retsstatsprincippet; der henviser til, at der er vedvarende og alvorlige bekymringer over bekæmpelsen af korruption i nogle medlemsstater; der henviser til, at flere medlemsstater har svage mekanismer til bekæmpelse af korruption, og at der fortsat er en udbredt mangel på beskyttelse af whistleblowere; der henviser til, at forordningen om konditionalitet vedrørende retsstatsprincippet har til formål at beskytte Unionens budget mod overtrædelser af retsstatsprincippet;</w:t>
      </w:r>
    </w:p>
    <w:p w14:paraId="6EA7035D" w14:textId="77777777" w:rsidR="00147154" w:rsidRPr="00B32C9D" w:rsidRDefault="00147154" w:rsidP="00147154">
      <w:pPr>
        <w:pStyle w:val="NormalHanging12a"/>
        <w:rPr>
          <w:szCs w:val="24"/>
        </w:rPr>
      </w:pPr>
      <w:r w:rsidRPr="00B32C9D">
        <w:t>H.</w:t>
      </w:r>
      <w:r w:rsidRPr="00B32C9D">
        <w:tab/>
        <w:t>der henviser til, at journalister, medieforetagender og bloggere, menneskerettighedsforkæmpere, civilsamfundsorganisationer, aktivister, fagforeninger, kunstnere, forskere, whistleblowere og politikere i stigende grad udsættes for trusler, chikane og andre former for intimidering på grund af deres offentlige deltagelse;</w:t>
      </w:r>
    </w:p>
    <w:p w14:paraId="1838F9BA" w14:textId="77777777" w:rsidR="00147154" w:rsidRPr="00B32C9D" w:rsidRDefault="00147154" w:rsidP="00147154">
      <w:pPr>
        <w:pStyle w:val="NormalHanging12a"/>
      </w:pPr>
      <w:r w:rsidRPr="00B32C9D">
        <w:t>I.</w:t>
      </w:r>
      <w:r w:rsidRPr="00B32C9D">
        <w:tab/>
        <w:t>der henviser til, at retsvæsenets uafhængighed (et væsentligt krav til demokratiets princip om magtadskillelse og en central faktor for overholdelse af de grundlæggende rettigheder) står over for alvorlige trusler og endda bliver strukturelt undergravet i stadig flere medlemsstater;</w:t>
      </w:r>
    </w:p>
    <w:p w14:paraId="5CD1209F" w14:textId="77777777" w:rsidR="00147154" w:rsidRPr="00B32C9D" w:rsidRDefault="00147154" w:rsidP="00147154">
      <w:pPr>
        <w:pStyle w:val="NormalHanging12a"/>
        <w:rPr>
          <w:szCs w:val="24"/>
        </w:rPr>
      </w:pPr>
      <w:r w:rsidRPr="00B32C9D">
        <w:t>J.</w:t>
      </w:r>
      <w:r w:rsidRPr="00B32C9D">
        <w:tab/>
        <w:t>der henviser til, at Domstolen</w:t>
      </w:r>
      <w:r w:rsidRPr="00B32C9D">
        <w:rPr>
          <w:vertAlign w:val="superscript"/>
        </w:rPr>
        <w:footnoteReference w:id="39"/>
      </w:r>
      <w:r w:rsidRPr="00B32C9D">
        <w:t xml:space="preserve"> har påpeget, at retten til foreningsfrihed, som nedfældet i chartrets artikel 12, stk. 1, udgør en af grundpillerne i et demokratisk og pluralistisk samfund, idet den gør det muligt for borgere i EU at handle kollektivt på områder af fælles interesse og derved bidrage til et velfungerende offentligt liv; der henviser til, at der i nogle medlemsstater er meldt om stadig flere angreb på forsamlings- og foreningsfriheden gennem uforholdsmæssig magtanvendelse, bl.a. ved at slå ned på demonstranter; </w:t>
      </w:r>
    </w:p>
    <w:p w14:paraId="5DDD5B9C" w14:textId="77777777" w:rsidR="00147154" w:rsidRPr="00B32C9D" w:rsidRDefault="00147154" w:rsidP="00147154">
      <w:pPr>
        <w:pStyle w:val="NormalHanging12a"/>
        <w:rPr>
          <w:szCs w:val="24"/>
        </w:rPr>
      </w:pPr>
      <w:r w:rsidRPr="00B32C9D">
        <w:t>K.</w:t>
      </w:r>
      <w:r w:rsidRPr="00B32C9D">
        <w:tab/>
        <w:t xml:space="preserve">der henviser til, at nogle medlemsstater bevidst har indført restriktioner med det formål at begrænse civilsamfundets råderum; der henviser til, at civilsamfundets råderum i </w:t>
      </w:r>
      <w:r w:rsidRPr="00B32C9D">
        <w:lastRenderedPageBreak/>
        <w:t>mange medlemsstater er genstand for retlig, administrativ og skattemæssig chikane og negativ retorik med henblik på at stigmatisere og svække legitimiteten hos civilsamfundsorganisationer, aktivister og menneskerettighedsforkæmpere og gøre det sværere for dem at udføre deres arbejde;</w:t>
      </w:r>
    </w:p>
    <w:p w14:paraId="10106670" w14:textId="77777777" w:rsidR="00147154" w:rsidRPr="00B32C9D" w:rsidRDefault="00147154" w:rsidP="00147154">
      <w:pPr>
        <w:pStyle w:val="NormalHanging12a"/>
        <w:rPr>
          <w:szCs w:val="24"/>
        </w:rPr>
      </w:pPr>
      <w:r w:rsidRPr="00B32C9D">
        <w:t>L.</w:t>
      </w:r>
      <w:r w:rsidRPr="00B32C9D">
        <w:tab/>
        <w:t>der henviser til, at Europarådets menneskerettighedskommissær i marts 2023 vurderede, at situationen for menneskerettighedsforkæmpere i Europa i alarmerende grad var blevet forværret, og at regeringer i stigende grad forsømmer deres menneskerettighedsforpligtelser og prioriterer hensyn til national og offentlig sikkerhed frem for menneskerettigheder; der henviser til, at kommissæren rapporterede om stadig flere begrænsninger i menneskerettighedsforkæmperes mulighed for at arbejde frit og sikkert og om forskellige former for repressalier, herunder juridisk chikane, retsforfølgelse, undertrykkende kontrol og overvågning, smædekampagner, trusler og intimidering i medlemsstater og i nabolande; der henviser til, at fraværet af effektiv efterforskning af overtrædelser begået af statslige og ikkestatslige aktører mod menneskerettighedsforkæmpere fortsat er et stort problem; der henviser til, at dette undergraver demokratiet og er en del af et mere generelt problem med polarisering i samfundet, som er kendetegnet ved stadig flere tilfælde af udtryk for had og vold rettet imod forskellige sociale grupper eller mindretal;</w:t>
      </w:r>
    </w:p>
    <w:p w14:paraId="60368657" w14:textId="77777777" w:rsidR="00147154" w:rsidRPr="00B32C9D" w:rsidRDefault="00147154" w:rsidP="00147154">
      <w:pPr>
        <w:pStyle w:val="NormalHanging12a"/>
      </w:pPr>
      <w:r w:rsidRPr="00B32C9D">
        <w:t>M.</w:t>
      </w:r>
      <w:r w:rsidRPr="00B32C9D">
        <w:tab/>
        <w:t>der henviser til, at der har været mange tilfælde af migranters død og menneskerettighedskrænkelser ved de europæiske grænser som følge af ineffektiv forvaltning og uforholdsmæssig magtanvendelse fra myndighedernes side;; der henviser til, at der i stigende grad anvendes teknologi, herunder kunstig intelligens, til at overvåge migranter ved EU's ydre og indre grænser; der henviser til, at kriminalisering af ikkestatslige organisationer eller andre ikkestatslige aktører, der udfører eftersøgnings- og redningsoperationer under overholdelse af de relevante lovrammer, er en overtrædelse af folkeretten</w:t>
      </w:r>
      <w:r w:rsidRPr="00B32C9D">
        <w:rPr>
          <w:vertAlign w:val="superscript"/>
        </w:rPr>
        <w:footnoteReference w:id="40"/>
      </w:r>
      <w:r w:rsidRPr="00B32C9D">
        <w:t xml:space="preserve"> og derfor ikke tilladt i henhold til EU-retten; der henviser til, at Domstolen har fastslået, at tredjelandsstatsborgere kun kan fængsles, når der er et konkret retsgrundlag for at begrænse deres ret til frihed, og at de ikke kan fængsles alene på grundlag af et generelt kriterium</w:t>
      </w:r>
      <w:r w:rsidRPr="00B32C9D">
        <w:rPr>
          <w:vertAlign w:val="superscript"/>
        </w:rPr>
        <w:footnoteReference w:id="41"/>
      </w:r>
      <w:r w:rsidRPr="00B32C9D">
        <w:t>;</w:t>
      </w:r>
    </w:p>
    <w:p w14:paraId="26CCA587" w14:textId="77777777" w:rsidR="00147154" w:rsidRPr="00B32C9D" w:rsidRDefault="00147154" w:rsidP="00147154">
      <w:pPr>
        <w:pStyle w:val="NormalHanging12a"/>
        <w:rPr>
          <w:szCs w:val="24"/>
        </w:rPr>
      </w:pPr>
      <w:r w:rsidRPr="00B32C9D">
        <w:t>N.</w:t>
      </w:r>
      <w:r w:rsidRPr="00B32C9D">
        <w:tab/>
        <w:t>der henviser til, at antallet af dødsfald ved EU's søgrænser faldt lidt i 2022 sammenlignet med 2021, men at det var højere end i de tre år før 2021</w:t>
      </w:r>
      <w:r w:rsidRPr="00B32C9D">
        <w:rPr>
          <w:vertAlign w:val="superscript"/>
        </w:rPr>
        <w:footnoteReference w:id="42"/>
      </w:r>
      <w:r w:rsidRPr="00B32C9D">
        <w:t>; der henviser til, at størstedelen af dødsfaldene forekom i det centrale Middelhavsområde ud for den nordafrikanske kyst</w:t>
      </w:r>
      <w:r w:rsidRPr="00B32C9D">
        <w:rPr>
          <w:vertAlign w:val="superscript"/>
        </w:rPr>
        <w:footnoteReference w:id="43"/>
      </w:r>
      <w:r w:rsidRPr="00B32C9D">
        <w:t xml:space="preserve">; </w:t>
      </w:r>
    </w:p>
    <w:p w14:paraId="13F6F16E" w14:textId="77777777" w:rsidR="00147154" w:rsidRPr="00B32C9D" w:rsidRDefault="00147154" w:rsidP="00147154">
      <w:pPr>
        <w:pStyle w:val="NormalHanging12a"/>
        <w:rPr>
          <w:szCs w:val="24"/>
        </w:rPr>
      </w:pPr>
      <w:r w:rsidRPr="00B32C9D">
        <w:t>O.</w:t>
      </w:r>
      <w:r w:rsidRPr="00B32C9D">
        <w:tab/>
        <w:t xml:space="preserve">der henviser til, at der er udarbejdet flere rapporter og foretaget flere undersøgelser om Frontex vedrørende problemstillinger relateret til grundlæggende rettigheder, herunder </w:t>
      </w:r>
      <w:r w:rsidRPr="00B32C9D">
        <w:lastRenderedPageBreak/>
        <w:t>af Det Europæiske Kontor for Bekæmpelse af Svig (OLAF) og Den Europæiske Ombudsmand; der henviser til, at den tidligere direktør for Frontex trådte tilbage i april 2022; der henviser til, at alle EU-agenturer skal overholde grundlæggende rettigheder og stilles til ansvar i tilfælde af krænkelser af disse rettigheder;</w:t>
      </w:r>
    </w:p>
    <w:p w14:paraId="0398C415" w14:textId="77777777" w:rsidR="00147154" w:rsidRPr="00B32C9D" w:rsidRDefault="00147154" w:rsidP="00147154">
      <w:pPr>
        <w:pStyle w:val="NormalHanging12a"/>
      </w:pPr>
      <w:r w:rsidRPr="00B32C9D">
        <w:t>P.</w:t>
      </w:r>
      <w:r w:rsidRPr="00B32C9D">
        <w:tab/>
        <w:t>der henviser til, at der har været et bevidst tilbageslag mod kvinders og pigers rettigheder i de senere år; der henviser til, at der i nogle medlemsstater har været forsøg på yderligere tilbagerulning af tiltag vedrørende seksuel og reproduktiv sundhed og rettigheder, f.eks. eksisterende retlig beskyttelse af kvinders adgang til abort; der henviser til, at afvisning af adgang til sikker og lovlig abort i de senere år i nogle medlemsstater har ført til, at en række kvinder er døde; der henviser til, at forekomsten af kønsbaseret vold, herunder seksuel vold og voldtægt, fortsat er høj i hele EU; der henviser til, at nogle medlemsstater endnu ikke har ratificeret Europarådets konvention til forebyggelse og bekæmpelse af vold mod kvinder og vold i hjemmet (Istanbulkonventionen); der henviser til, at bevægelser imod fremme og tilvejebringelse af seksualundervisning er voksende i EU;</w:t>
      </w:r>
    </w:p>
    <w:p w14:paraId="16A7192C" w14:textId="77777777" w:rsidR="00147154" w:rsidRPr="00B32C9D" w:rsidRDefault="00147154" w:rsidP="00147154">
      <w:pPr>
        <w:pStyle w:val="NormalHanging12a"/>
        <w:rPr>
          <w:szCs w:val="24"/>
        </w:rPr>
      </w:pPr>
      <w:r w:rsidRPr="00B32C9D">
        <w:t>Q.</w:t>
      </w:r>
      <w:r w:rsidRPr="00B32C9D">
        <w:tab/>
        <w:t>der henviser til, at kønsbaseret vold er både en årsag til og en konsekvens af de strukturelle uligheder, der er rodfæstet i kønsstereotyper og magtskævheder, herunder i den private, sociale, offentlige og økonomiske sfære;</w:t>
      </w:r>
    </w:p>
    <w:p w14:paraId="237D61A9" w14:textId="77777777" w:rsidR="00147154" w:rsidRPr="00B32C9D" w:rsidRDefault="00147154" w:rsidP="00147154">
      <w:pPr>
        <w:pStyle w:val="NormalHanging12a"/>
      </w:pPr>
      <w:r w:rsidRPr="00B32C9D">
        <w:t>R.</w:t>
      </w:r>
      <w:r w:rsidRPr="00B32C9D">
        <w:tab/>
        <w:t>der henviser til, at undersøgelsesdata fra FRA viser, at omfanget af forskelsbehandling på grund af race eller etnisk oprindelse eller religiøs overbevisning (herunder romaer, muslimer, jøder og personer af afrikansk herkomst) konsekvent er højt, både over tid og på tværs af forskellige befolkningsgrupper i forskellige medlemsstater, navnlig blandt enkeltpersoner fra dårlige socioøkonomiske vilkår, i forskellige medlemsstater; der henviser til, at raceminoriteter og etniske mindretal oplever systemisk racisme, hadforbrydelser og hadpropaganda, manglende adgang til klage og domstolsprøvelse samt vedvarende socioøkonomiske uligheder på områder som boliger, sundhedsbehandling, beskæftigelse og uddannelse, der skal anerkendes som store hindringer for, at deres grundlæggende rettigheder kan udøves til fulde, og som en væsentlig hindring for inklusion og lighed; der henviser til, at antisemitisme, sintifjendtlighed, islamofobi og racisme er vedholdende former for had og forskelsbehandling; der henviser til, at højreekstremisme udgør en særlig trussel mod personer, der er berørt af forskelsbehandling, og mod samfundet som helhed; der henviser til, at systemisk racisme ifølge FRA er udbredt i EU, herunder inden for retshåndhævelse; der henviser til, at der skal tages højde for intersektionel forskelsbehandling i politik og foranstaltninger rettet mod bekæmpelse af racisme og forskelsbehandling;</w:t>
      </w:r>
    </w:p>
    <w:p w14:paraId="1C185E79" w14:textId="77777777" w:rsidR="00147154" w:rsidRPr="00B32C9D" w:rsidRDefault="00147154" w:rsidP="00147154">
      <w:pPr>
        <w:pStyle w:val="NormalHanging12a"/>
        <w:rPr>
          <w:szCs w:val="24"/>
        </w:rPr>
      </w:pPr>
      <w:r w:rsidRPr="00B32C9D">
        <w:t>S.</w:t>
      </w:r>
      <w:r w:rsidRPr="00B32C9D">
        <w:tab/>
        <w:t>der henviser til, at personer med handicap, der bor i EU, fortsat udsættes for forskelsbehandling, herunder afvisning af tilpasning i rimeligt omfang, chikane og mangeartede og intersektionelle former for forskelsbehandling på alle områder i deres liv, herunder socioøkonomiske ulemper, social isolation, mishandling og vold, herunder kønsbaseret vold, tvangssterilisation og -abort, manglende adgang til samfundstilbud, boliger af lav kvalitet, institutionalisering, utilstrækkelig sundhedsbehandling og afvisning af muligheden for at bidrage til og engagere sig aktivt i samfundet;</w:t>
      </w:r>
    </w:p>
    <w:p w14:paraId="6DED05C5" w14:textId="77777777" w:rsidR="00147154" w:rsidRPr="00B32C9D" w:rsidRDefault="00147154" w:rsidP="00147154">
      <w:pPr>
        <w:pStyle w:val="NormalHanging12a"/>
        <w:rPr>
          <w:szCs w:val="24"/>
        </w:rPr>
      </w:pPr>
      <w:r w:rsidRPr="00B32C9D">
        <w:lastRenderedPageBreak/>
        <w:t>T.</w:t>
      </w:r>
      <w:r w:rsidRPr="00B32C9D">
        <w:tab/>
        <w:t>der henviser til, at en betydelig del af Europas romabefolkning</w:t>
      </w:r>
      <w:r w:rsidRPr="00B32C9D">
        <w:rPr>
          <w:vertAlign w:val="superscript"/>
        </w:rPr>
        <w:footnoteReference w:id="44"/>
      </w:r>
      <w:r w:rsidRPr="00B32C9D">
        <w:t xml:space="preserve"> lever under yderst dårlige forhold i såvel landdistrikter som byområder og under særligt fattige socioøkonomiske forhold; der henviser til, at de fleste romaer fratages deres grundlæggende menneskerettigheder på alle områder i livet; der henviser til, at der i nogle medlemsstater fortsat er en diskriminerende praksis med at placere børn i opdelte skoler og med at placere børn af etniske mindretal og raceminoriteter i skoler for børn med mentale handicap;</w:t>
      </w:r>
    </w:p>
    <w:p w14:paraId="39035126" w14:textId="77777777" w:rsidR="00147154" w:rsidRPr="00B32C9D" w:rsidRDefault="00147154" w:rsidP="00147154">
      <w:pPr>
        <w:pStyle w:val="NormalHanging12a"/>
        <w:rPr>
          <w:szCs w:val="24"/>
        </w:rPr>
      </w:pPr>
      <w:r w:rsidRPr="00B32C9D">
        <w:t>U.</w:t>
      </w:r>
      <w:r w:rsidRPr="00B32C9D">
        <w:tab/>
        <w:t>der henviser til, at der fortsat er en stigende tendens med øget forskelsbehandling, hadpropaganda og vold mod LGBTIQ+-personer og forkæmpere for LGBTIQ+-personers rettigheder i EU; der henviser til, at LGBTIQ+-personer stadig udsættes for forskelsbehandling og udstødelse i flere medlemsstater, for så vidt angår social beskyttelse, social sikring, adgang til sundhedsbehandling, uddannelse og retsbeskyttelse samt adgang til og forsyning af varer og tilbud, herunder bolig, som er tilgængelige for offentligheden; der henviser til, at EU-Domstolens retspraksis, som beskytter par af samme køn og børn af forældre af samme køns sociale rettigheder og ret til privatliv, ikke gennemføres, f.eks. i Coman-sagen (C-673/16) og Baby Sara-sagen (C-490/20); der henviser til, at der udføres kirurgiske indgreb og medicinske behandlinger på interkønnede børn uden deres forudgående, personlige, fulde og velinformerede samtykke; der henviser til, at kønslemlæstelse af interkønnede kan have livslange konsekvenser, f.eks. psykiske traumer og fysiske funktionshæmninger;</w:t>
      </w:r>
    </w:p>
    <w:p w14:paraId="4F4CFEF0" w14:textId="77777777" w:rsidR="00147154" w:rsidRPr="00B32C9D" w:rsidRDefault="00147154" w:rsidP="00147154">
      <w:pPr>
        <w:pStyle w:val="NormalHanging12a"/>
      </w:pPr>
      <w:r w:rsidRPr="00B32C9D">
        <w:t>V.</w:t>
      </w:r>
      <w:r w:rsidRPr="00B32C9D">
        <w:tab/>
        <w:t>der henviser til, at der har været et voksende antal tilfælde af hadforbrydelser og hadpropaganda i EU i de senere år</w:t>
      </w:r>
      <w:r w:rsidRPr="00B32C9D">
        <w:rPr>
          <w:vertAlign w:val="superscript"/>
        </w:rPr>
        <w:footnoteReference w:id="45"/>
      </w:r>
      <w:r w:rsidRPr="00B32C9D">
        <w:t>, hovedsagelig på grund af det voksende antal brugere af sociale medier og det forhold, at hadpropaganda trives online; der henviser til, at forretningsmodellen for sociale medieplatforme, som er baseret på mikromålrettet annoncering, spiller en rolle med hensyn til at sprede og forstærke hadpropaganda, som tilskynder til diskrimination og vold; der henviser til, at uddannelsessystemer er afgørende for at stille digital uddannelse og digitale kompetencer og færdigheder til rådighed for alle og derved fremmer brugernes forståelse af digitale teknologier, overvinder uligheder, forbedrer digital inklusion samt styrker og beskytter enkeltpersoner og deres rettigheder sideløbende med, at de beskriver deres forpligtelser; der henviser til, at hadpropaganda kan føre til hadforbrydelser; der henviser til, at op til ni ud af ti hadforbrydelser og hadmotiverede angreb i EU ifølge FRA ikke indberettes og derfor ikke sanktioneres;</w:t>
      </w:r>
    </w:p>
    <w:p w14:paraId="57DD18C0" w14:textId="77777777" w:rsidR="00147154" w:rsidRPr="00B32C9D" w:rsidRDefault="00147154" w:rsidP="00147154">
      <w:pPr>
        <w:pStyle w:val="NormalHanging12a"/>
        <w:rPr>
          <w:szCs w:val="24"/>
        </w:rPr>
      </w:pPr>
      <w:r w:rsidRPr="00B32C9D">
        <w:t>W.</w:t>
      </w:r>
      <w:r w:rsidRPr="00B32C9D">
        <w:tab/>
        <w:t>der henviser til, at artikel 21 i EU's charter forbyder al forskelsbehandling på grund af sprog eller tilhørsforhold til et nationalt mindretal; der henviser til, at artikel 22 i samme charter sikrer respekt for sproglig mangfoldighed;</w:t>
      </w:r>
    </w:p>
    <w:p w14:paraId="580B563D" w14:textId="77777777" w:rsidR="00147154" w:rsidRPr="00B32C9D" w:rsidRDefault="00147154" w:rsidP="00147154">
      <w:pPr>
        <w:pStyle w:val="NormalHanging12a"/>
        <w:rPr>
          <w:szCs w:val="24"/>
        </w:rPr>
      </w:pPr>
      <w:r w:rsidRPr="00B32C9D">
        <w:t>X.</w:t>
      </w:r>
      <w:r w:rsidRPr="00B32C9D">
        <w:tab/>
        <w:t xml:space="preserve">der henviser til, at EU er baseret på fremme af sociale, kulturelle og økonomiske rettigheder; der henviser til, at mange mennesker stadig lever i fattigdom i EU, og at mere end hvert femte barn er i risiko for fattigdom, mens næsten hver fjerde EU-borger er i risiko for fattigdom eller social udstødelse; der henviser til, at fattigdommens onde </w:t>
      </w:r>
      <w:r w:rsidRPr="00B32C9D">
        <w:lastRenderedPageBreak/>
        <w:t>cirkel forværrer andre uligheder, bl.a. med hensyn til borgeres adgang til uddannelse, økonomisk overkommelige boliger, sundhedsbehandling og beskæftigelse; der henviser til, at energikrisen og inflationen har øget antallet af mennesker, der er ramt af usikkerhed, fattigdom og social udstødelse; der henviser til, at artikel 151 i TEUF henviser til grundlæggende sociale rettigheder, som f.eks. fastsat i den europæiske socialpagt; der henviser til, at den europæiske søjle for sociale rettigheder og gennemførelsen af dens handlingsplan er vigtige redskaber til at integrere prioriterede sociale mål i alle EU-politikker og en rettesnor for den faktiske gennemførelse af dens 20 principper;</w:t>
      </w:r>
    </w:p>
    <w:p w14:paraId="45F84FDB" w14:textId="77777777" w:rsidR="00147154" w:rsidRPr="00B32C9D" w:rsidRDefault="00147154" w:rsidP="00147154">
      <w:pPr>
        <w:pStyle w:val="NormalHanging12a"/>
      </w:pPr>
      <w:r w:rsidRPr="00B32C9D">
        <w:t>Y.</w:t>
      </w:r>
      <w:r w:rsidRPr="00B32C9D">
        <w:tab/>
        <w:t>der henviser til, at EU's tiltrædelse af den europæiske menneskerettighedskonvention (EMRK) er en forpligtelse i henhold til artikel 6, stk. 2, i TEU og fortsat har høj prioritet;</w:t>
      </w:r>
    </w:p>
    <w:p w14:paraId="621C5B66" w14:textId="77777777" w:rsidR="00147154" w:rsidRPr="00B32C9D" w:rsidRDefault="00147154" w:rsidP="00147154">
      <w:pPr>
        <w:pStyle w:val="NormalHanging12a"/>
        <w:rPr>
          <w:szCs w:val="24"/>
        </w:rPr>
      </w:pPr>
      <w:r w:rsidRPr="00B32C9D">
        <w:t>Z.</w:t>
      </w:r>
      <w:r w:rsidRPr="00B32C9D">
        <w:tab/>
        <w:t>der henviser til, at medlemsstaterne og EU's institutioner og organer, deriblandt EU-Domstolen, FRA og EPPO, alle spiller en afgørende rolle med hensyn til at opretholde EU's værdier og sikre overholdelse af grundlæggende rettigheder;</w:t>
      </w:r>
    </w:p>
    <w:p w14:paraId="74EB45E6" w14:textId="77777777" w:rsidR="00147154" w:rsidRPr="00B32C9D" w:rsidRDefault="00147154" w:rsidP="00147154">
      <w:pPr>
        <w:pStyle w:val="NormalHanging12a"/>
        <w:rPr>
          <w:szCs w:val="24"/>
        </w:rPr>
      </w:pPr>
      <w:r w:rsidRPr="00B32C9D">
        <w:t>AA.</w:t>
      </w:r>
      <w:r w:rsidRPr="00B32C9D">
        <w:tab/>
        <w:t>der henviser til, at Den Europæiske Ombudsmand foretog en undersøgelse af udveksling af personlige sms'er og telefonsamtaler i forbindelse med indkøb af covid-19-vacciner mellem Kommissionens formand og Pfizers administrerende direktør, som Kommissionen efterfølgende har afvist at offentliggøre; der henviser til, at ombudsmanden i juli 2022 konstaterede, at denne afvisning var udtryk for misforvaltning</w:t>
      </w:r>
      <w:r w:rsidRPr="00B32C9D">
        <w:rPr>
          <w:vertAlign w:val="superscript"/>
        </w:rPr>
        <w:footnoteReference w:id="46"/>
      </w:r>
      <w:r w:rsidRPr="00B32C9D">
        <w:t>;</w:t>
      </w:r>
    </w:p>
    <w:p w14:paraId="00E56D56" w14:textId="77777777" w:rsidR="00147154" w:rsidRPr="00B32C9D" w:rsidRDefault="00147154" w:rsidP="00147154">
      <w:pPr>
        <w:pStyle w:val="NormalHanging12a"/>
        <w:rPr>
          <w:szCs w:val="24"/>
        </w:rPr>
      </w:pPr>
      <w:r w:rsidRPr="00B32C9D">
        <w:t>AB.</w:t>
      </w:r>
      <w:r w:rsidRPr="00B32C9D">
        <w:tab/>
        <w:t>der henviser til, at retsstatsprincippet igennem flere år er blevet svækket i flere medlemsstater på grund af deres regeringers systematiske tiltag, især i Ungarn og Polen, mod hvilke der er igangværende høringer i henhold til artikel 7, stk. 1, i TEU; der henviser til, at der hurtigt opstår øget bekymring med hensyn til retsstatsprincippet og grundlæggende rettigheder i andre medlemsstater; der henviser til, at det er afgørende at sikre, at medlemsstaterne overholder OSCE's og andre internationale forpligtelser og standarder på området for demokratiske valg, herunder Venedigkommissionen;</w:t>
      </w:r>
    </w:p>
    <w:p w14:paraId="7CA03B8E" w14:textId="77777777" w:rsidR="00147154" w:rsidRPr="00B32C9D" w:rsidRDefault="00147154" w:rsidP="00147154">
      <w:pPr>
        <w:pStyle w:val="NormalHanging12a"/>
        <w:rPr>
          <w:szCs w:val="24"/>
        </w:rPr>
      </w:pPr>
      <w:r w:rsidRPr="00B32C9D">
        <w:t>AC.</w:t>
      </w:r>
      <w:r w:rsidRPr="00B32C9D">
        <w:tab/>
        <w:t>der henviser til, at fattigdom er en form for strukturel og social uretfærdighed, som bunder i kønsskævheder, forskelsbehandling og ulige muligheder for adgang til varer og tilbud, og at det fører til krænkelse af grundlæggende rettigheder; der henviser til, at bekæmpelse af fattigdom kræver, at der tages en tværgående tilgang i betragtning og lægges særlig vægt på personer i sårbare situationer såsom børn, kvinder, racialiserede og etniske miljøer, LGBTIQ+-personer, migranter og asylansøgere, personer med handicap og personer fra dårlige socioøkonomiske vilkår;</w:t>
      </w:r>
    </w:p>
    <w:p w14:paraId="2A19A316" w14:textId="77777777" w:rsidR="00147154" w:rsidRPr="00B32C9D" w:rsidRDefault="00147154" w:rsidP="00147154">
      <w:pPr>
        <w:pStyle w:val="NormalHanging12a"/>
        <w:rPr>
          <w:szCs w:val="24"/>
        </w:rPr>
      </w:pPr>
      <w:r w:rsidRPr="00B32C9D">
        <w:t>AD.</w:t>
      </w:r>
      <w:r w:rsidRPr="00B32C9D">
        <w:tab/>
        <w:t>der henviser til, at der ifølge Det Europæiske Miljøagenturs rapport med titlen "Air quality in Europe 2022" alene i 2020 var 238 000 for tidlige dødsfald som følge af eksponering for luftforurening med fine partikler i Unionen;</w:t>
      </w:r>
    </w:p>
    <w:p w14:paraId="3492429B" w14:textId="77777777" w:rsidR="00147154" w:rsidRPr="00B32C9D" w:rsidRDefault="00147154" w:rsidP="00147154">
      <w:pPr>
        <w:pStyle w:val="Normal12a24b"/>
        <w:rPr>
          <w:i/>
        </w:rPr>
      </w:pPr>
      <w:r w:rsidRPr="00B32C9D">
        <w:rPr>
          <w:rStyle w:val="Bold"/>
          <w:i/>
        </w:rPr>
        <w:lastRenderedPageBreak/>
        <w:t>Retsstatsprincippet og adgang til klage og domstolsprøvelse</w:t>
      </w:r>
    </w:p>
    <w:p w14:paraId="6A121650" w14:textId="77777777" w:rsidR="00147154" w:rsidRPr="00B32C9D" w:rsidRDefault="00147154" w:rsidP="00147154">
      <w:pPr>
        <w:pStyle w:val="NormalHanging12a"/>
      </w:pPr>
      <w:r w:rsidRPr="00B32C9D">
        <w:t>1.</w:t>
      </w:r>
      <w:r w:rsidRPr="00B32C9D">
        <w:tab/>
        <w:t>minder om frie mediers betydning for at opretholde demokratiet, holde offentlige og private institutioner ansvarlige og give borgerne adgang til information baseret på fakta; fremhæver betydningen af mediepluralisme og journalistisk frihed; fordømmer i stærke vendinger, at der i 2022 blev sat endnu en global rekord for antallet af fængslede journalister, og efterlyser fuld retsforfølgelse af mordene på undersøgende journalister i EU;</w:t>
      </w:r>
    </w:p>
    <w:p w14:paraId="52EEEB61" w14:textId="7453EFDD" w:rsidR="00147154" w:rsidRPr="00B32C9D" w:rsidRDefault="00147154" w:rsidP="00147154">
      <w:pPr>
        <w:pStyle w:val="NormalHanging12a"/>
        <w:rPr>
          <w:szCs w:val="24"/>
        </w:rPr>
      </w:pPr>
      <w:r w:rsidRPr="00B32C9D">
        <w:t>2.</w:t>
      </w:r>
      <w:r w:rsidRPr="00B32C9D">
        <w:tab/>
        <w:t>opfordrer medlemsstaterne til at gennemføre Kommissionens henstilling om beskyttelse af journalister og menneskerettighedsforkæmpere, som engagerer sig offentligt, mod åbenlyst grundløse eller urimelige retssager og mere konkret til at afskaffe fængselsstraffe for injurier, afkriminalisere ærekrænkelse og i stedet fremme civilretlige eller administrative procedurer; opfordrer indtrængende Kommissionen til at gribe ind over for grovheden af SLAPP, der anlægges som straffesager, ved at forelægge et forslag om foranstaltninger til at sikre, at injurier, ærekrænkelser og bagvaskelse, som er kriminelle handlinger i de fleste medlemsstater, ikke kan benyttes til SLAPP, hverken gennem offentlig eller privat retsforfølgning; understreger, at SLAPP'er blot er en af flere metoder, der anvendes til at lukke munden på journalister, og opfordrer Kommissionen til at foretage yderligere undersøgelser af andre metoder og til at gribe ind; opfordrer politikere til offentligt at fordømme trusler og angreb mod journalister;</w:t>
      </w:r>
    </w:p>
    <w:p w14:paraId="32C8CCCB" w14:textId="77777777" w:rsidR="00147154" w:rsidRPr="00B32C9D" w:rsidRDefault="00147154" w:rsidP="00147154">
      <w:pPr>
        <w:pStyle w:val="NormalHanging12a"/>
        <w:rPr>
          <w:szCs w:val="24"/>
        </w:rPr>
      </w:pPr>
      <w:r w:rsidRPr="00B32C9D">
        <w:t>3.</w:t>
      </w:r>
      <w:r w:rsidRPr="00B32C9D">
        <w:tab/>
        <w:t>gentager sin bekymring over misbruget af grundlæggende rettigheder i forbindelse med brugen af Pegasus-spyware og tilsvarende overvågningsspyware mod enkeltpersoner og højt profilerede personer, f.eks. journalister, bloggere, menneskerettighedsforkæmpere, politikere eller andre aktører; påpeger, at nationale statslige institutioners ulovlige brug af spyware har en direkte og indirekte indvirkning på beslutningstagning og undergraver derved demokratiet i EU, og understreger det presserende behov for større åbenhed og juridisk ansvar i overvågningsindustrien;</w:t>
      </w:r>
    </w:p>
    <w:p w14:paraId="5C655871" w14:textId="77777777" w:rsidR="00147154" w:rsidRPr="00B32C9D" w:rsidRDefault="00147154" w:rsidP="00147154">
      <w:pPr>
        <w:pStyle w:val="NormalHanging12a"/>
        <w:rPr>
          <w:szCs w:val="24"/>
        </w:rPr>
      </w:pPr>
      <w:r w:rsidRPr="00B32C9D">
        <w:t>4.</w:t>
      </w:r>
      <w:r w:rsidRPr="00B32C9D">
        <w:tab/>
        <w:t>opfordrer medlemsstaterne, især Grækenland, Ungarn, Polen, Spanien og Cypern, til at følge deres respektive henstillinger fra sin rapport om brugen af Pegasus-spyware og tilsvarende overvågningsspyware; minder om, at dens henstillinger til fælles EU-standarder skal følges, fordi individuelle rettigheder ikke må bringes i fare ved at tillade uhindret adgang til overvågning;</w:t>
      </w:r>
    </w:p>
    <w:p w14:paraId="36FED8F1" w14:textId="77777777" w:rsidR="00147154" w:rsidRPr="00B32C9D" w:rsidRDefault="00147154" w:rsidP="00147154">
      <w:pPr>
        <w:pStyle w:val="NormalHanging12a"/>
        <w:rPr>
          <w:szCs w:val="24"/>
        </w:rPr>
      </w:pPr>
      <w:r w:rsidRPr="00B32C9D">
        <w:t>5.</w:t>
      </w:r>
      <w:r w:rsidRPr="00B32C9D">
        <w:tab/>
        <w:t>opfordrer indtrængende medlemsstaterne til at udarbejde nationale handlingsplaner for journalisters sikkerhed og at skabe et gunstigt miljø, hvor pluralistiske og uafhængige medier kan blomstre og spille deres afgørende rolle som den vagthund, der stiller statslige myndigheder og andre aktører til ansvar;</w:t>
      </w:r>
    </w:p>
    <w:p w14:paraId="69D572FC" w14:textId="77777777" w:rsidR="00147154" w:rsidRPr="00B32C9D" w:rsidRDefault="00147154" w:rsidP="00147154">
      <w:pPr>
        <w:pStyle w:val="NormalHanging12a"/>
        <w:rPr>
          <w:szCs w:val="24"/>
        </w:rPr>
      </w:pPr>
      <w:r w:rsidRPr="00B32C9D">
        <w:t>6.</w:t>
      </w:r>
      <w:r w:rsidRPr="00B32C9D">
        <w:tab/>
        <w:t xml:space="preserve">minder om, at handel med og brug af spyware skal reguleres strengt; understreger, at brug af spyware kun må godkendes i særlige og konkrete sager med hensyn til efterforskning af en begrænset og lukket liste over klart og præcist defineret grov kriminalitet, at det skal berettiges på enkeltsagsbasis, overholde chartret og anden relevant EU-lovgivning og pålægges, </w:t>
      </w:r>
      <w:r w:rsidRPr="00B32C9D">
        <w:rPr>
          <w:i/>
        </w:rPr>
        <w:t>forudgående</w:t>
      </w:r>
      <w:r w:rsidRPr="00B32C9D">
        <w:t xml:space="preserve">, af en uafhængig og upartisk retslig myndighed med effektive, kendte og tilgængelige afhjælpende foranstaltninger; understreger, at al overvågning med spyware skal kontrolleres af en uafhængig </w:t>
      </w:r>
      <w:r w:rsidRPr="00B32C9D">
        <w:rPr>
          <w:i/>
          <w:iCs/>
        </w:rPr>
        <w:t>efterfølgende</w:t>
      </w:r>
      <w:r w:rsidRPr="00B32C9D">
        <w:t xml:space="preserve"> tilsynsmyndighed, som skal sikre, at al tilladt overvågning udføres i overensstemmelse med grundlæggende rettigheder og i overensstemmelse med de betingelser, der er fastsat af EU-Domstolen, Den Europæiske </w:t>
      </w:r>
      <w:r w:rsidRPr="00B32C9D">
        <w:lastRenderedPageBreak/>
        <w:t>Menneskerettighedsdomstol og Venedigkommissionen; fastholder, at personer, som er mål for spyware, skal have adgang til reelle og effektive retsmidler;</w:t>
      </w:r>
    </w:p>
    <w:p w14:paraId="3CA91ACB" w14:textId="77777777" w:rsidR="00147154" w:rsidRPr="00B32C9D" w:rsidRDefault="00147154" w:rsidP="00147154">
      <w:pPr>
        <w:pStyle w:val="NormalHanging12a"/>
        <w:rPr>
          <w:szCs w:val="24"/>
        </w:rPr>
      </w:pPr>
      <w:r w:rsidRPr="00B32C9D">
        <w:t>7.</w:t>
      </w:r>
      <w:r w:rsidRPr="00B32C9D">
        <w:tab/>
        <w:t>understreger, at korruption er uforenelig med de værdier, der bygger på demokrati og retsstatsprincippet, fordi korruption forværrer uligheder og undergraver borgernes tillid til god forvaltningspraksis; er dybt bekymret over den stigende korruption i flere medlemsstater, navnlig sager, der involverer højtstående embedsmænd og politikere; gentager sin fordømmelse af sager om påstand om korruption, der involverer nuværende og tidligere medlemmer af Europa-Parlamentet; understreger i lyset heraf vedtagelsen af ændringerne til sin forretningsorden, som tager sigte på at styrke dets integritet, uafhængighed og ansvarlighed; er bekymret over de forskellige gennemførelsesniveauer for EU's ramme for bekæmpelse af korruption i medlemsstaterne; opfordrer til, at nultolerance over for korruption skal være reglen; opfordrer til oprettelse af et uafhængigt etisk organ; opfordrer medlemsstaterne til at sikre, at direktivet om beskyttelse af whistleblowere gennemføres fuldt ud</w:t>
      </w:r>
      <w:r w:rsidRPr="00B32C9D">
        <w:rPr>
          <w:rStyle w:val="FootnoteReference"/>
        </w:rPr>
        <w:footnoteReference w:id="47"/>
      </w:r>
      <w:r w:rsidRPr="00B32C9D">
        <w:t>;</w:t>
      </w:r>
    </w:p>
    <w:p w14:paraId="3E75B124" w14:textId="77777777" w:rsidR="00147154" w:rsidRPr="00B32C9D" w:rsidRDefault="00147154" w:rsidP="00147154">
      <w:pPr>
        <w:pStyle w:val="NormalHanging12a"/>
      </w:pPr>
      <w:r w:rsidRPr="00B32C9D">
        <w:t>8.</w:t>
      </w:r>
      <w:r w:rsidRPr="00B32C9D">
        <w:tab/>
        <w:t>understreger, at retsvæsenets uafhængighed og effektive kontrolforanstaltninger, som kan variere fra den ene medlemsstat til den anden, er centrale elementer i retsstatsprincippet; gør opmærksom på, at der fortsat er alvorlige problemer med hensyn til retsstatsprincippet og domstolenes uafhængighed i flere medlemsstater; fordømmer ethvert forsøg fra medlemsstaternes regeringer på at udøve politisk indflydelse på eller kontrol over retsvæsenets uafhængige beslutningstagning enten direkte eller organisatorisk;</w:t>
      </w:r>
    </w:p>
    <w:p w14:paraId="44199249" w14:textId="77777777" w:rsidR="00147154" w:rsidRPr="00B32C9D" w:rsidRDefault="00147154" w:rsidP="00147154">
      <w:pPr>
        <w:pStyle w:val="NormalHanging12a"/>
        <w:rPr>
          <w:szCs w:val="24"/>
        </w:rPr>
      </w:pPr>
      <w:r w:rsidRPr="00B32C9D">
        <w:t>9.</w:t>
      </w:r>
      <w:r w:rsidRPr="00B32C9D">
        <w:tab/>
        <w:t>bakker op om, at der fastlægges en EU-strategi, som skal sikre konkret og koordineret handling på EU-plan, bl.a. i kraft af, at der oprettes en mekanisme til beskyttelse af menneskerettighedsforkæmpere i EU, som bygger på eksempler i EU's udenrigspolitik, for at sikre forebyggelse, direkte bistand og ansvarlighed;</w:t>
      </w:r>
    </w:p>
    <w:p w14:paraId="240DDD0D" w14:textId="77777777" w:rsidR="00147154" w:rsidRPr="00B32C9D" w:rsidRDefault="00147154" w:rsidP="00147154">
      <w:pPr>
        <w:pStyle w:val="NormalHanging12a"/>
      </w:pPr>
      <w:r w:rsidRPr="00B32C9D">
        <w:t>10.</w:t>
      </w:r>
      <w:r w:rsidRPr="00B32C9D">
        <w:tab/>
        <w:t>støtter anvendelsen af genopretnings- og resiliensfaciliteten og de horisontale grundforudsætninger for indefrysning af EU-midler til bekæmpelse af korruption og af tilbageskridt på retsstatsområdet i medlemsstaterne; understreger, at midler, der er begrænset gennem forskellige konditionalitetsforanstaltninger, kun må frigives, når der er opfyldt væsentlige grundforudsætninger; opfordrer indtrængende medlemsstaterne til at gennemføre passende foranstaltninger til at nå de milepæle, der er fastsat i deres respektive genopretnings- og resiliensplaner; opfordrer Det Europæiske Råd til at gribe ind og afgøre, om Ungarn har begået grove og vedvarende overtrædelser af EU's værdier i henhold til artikel 7, stk. 2, i TEU; beklager dybt de ungarske myndigheders systematiske udpegelse af LGBTQI+-personer som syndebukke; understreger, at Rådet bærer sin del af ansvaret for at beskytte de værdier, som er nedfældet i artikel 2 i TEU, og undladelse heraf vil have langvarige og potentielt skadelige konsekvenser; insisterer på, at Europa-Parlamentets rolle og beføjelser skal respekteres;</w:t>
      </w:r>
    </w:p>
    <w:p w14:paraId="42E61018" w14:textId="77777777" w:rsidR="00147154" w:rsidRPr="00B32C9D" w:rsidRDefault="00147154" w:rsidP="00147154">
      <w:pPr>
        <w:pStyle w:val="NormalHanging12a"/>
        <w:rPr>
          <w:szCs w:val="24"/>
        </w:rPr>
      </w:pPr>
      <w:r w:rsidRPr="00B32C9D">
        <w:t>11.</w:t>
      </w:r>
      <w:r w:rsidRPr="00B32C9D">
        <w:tab/>
        <w:t>beklager dybt, at nogle medlemsstater forlænger foranstaltninger for undtagelsestilstand, ud over hvad der er nødvendigt og forholdsmæssigt, og vedtager lovgivning hovedkulds uden behørigt samråd;</w:t>
      </w:r>
    </w:p>
    <w:p w14:paraId="0F04306E" w14:textId="77777777" w:rsidR="00147154" w:rsidRPr="00B32C9D" w:rsidRDefault="00147154" w:rsidP="00147154">
      <w:pPr>
        <w:pStyle w:val="NormalHanging12a"/>
        <w:rPr>
          <w:szCs w:val="24"/>
        </w:rPr>
      </w:pPr>
      <w:r w:rsidRPr="00B32C9D">
        <w:lastRenderedPageBreak/>
        <w:t>12.</w:t>
      </w:r>
      <w:r w:rsidRPr="00B32C9D">
        <w:tab/>
        <w:t>gentager, at der er et presserende behov for at oprette en EU-mekanisme til sikring af demokratiet, retsstatsprincippet og grundlæggende rettigheder, og opfordrer indtrængende Kommissionen og Rådet til straks at indlede forhandlinger med Europa-Parlamentet om en aftale på dette område;</w:t>
      </w:r>
    </w:p>
    <w:p w14:paraId="2EC298EB" w14:textId="77777777" w:rsidR="00147154" w:rsidRPr="00B32C9D" w:rsidRDefault="00147154" w:rsidP="00147154">
      <w:pPr>
        <w:pStyle w:val="NormalHanging12a"/>
        <w:rPr>
          <w:szCs w:val="24"/>
        </w:rPr>
      </w:pPr>
      <w:r w:rsidRPr="00B32C9D">
        <w:t>13.</w:t>
      </w:r>
      <w:r w:rsidRPr="00B32C9D">
        <w:tab/>
        <w:t>glæder sig over EU-Domstolens transmission og livestreaming i 2022, hvor offentligheden fik delvis adgang til at overvære dens retslige arbejde;</w:t>
      </w:r>
    </w:p>
    <w:p w14:paraId="7A71489C" w14:textId="77777777" w:rsidR="00147154" w:rsidRPr="00B32C9D" w:rsidRDefault="00147154" w:rsidP="00147154">
      <w:pPr>
        <w:pStyle w:val="Normal12a24b"/>
        <w:rPr>
          <w:i/>
        </w:rPr>
      </w:pPr>
      <w:r w:rsidRPr="00B32C9D">
        <w:rPr>
          <w:rStyle w:val="Bold"/>
          <w:i/>
        </w:rPr>
        <w:t>Frihedsrettigheder</w:t>
      </w:r>
    </w:p>
    <w:p w14:paraId="66FB6F52" w14:textId="77777777" w:rsidR="00147154" w:rsidRPr="00B32C9D" w:rsidRDefault="00147154" w:rsidP="00147154">
      <w:pPr>
        <w:pStyle w:val="NormalHanging12a"/>
        <w:rPr>
          <w:szCs w:val="24"/>
        </w:rPr>
      </w:pPr>
      <w:r w:rsidRPr="00B32C9D">
        <w:t>14.</w:t>
      </w:r>
      <w:r w:rsidRPr="00B32C9D">
        <w:tab/>
        <w:t>udtrykker dyb bekymring over de stigende trusler mod forenings-, ytrings- og forsamlingsfrihed; gentager, at retten til at deltage i fredelige forsamlinger kun kan begrænses, hvis det er fastsat ved lov, og hvis det er nødvendigt og forholdsmæssigt for at beskytte en almen interesse, der er anerkendt af Unionen, eller andres rettigheder og frihedsrettigheder; fordømmer brugen af til tider voldelige og uforholdsmæssige indgreb fra retshåndhævende myndigheder under fredelige demonstrationer og fordømmer tilfælde af vilkårlige massearrestationer af potentielle demonstranter; opfordrer de relevante nationale myndigheder til at sikre åben, uvildig, uafhængig og effektiv efterforskning ved mistanke eller påstand om overdreven magtanvendelse; opfordrer medlemsstaterne til at anvende andre metoder til opretholdelse af offentlig ro og orden, som har vist sig at være effektive i andre medlemsstater;</w:t>
      </w:r>
    </w:p>
    <w:p w14:paraId="56EA974C" w14:textId="77777777" w:rsidR="00147154" w:rsidRPr="00B32C9D" w:rsidRDefault="00147154" w:rsidP="00147154">
      <w:pPr>
        <w:pStyle w:val="NormalHanging12a"/>
      </w:pPr>
      <w:r w:rsidRPr="00B32C9D">
        <w:t>15.</w:t>
      </w:r>
      <w:r w:rsidRPr="00B32C9D">
        <w:tab/>
        <w:t>understreger, at for at sikre ytrings- og informationsfrihed, som er grundlæggende for ethvert demokrati, skal information være alment tilgængelig og mangfoldig; fremhæver, at kunstnerisk frihed skal garanteres; påpeger, at desinformation kan være særdeles skadeligt for velfungerende demokratiske samfund, økonomier og politiske systemer; gentager behovet for, at mediedannelse og digitale færdigheder medtages i folkeoplysning for at bekæmpe udbredelse af desinformation; gentager sine henstillinger til at træffe effektive foranstaltninger for at tackle desinformation fra ondsindede fremmede magter, navnlig med henblik på det kommende valg til Europa-Parlamentet; understreger, at et uafhængigt og pluralistisk medielandskab, såvel online som offline, er afgørende for effektivt at bekæmpe desinformation og propaganda og derfor skal fremmes, bl.a. i kraft af effektive foranstaltninger mod mediefusioner;</w:t>
      </w:r>
    </w:p>
    <w:p w14:paraId="00BB17C7" w14:textId="77777777" w:rsidR="00147154" w:rsidRPr="00B32C9D" w:rsidRDefault="00147154" w:rsidP="00147154">
      <w:pPr>
        <w:pStyle w:val="NormalHanging12a"/>
        <w:rPr>
          <w:szCs w:val="24"/>
        </w:rPr>
      </w:pPr>
      <w:r w:rsidRPr="00B32C9D">
        <w:t>16.</w:t>
      </w:r>
      <w:r w:rsidRPr="00B32C9D">
        <w:tab/>
        <w:t xml:space="preserve"> understreger, at nationale tilsynsmyndigheder og/eller -organer i henhold til EU-retten skal være funktionelt uafhængige af landets regering og ikke må opsøge eller modtage instrukser fra noget andet organ; noterer sig, at politisk uafhængig regulering af og tilsyn med medierne fra medlemsstaternes og Kommissionens side, beskyttelse af den redaktionelle uafhængighed i EU samt beskyttelse af journalister mod overvågning og beskyttelse af journalistiske kilder generelt har afgørende betydning; opfordrer i den henseende til vedtagelse af en robust EU-retsakt om mediefrihed for at garantere medieuafhængighed, -pluralisme og -frihed i EU, der sikrer åbenhed med hensyn til ejerskab og finansiering;</w:t>
      </w:r>
    </w:p>
    <w:p w14:paraId="248BE69D" w14:textId="77777777" w:rsidR="00147154" w:rsidRPr="00B32C9D" w:rsidRDefault="00147154" w:rsidP="00147154">
      <w:pPr>
        <w:pStyle w:val="NormalHanging12a"/>
        <w:rPr>
          <w:szCs w:val="24"/>
        </w:rPr>
      </w:pPr>
      <w:r w:rsidRPr="00B32C9D">
        <w:t>17.</w:t>
      </w:r>
      <w:r w:rsidRPr="00B32C9D">
        <w:tab/>
        <w:t xml:space="preserve">understreger den afgørende rolle, som civilsamfundsorganisationer spiller med hensyn til at fremme aktivt medborgerskab, grundlæggende rettigheder og demokratisk deltagelse i Europa; opfordrer indtrængende til at fremsætte en strategi og opstille minimumsstandarder for beskyttelse af civilsamfundsorganisationer i alle medlemsstater for at fremme et lovgivningsmæssigt og politisk miljø uden afskrækkende konsekvenser, trusler og angreb og for at give civilsamfundsorganisationer vedvarende og ikkediskriminerende adgang til ressourcer og for at støtte deres engagement i den </w:t>
      </w:r>
      <w:r w:rsidRPr="00B32C9D">
        <w:lastRenderedPageBreak/>
        <w:t>civile dialog samt deltagelse i den politiske beslutningsproces; beklager dybt, at situationen for menneskerettighedsforkæmpere i EU er blevet forværret i alarmerende grad i de senere år; opfordrer indtrængende Kommissionen og medlemsstaterne til at træffe de nødvendige foranstaltninger for at sikre, at menneskerettighedsforkæmpere kan arbejde uden hindringer og usikkerhed;</w:t>
      </w:r>
    </w:p>
    <w:p w14:paraId="261AED27" w14:textId="77777777" w:rsidR="00147154" w:rsidRPr="00B32C9D" w:rsidRDefault="00147154" w:rsidP="00147154">
      <w:pPr>
        <w:pStyle w:val="NormalHanging12a"/>
        <w:rPr>
          <w:szCs w:val="24"/>
        </w:rPr>
      </w:pPr>
      <w:r w:rsidRPr="00B32C9D">
        <w:t>18.</w:t>
      </w:r>
      <w:r w:rsidRPr="00B32C9D">
        <w:tab/>
        <w:t>minder om, at enhver i henhold til chartrets artikel 6 har ret til frihed og sikkerhed, hvilket betyder, at enhver i EU bør beskyttes mod ulovlig og vilkårlig anholdelse; opfordrer medlemsstaterne til at følge Kommissionens henstilling om proceduremæssige rettigheder for mistænkte og tiltalte og dermed sikre øget beskyttelse af retten til frihed og sikkerhed;</w:t>
      </w:r>
    </w:p>
    <w:p w14:paraId="7208C785" w14:textId="77777777" w:rsidR="00147154" w:rsidRPr="00B32C9D" w:rsidRDefault="00147154" w:rsidP="00147154">
      <w:pPr>
        <w:pStyle w:val="NormalHanging12a"/>
      </w:pPr>
      <w:r w:rsidRPr="00B32C9D">
        <w:t>19.</w:t>
      </w:r>
      <w:r w:rsidRPr="00B32C9D">
        <w:tab/>
        <w:t>fordømmer stigningen i religiøs og trosbaseret diskrimination og racistiske hændelser i EU; opfordrer Kommissionen og medlemsstaterne til at træffe afgørende foranstaltninger i den henseende, herunder på internationalt plan; minder om, at i henhold til artikel 10 i chartret har enhver ret til at tænke frit og til samvittigheds- og religionsfrihed; beklager, at tilfælde af forskelsbehandling, racistiske og fremmedhadske forbrydelser ofte ikke indberettes til myndighederne, hvilket fører til de facto-straffrihed; beklager, at ikke alle medlemsstater har gennemført Rådets rammeafgørelse i fuld udstrækning om bekæmpelse af bestemte former for og tilkendegivelser af racisme og fremmedhad ved hjælp af straffelovgivningen;</w:t>
      </w:r>
    </w:p>
    <w:p w14:paraId="55DB3369" w14:textId="77777777" w:rsidR="00147154" w:rsidRPr="00B32C9D" w:rsidRDefault="00147154" w:rsidP="00147154">
      <w:pPr>
        <w:pStyle w:val="NormalHanging12a"/>
        <w:rPr>
          <w:szCs w:val="24"/>
        </w:rPr>
      </w:pPr>
      <w:r w:rsidRPr="00B32C9D">
        <w:t>20.</w:t>
      </w:r>
      <w:r w:rsidRPr="00B32C9D">
        <w:tab/>
        <w:t>er bekymret over det stigende antal tilfælde af politivold mod romaer; opfordrer medlemsstaterne til at efterforske disse hændelser omhyggeligt for at sikre, at der ikke er straffrihed for at indføre og/eller anvende undertrykkende og voldelige foranstaltninger over for individuelle romaer eller romabefolkningsgrupper; opfordrer endvidere medlemsstaterne til at tackle tendentiøse politirapporter og -optagelser, retsforfølgelse og domstolsafgørelser og til at afhjælpe romabefolkningens utilstrækkelige adgang til klage og domstolsprøvelse;</w:t>
      </w:r>
    </w:p>
    <w:p w14:paraId="55502F91" w14:textId="77777777" w:rsidR="00147154" w:rsidRPr="00B32C9D" w:rsidRDefault="00147154" w:rsidP="00147154">
      <w:pPr>
        <w:pStyle w:val="NormalHanging12a"/>
        <w:rPr>
          <w:szCs w:val="24"/>
        </w:rPr>
      </w:pPr>
      <w:r w:rsidRPr="00B32C9D">
        <w:t>21.</w:t>
      </w:r>
      <w:r w:rsidRPr="00B32C9D">
        <w:tab/>
        <w:t>påpeger, at på grund af dataindsamlingen af dagligdagen og dataskandalerne har retten til beskyttelse af personoplysninger voksende betydning; gentager sin bekymring over den uensartede anvendelse af den generelle forordning om databeskyttelse; bakker op om initiativerne til at styrke lovgivningsprocessen i en EU-lovramme for kunstig intelligens til at tilvejebringe robuste beskyttelsesforanstaltninger for grundlæggende rettigheder;</w:t>
      </w:r>
    </w:p>
    <w:p w14:paraId="003DA126" w14:textId="77777777" w:rsidR="00147154" w:rsidRPr="00B32C9D" w:rsidRDefault="00147154" w:rsidP="00147154">
      <w:pPr>
        <w:pStyle w:val="NormalHanging12a"/>
      </w:pPr>
      <w:r w:rsidRPr="00B32C9D">
        <w:t>22.</w:t>
      </w:r>
      <w:r w:rsidRPr="00B32C9D">
        <w:tab/>
        <w:t>fordømmer i stærke vendinger de udbredte krænkelser af grundlæggende rettigheder og anvendelsen af uforholdsmæssig vold ved EU's grænser mod migranter, herunder flygtninge, såsom vilkårlig frihedsberøvelse, umenneskelige leveforhold og manglende adgang til sundhedsbehandling, ulovlige tilbagesendelser og voldelige afvisninger; er meget bekymret over, at medlemsstaterne kodificerer brugen af afvisninger i deres nationale lovgivning; fordømmer alle love i medlemsstaterne, der undergraver effektiv beskyttelse af flygtninges, asylansøgeres og migranters menneskerettigheder på landjorden og til søs, samt kriminaliseringen af humanitære hjælpearbejdere og aktivister; fremhæver, at næsten en tredjedel af asylansøgere er børn, og gentager, at frihedsberøvelse af migrantbørn ikke bør være tilladt;</w:t>
      </w:r>
    </w:p>
    <w:p w14:paraId="575BEF9E" w14:textId="77777777" w:rsidR="00147154" w:rsidRPr="00B32C9D" w:rsidRDefault="00147154" w:rsidP="00147154">
      <w:pPr>
        <w:pStyle w:val="NormalHanging12a"/>
        <w:rPr>
          <w:szCs w:val="24"/>
        </w:rPr>
      </w:pPr>
      <w:r w:rsidRPr="00B32C9D">
        <w:t>23.</w:t>
      </w:r>
      <w:r w:rsidRPr="00B32C9D">
        <w:tab/>
        <w:t xml:space="preserve">opfordrer EU og medlemsstaterne til at sikre, at der indføres effektive tilsynsmekanismer for at sikre overholdelse af grundlæggende rettigheder ved de ydre grænser, som også skal overvåge aktiviteter i forbindelse med grænseovervågning; </w:t>
      </w:r>
      <w:r w:rsidRPr="00B32C9D">
        <w:lastRenderedPageBreak/>
        <w:t>opfordrer desuden Kommissionen og medlemsstaterne til at sikre, at personer, hvis data opbevares i databaserne i EU's store informationssystemer, informeres om deres rettigheder og har adgang til retsmidler;</w:t>
      </w:r>
    </w:p>
    <w:p w14:paraId="7D045ECE" w14:textId="77777777" w:rsidR="00147154" w:rsidRPr="00B32C9D" w:rsidRDefault="00147154" w:rsidP="00147154">
      <w:pPr>
        <w:pStyle w:val="NormalHanging12a"/>
        <w:rPr>
          <w:szCs w:val="24"/>
        </w:rPr>
      </w:pPr>
      <w:r w:rsidRPr="00B32C9D">
        <w:t>24.</w:t>
      </w:r>
      <w:r w:rsidRPr="00B32C9D">
        <w:tab/>
        <w:t>beklager dybt det store antal dødsfald blandt flygtninge og migranter til søs, som ofte er ofre for menneskehandel og udsættes for umenneskelig og nedværdigende behandling uden hensyn til deres sikkerhed; gentager forpligtelsen i henhold til den internationale havret til at komme personer i havsnød til undsætning og opfordrer indtrængende til permanent koordinerede eftersøgnings- og redningsoperationer med hurtige landsætninger, og til at medlemsstaterne træffer alle tænkelige foranstaltninger for at redde nødstedte til søs; opfordrer til, at retten for reddede personer til søs til at søge asyl respekteres ved at foretage individuelle vurderinger i de konkrete sager;</w:t>
      </w:r>
    </w:p>
    <w:p w14:paraId="2BB60E55" w14:textId="77777777" w:rsidR="00147154" w:rsidRPr="00B32C9D" w:rsidRDefault="00147154" w:rsidP="00147154">
      <w:pPr>
        <w:pStyle w:val="NormalHanging12a"/>
        <w:rPr>
          <w:szCs w:val="24"/>
        </w:rPr>
      </w:pPr>
      <w:r w:rsidRPr="00B32C9D">
        <w:t>25.</w:t>
      </w:r>
      <w:r w:rsidRPr="00B32C9D">
        <w:tab/>
        <w:t>bemærker, at flere medlemsstater anvender national sikkerhed som en afgørende faktor for indenrigspolitik, f.eks. vedrørende migration; understreger, at alle foranstaltninger, der træffes på grundlag af national sikkerhed, skal være nødvendige og forholdsmæssige og ikke må undergrave de rettigheder, der garanteres af chartret; minder om, at artikel 19 i chartret yder beskyttelse i tilfælde af udsendelse, udvisning eller udlevering ved at forbyde kollektive udvisninger og derfor kræver individuelle vurderinger og forbyder afvisning af ansøgninger om international beskyttelse baseret udelukkende på en bestemt nationalitet;</w:t>
      </w:r>
    </w:p>
    <w:p w14:paraId="02509259" w14:textId="77777777" w:rsidR="00147154" w:rsidRPr="00B32C9D" w:rsidRDefault="00147154" w:rsidP="00147154">
      <w:pPr>
        <w:pStyle w:val="NormalHanging12a"/>
        <w:rPr>
          <w:szCs w:val="24"/>
        </w:rPr>
      </w:pPr>
      <w:r w:rsidRPr="00B32C9D">
        <w:t>26.</w:t>
      </w:r>
      <w:r w:rsidRPr="00B32C9D">
        <w:tab/>
        <w:t>glæder sig over aktiveringen af EU-direktivet om midlertidig beskyttelse</w:t>
      </w:r>
      <w:r w:rsidRPr="00B32C9D">
        <w:rPr>
          <w:rStyle w:val="FootnoteReference"/>
        </w:rPr>
        <w:footnoteReference w:id="48"/>
      </w:r>
      <w:r w:rsidRPr="00B32C9D">
        <w:t xml:space="preserve"> som følge af krigen mod Ukraine, der har til formål at sikre adgang til beskyttelse for flygtninge og asylansøgere uanset oprindelse; minder om, at adgang til bolig, beskæftigelse, uddannelse, sundhedsbehandling og sociale tilbud i henhold til direktivet om midlertidig beskyttelse tager højde for en kønsbaseret tilgang; beklager den ulige behandling, racediskrimination og vold, som ikkeukrainere, der flygter fra konflikten, udsættes for, navnlig mennesker med en anden hudfarve end hvid og LGBTIQ+-personer; beklager dobbeltmoralen med hensyn til migranter og flygtninge i EU, og opfordrer til, at denne situation bringes til ophør;</w:t>
      </w:r>
    </w:p>
    <w:p w14:paraId="680B0E09" w14:textId="77777777" w:rsidR="00147154" w:rsidRPr="00B32C9D" w:rsidRDefault="00147154" w:rsidP="00147154">
      <w:pPr>
        <w:pStyle w:val="NormalHanging12a"/>
        <w:rPr>
          <w:szCs w:val="24"/>
        </w:rPr>
      </w:pPr>
      <w:r w:rsidRPr="00B32C9D">
        <w:t>27.</w:t>
      </w:r>
      <w:r w:rsidRPr="00B32C9D">
        <w:tab/>
        <w:t>glæder sig over anbefalingen fra Europarådets Ministerkomité om beskyttelse af migranters, flygtninges og asylsøgende kvinders og pigers rettigheder og opfordrer medlemsstaterne til at træffe foranstaltninger til at forebygge forskelsbehandling af sådanne kvinder, herunder ved at fremme adgangen til beskæftigelse, seksuel og reproduktiv sundhedspleje samt muliggøre adgang til tilbud og domstolsprøvelse for overlevende af kønsbaseret vold</w:t>
      </w:r>
      <w:r w:rsidRPr="00B32C9D">
        <w:rPr>
          <w:vertAlign w:val="superscript"/>
        </w:rPr>
        <w:footnoteReference w:id="49"/>
      </w:r>
      <w:r w:rsidRPr="00B32C9D">
        <w:t>;</w:t>
      </w:r>
    </w:p>
    <w:p w14:paraId="0B2667D6" w14:textId="77777777" w:rsidR="00147154" w:rsidRPr="00B32C9D" w:rsidRDefault="00147154" w:rsidP="00147154">
      <w:pPr>
        <w:pStyle w:val="NormalHanging12a"/>
        <w:rPr>
          <w:szCs w:val="24"/>
        </w:rPr>
      </w:pPr>
      <w:r w:rsidRPr="00B32C9D">
        <w:t>28.</w:t>
      </w:r>
      <w:r w:rsidRPr="00B32C9D">
        <w:tab/>
        <w:t xml:space="preserve">bemærker med bekymring den store gruppe af statsløse personer i EU, navnlig børn, der fødes som statsløse; opfordrer Kommissionen til at udarbejde en omfattende strategi og handlingsplan for at afhjælpe statsløshed i EU og til at beskytte dem mod udvisning; opfordrer til, at medlemsstaterne identificerer, anerkender og beskytter statsløse </w:t>
      </w:r>
      <w:r w:rsidRPr="00B32C9D">
        <w:lastRenderedPageBreak/>
        <w:t>personer ved at tage højde for statsløse personers konkrete sårbarheder;</w:t>
      </w:r>
    </w:p>
    <w:p w14:paraId="5B6A2AD2" w14:textId="77777777" w:rsidR="00147154" w:rsidRPr="00B32C9D" w:rsidRDefault="00147154" w:rsidP="00147154">
      <w:pPr>
        <w:pStyle w:val="Normal12a24b"/>
        <w:rPr>
          <w:i/>
        </w:rPr>
      </w:pPr>
      <w:r w:rsidRPr="00B32C9D">
        <w:rPr>
          <w:rStyle w:val="Bold"/>
          <w:i/>
        </w:rPr>
        <w:t>Lighed og værdighed</w:t>
      </w:r>
    </w:p>
    <w:p w14:paraId="12F9AF55" w14:textId="77777777" w:rsidR="00147154" w:rsidRPr="00B32C9D" w:rsidRDefault="00147154" w:rsidP="00147154">
      <w:pPr>
        <w:pStyle w:val="NormalHanging12a"/>
      </w:pPr>
      <w:r w:rsidRPr="00B32C9D">
        <w:t>29.</w:t>
      </w:r>
      <w:r w:rsidRPr="00B32C9D">
        <w:tab/>
        <w:t>opfordrer Kommissionen til at sikre, at retten til at være forskånet for forskelsbehandling og ligebehandling respekteres overalt i EU; beklager, at forslaget til et horisontalt direktiv om bekæmpelse af forskelsbehandling har været blokeret i Rådet siden 2008; mener, at al ajourføring af dette forslag fra Kommissionen skal bygge på Europa-Parlamentets holdning, imødegå intersektionel forskelsbehandling og udtrykkeligt forbyde forskelsbehandling af enhver kombination af grunde, der er anført i chartret; beklager, at Rådet har ignoreret disse anmodninger, og opfordrer indtrængende Rådet til at integrere dem i sit mandat og til at træffe alle passende foranstaltninger til bekæmpelse af forskelsbehandling i EU;</w:t>
      </w:r>
    </w:p>
    <w:p w14:paraId="0FC7F8B8" w14:textId="77777777" w:rsidR="00147154" w:rsidRPr="00B32C9D" w:rsidRDefault="00147154" w:rsidP="00147154">
      <w:pPr>
        <w:pStyle w:val="NormalHanging12a"/>
        <w:rPr>
          <w:szCs w:val="24"/>
        </w:rPr>
      </w:pPr>
      <w:r w:rsidRPr="00B32C9D">
        <w:t>30.</w:t>
      </w:r>
      <w:r w:rsidRPr="00B32C9D">
        <w:tab/>
        <w:t>opfordrer Kommissionen til at overvåge og behørigt følge op på gennemførelse af medlemsstaternes nationale handlingsplaner mod racisme og EU's handlingsplan for bekæmpelse af racisme; opfordrer endvidere indtrængende Kommissionen til at integrere bekæmpelse af racisme og forskelsbehandling i al EU-politik; opfordrer de kommende rådsformandskaber til seriøst at overveje at sammensætte Rådet baseret på kønsligestilling og ligestilling;</w:t>
      </w:r>
    </w:p>
    <w:p w14:paraId="059D5E19" w14:textId="77777777" w:rsidR="00147154" w:rsidRPr="00B32C9D" w:rsidRDefault="00147154" w:rsidP="00147154">
      <w:pPr>
        <w:pStyle w:val="NormalHanging12a"/>
        <w:rPr>
          <w:szCs w:val="24"/>
        </w:rPr>
      </w:pPr>
      <w:r w:rsidRPr="00B32C9D">
        <w:t>31.</w:t>
      </w:r>
      <w:r w:rsidRPr="00B32C9D">
        <w:tab/>
        <w:t>opfordrer Kommissionen og medlemsstaterne til at bekæmpe racediskrimination på alle områder i samfundet ved at lægge særlig vægt på uddannelse og forebygge adskillelse i skoler ved hjælp af effektive lovgivningsmæssige og politiske foranstaltninger både i medlemsstaterne og i udvidelseslande;</w:t>
      </w:r>
    </w:p>
    <w:p w14:paraId="012FA1DA" w14:textId="77777777" w:rsidR="00147154" w:rsidRPr="00B32C9D" w:rsidRDefault="00147154" w:rsidP="00147154">
      <w:pPr>
        <w:pStyle w:val="NormalHanging12a"/>
        <w:rPr>
          <w:szCs w:val="24"/>
        </w:rPr>
      </w:pPr>
      <w:r w:rsidRPr="00B32C9D">
        <w:t>32.</w:t>
      </w:r>
      <w:r w:rsidRPr="00B32C9D">
        <w:tab/>
        <w:t xml:space="preserve">minder, med hensyn til digitalisering, om behovet for at være særligt opmærksom på indføring af forskelsbehandlende skævheder i nye teknologier samt behovet for at kræve, at udviklere og udbredere tilvejebringer offentligt tilgængelig information om, hvordan disse systemer oplæres; opfordrer Kommissionen og medlemsstaterne til at træffe foranstaltninger til at hindre nye teknologier, herunder kunstig intelligens, i at forværre forskelsbehandling, eksisterende uligheder og fattigdom; opfordrer Kommissionen og medlemsstaterne til at sikre, at systemer med kunstig intelligens er styret af principper om åbenhed, forklarlighed, retfærdighed og ansvarlighed, og at der gennemføres konsekvensanalyser af grundlæggende rettigheder; opfordrer desuden Kommissionen og medlemsstaterne til at tackle køns- og mangfoldighedsforskelle i informations- og kommunikationsteknologier (IKT) samt STEM-sektorer (videnskab, teknologi, teknik og matematik), navnlig ved udvikling af nye teknologier, og især på beslutningsposter; </w:t>
      </w:r>
    </w:p>
    <w:p w14:paraId="1B60E796" w14:textId="77777777" w:rsidR="00147154" w:rsidRPr="00B32C9D" w:rsidRDefault="00147154" w:rsidP="00147154">
      <w:pPr>
        <w:pStyle w:val="NormalHanging12a"/>
        <w:rPr>
          <w:szCs w:val="24"/>
        </w:rPr>
      </w:pPr>
      <w:r w:rsidRPr="00B32C9D">
        <w:t>33.</w:t>
      </w:r>
      <w:r w:rsidRPr="00B32C9D">
        <w:tab/>
        <w:t>minder om, at vigtigheden af, at børn, der tilhører nationale mindretal, kan modtage undervisning på særlige skoler, der tilbyder uddannelse på deres sprog; tilskynder til inddragelse af nationale repræsentanter for mindretal i beslutningsprocesser, der påvirker deres undervisningssystemer;</w:t>
      </w:r>
    </w:p>
    <w:p w14:paraId="6FA13298" w14:textId="77777777" w:rsidR="00147154" w:rsidRPr="00B32C9D" w:rsidRDefault="00147154" w:rsidP="00147154">
      <w:pPr>
        <w:pStyle w:val="NormalHanging12a"/>
      </w:pPr>
      <w:r w:rsidRPr="00B32C9D">
        <w:t>34.</w:t>
      </w:r>
      <w:r w:rsidRPr="00B32C9D">
        <w:tab/>
        <w:t xml:space="preserve">minder om, at kønsbaseret vold er meget udbredt i alle medlemsstater i hele EU; fordømmer i stærke vendinger de hastige tilbageskridt for kvinders og LGBTIQ+-personers rettigheder i flere medlemsstater; fordømmer i stærke vendinger afvisningen af adgang til sikre og lovlige aborttilbud, fordi det er en form for kønsbaseret vold; understreger, at Den Europæiske Menneskerettighedsdomstol har fastslået, at restriktive abortlove og manglende gennemførelse krænker kvinders ret til kropslig autonomi og </w:t>
      </w:r>
      <w:r w:rsidRPr="00B32C9D">
        <w:lastRenderedPageBreak/>
        <w:t>integritet; gentager sin fordømmelse af den polske lov, som indfører et nærmest totalt forbud mod abort; minder om, at borgere, der hjælper med at give adgang til aborttilbud, hvor det ikke er gratis og lovligt tilgængeligt, ikke bør retsforfølges; gentager sin opfordring til, at retten til abort medtages i chartret;</w:t>
      </w:r>
    </w:p>
    <w:p w14:paraId="161ED30A" w14:textId="77777777" w:rsidR="00147154" w:rsidRPr="00B32C9D" w:rsidRDefault="00147154" w:rsidP="00147154">
      <w:pPr>
        <w:pStyle w:val="NormalHanging12a"/>
        <w:rPr>
          <w:szCs w:val="24"/>
        </w:rPr>
      </w:pPr>
      <w:r w:rsidRPr="00B32C9D">
        <w:t>35.</w:t>
      </w:r>
      <w:r w:rsidRPr="00B32C9D">
        <w:tab/>
        <w:t>glæder sig over Kommissionens forslag til et direktiv om bekæmpelse af vold mod kvinder og vold i hjemmet og opfordrer til hurtig afslutning af forhandlingerne og til at medtage kønsbaseret vold på listen over strafbare handlinger i EU; fremhæver, at et sådant direktiv bør garantere de forpligtelser, der fastsættes i Istanbulkonventionen, som en minimumsstandard og sigte mod at styrke disse standarder for at øge beskyttelsesniveauet; glæder sig over EU's ratificering af Istanbulkonventionen, som træder i kraft den 1. oktober 2023; opfordrer de resterende medlemsstater til at ratificere konventionen for at beskytte kvinder mod vold;</w:t>
      </w:r>
    </w:p>
    <w:p w14:paraId="3792F263" w14:textId="77777777" w:rsidR="00147154" w:rsidRPr="00B32C9D" w:rsidRDefault="00147154" w:rsidP="00147154">
      <w:pPr>
        <w:pStyle w:val="NormalHanging12a"/>
        <w:rPr>
          <w:szCs w:val="24"/>
        </w:rPr>
      </w:pPr>
      <w:r w:rsidRPr="00B32C9D">
        <w:t>36.</w:t>
      </w:r>
      <w:r w:rsidRPr="00B32C9D">
        <w:tab/>
        <w:t>understreger, at personer med handicap, navnlig kvinder med handicap, fortsat udsættes for mangeartet og intersektionel forskelsbehandling på grund af deres handicap, køn, race, etnicitet, alder, religion eller tro, seksuelle orientering, migrationsstatus eller socioøkonomiske baggrund; understreger, at kvinder og piger med handicap er særligt udsat for kønsbaseret vold, herunder fysisk, seksuel, psykisk og økonomisk vold; opfordrer Kommissionen og medlemsstaterne til at sikre, at der indføres og tilvejebringes mekanismer til anmeldelse af vold mod personer med handicap samt støttetilbud til ofre;</w:t>
      </w:r>
    </w:p>
    <w:p w14:paraId="1B698BF2" w14:textId="77777777" w:rsidR="00147154" w:rsidRPr="00B32C9D" w:rsidRDefault="00147154" w:rsidP="00147154">
      <w:pPr>
        <w:pStyle w:val="NormalHanging12a"/>
        <w:rPr>
          <w:szCs w:val="24"/>
        </w:rPr>
      </w:pPr>
      <w:r w:rsidRPr="00B32C9D">
        <w:t>37.</w:t>
      </w:r>
      <w:r w:rsidRPr="00B32C9D">
        <w:tab/>
        <w:t>understreger, at børns rettigheder er universelle, og at alle børn nyder samme rettigheder uden forskelsbehandling såsom retten til anerkendelse af forældreskab, herunder par af samme køn; glæder sig over Kommissionens forslag til en forordning om kompetence, lovvalg, anerkendelse af retsafgørelser og accept af officielt bekræftede dokumenter vedrørende forældreskab og om indførelse af en europæisk forældreskabsattest med det mål at beskytte alle børns rettigheder ved at sikre, at deres forældreskab, herunder navnlig forældre af samme køn, som fastslået i én EU-medlemsstat, anerkendes i alle øvrige EU-medlemsstater;</w:t>
      </w:r>
    </w:p>
    <w:p w14:paraId="3B2A7D6F" w14:textId="77777777" w:rsidR="00147154" w:rsidRPr="00B32C9D" w:rsidRDefault="00147154" w:rsidP="00147154">
      <w:pPr>
        <w:pStyle w:val="NormalHanging12a"/>
        <w:rPr>
          <w:szCs w:val="24"/>
        </w:rPr>
      </w:pPr>
      <w:r w:rsidRPr="00B32C9D">
        <w:t>38.</w:t>
      </w:r>
      <w:r w:rsidRPr="00B32C9D">
        <w:tab/>
        <w:t>opfordrer medlemsstaterne til at gøre tvangssterilisering strafbart; gentager sin holdning til, at direktivet om bekæmpelse af vold mod kvinder og vold i hjemmet medtager tvangssterilisering som en strafbar handling i henhold til artikel 83, stk. 1, i TEUF;</w:t>
      </w:r>
    </w:p>
    <w:p w14:paraId="681ADFD7" w14:textId="77777777" w:rsidR="00147154" w:rsidRPr="00B32C9D" w:rsidRDefault="00147154" w:rsidP="00147154">
      <w:pPr>
        <w:pStyle w:val="NormalHanging12a"/>
        <w:rPr>
          <w:szCs w:val="24"/>
        </w:rPr>
      </w:pPr>
      <w:r w:rsidRPr="00B32C9D">
        <w:t>39.</w:t>
      </w:r>
      <w:r w:rsidRPr="00B32C9D">
        <w:tab/>
        <w:t>minder om, at hadforbrydelser og hadpropaganda motiveret af racisme, fremmedhad eller religiøs intolerance eller af fjendtlighed eller fordom baseret på en persons handicap, seksuelle orientering, kønsidentitet, kønsudtryk eller kønskarakteristika er ekstreme eksempler på forskelsbehandling; bemærker, at medlemsstaterne har pligt til at bekæmpe og efterforske hadforbrydelser, straffe gerningsmændene og træffe forebyggende foranstaltninger; understreger behovet for korrekt registrering af hadforbrydelser hos de retshåndhævende myndigheder for bedre at kunne forstå arten og hyppigheden af dette fænomen og dets indvirkning på ofrene og for at afhjælpe de grundlæggende årsager;</w:t>
      </w:r>
    </w:p>
    <w:p w14:paraId="6A0A371C" w14:textId="77777777" w:rsidR="00147154" w:rsidRPr="00B32C9D" w:rsidRDefault="00147154" w:rsidP="00147154">
      <w:pPr>
        <w:pStyle w:val="NormalHanging12a"/>
      </w:pPr>
      <w:r w:rsidRPr="00B32C9D">
        <w:t>40.</w:t>
      </w:r>
      <w:r w:rsidRPr="00B32C9D">
        <w:tab/>
        <w:t>glæder sig over Kommissionens initiativ til at udvide listen over kriminalitet i EU i artikel 83, stk. 1, i TEUF til at omfatte hadpropaganda og hadforbrydelser og fremhæver behovet for at sikre en robust strafferetlig reaktion fra EU på hadpropaganda og hadforbrydelser; beklager i stærke vendinger den forsinkede godkendelse af initiativet og gentager sin opfordring til Rådet om at arbejde hurtigt for at sikre enighed;</w:t>
      </w:r>
    </w:p>
    <w:p w14:paraId="24F11E9E" w14:textId="77777777" w:rsidR="00147154" w:rsidRPr="00B32C9D" w:rsidRDefault="00147154" w:rsidP="00147154">
      <w:pPr>
        <w:pStyle w:val="NormalHanging12a"/>
        <w:rPr>
          <w:szCs w:val="24"/>
        </w:rPr>
      </w:pPr>
      <w:r w:rsidRPr="00B32C9D">
        <w:lastRenderedPageBreak/>
        <w:t>41.</w:t>
      </w:r>
      <w:r w:rsidRPr="00B32C9D">
        <w:tab/>
        <w:t>minder om, at EU-lovgivning om hadpropaganda og hadforbrydelser bør beskytte menneskelig værdighed og bekæmpe had og intolerance universelt, uanset deres motivation, med særligt fokus på målrettede personer, grupper og miljøer; fordømmer i stærke vendinger alle former for hadpropaganda og smædekampagner i offentlige medier rettet imod journalister, politikere, offentligt ansatte, aktivister og andre aktører;</w:t>
      </w:r>
    </w:p>
    <w:p w14:paraId="51304706" w14:textId="77777777" w:rsidR="00147154" w:rsidRPr="00B32C9D" w:rsidRDefault="00147154" w:rsidP="00147154">
      <w:pPr>
        <w:pStyle w:val="NormalHanging12a"/>
        <w:rPr>
          <w:szCs w:val="24"/>
        </w:rPr>
      </w:pPr>
      <w:r w:rsidRPr="00B32C9D">
        <w:t>42.</w:t>
      </w:r>
      <w:r w:rsidRPr="00B32C9D">
        <w:tab/>
        <w:t>opfordrer Kommissionen til at sikre effektiv overvågning af gennemførelsen af foranstaltningerne i de forskellige ligestillingsstrategier såsom EU's Strategi for ligestilling af LGBTIQ+-personer 2020-2025, EU's strategi for ligestilling mellem kvinder og mænd 2020-2025, strategien for romaers ligestilling og inklusion samt EU's handlingsplan for bekæmpelse af racisme 2020-2025; opfordrer indtrængende medlemsstaterne til hurtigt at udarbejde og gennemføre nationale handlingsplaner mod racisme;</w:t>
      </w:r>
    </w:p>
    <w:p w14:paraId="442190CA" w14:textId="77777777" w:rsidR="00147154" w:rsidRPr="00B32C9D" w:rsidRDefault="00147154" w:rsidP="00147154">
      <w:pPr>
        <w:pStyle w:val="NormalHanging12a"/>
      </w:pPr>
      <w:r w:rsidRPr="00B32C9D">
        <w:t>43.</w:t>
      </w:r>
      <w:r w:rsidRPr="00B32C9D">
        <w:tab/>
        <w:t>glæder sig over, at Kommissionen for første gang påberåbte sig en isoleret overtrædelse af artikel 2 i TEU, da den indbragte den ungarske "lov om beskyttelse af børn", som havde andre mål under dække, for EU-Domstolen;</w:t>
      </w:r>
    </w:p>
    <w:p w14:paraId="56BC6687" w14:textId="77777777" w:rsidR="00147154" w:rsidRPr="00B32C9D" w:rsidRDefault="00147154" w:rsidP="00147154">
      <w:pPr>
        <w:pStyle w:val="Normal12a24b"/>
        <w:rPr>
          <w:b/>
          <w:i/>
        </w:rPr>
      </w:pPr>
      <w:r w:rsidRPr="00B32C9D">
        <w:rPr>
          <w:rStyle w:val="Bold"/>
          <w:i/>
        </w:rPr>
        <w:t>Sociale, økonomiske og miljømæssige rettigheder</w:t>
      </w:r>
    </w:p>
    <w:p w14:paraId="14B63E62" w14:textId="77777777" w:rsidR="00147154" w:rsidRPr="00B32C9D" w:rsidRDefault="00147154" w:rsidP="00147154">
      <w:pPr>
        <w:pStyle w:val="NormalHanging12a"/>
      </w:pPr>
      <w:r w:rsidRPr="00B32C9D">
        <w:t>44.</w:t>
      </w:r>
      <w:r w:rsidRPr="00B32C9D">
        <w:tab/>
        <w:t>anerkender, at fattigdom er en anden form for forskelsbehandling, der fører til krænkelse af grundlæggende rettigheder og ulige muligheder for adgang til varer og serviceydelser; fremhæver børns særlige sårbarhed og den indflydelse, som fattigdom har på dem og på deres fysiske og psykologiske udvikling; opfordrer Kommissionen, Rådet og medlemsstaterne til at udarbejde politik for at reducere fattigdom og social udstødelse med særlig vægt på personer i sårbare situationer; glæder sig over indførelsen af den europæiske børnegaranti, men mener, at der er behov for en større indsats, navnlig på området for social beskyttelse; opfordrer medlemsstaterne til at sikre lige adgang til og muligheder for uddannelse og beskæftigelse af høj kvalitet, da dette spiller en afgørende rolle med hensyn til at afhjælpe ulighed og løfte folk ud af fattigdom;</w:t>
      </w:r>
    </w:p>
    <w:p w14:paraId="2E83FA50" w14:textId="77777777" w:rsidR="00147154" w:rsidRPr="00B32C9D" w:rsidRDefault="00147154" w:rsidP="00147154">
      <w:pPr>
        <w:pStyle w:val="NormalHanging12a"/>
        <w:rPr>
          <w:szCs w:val="24"/>
        </w:rPr>
      </w:pPr>
      <w:r w:rsidRPr="00B32C9D">
        <w:t>45.</w:t>
      </w:r>
      <w:r w:rsidRPr="00B32C9D">
        <w:tab/>
        <w:t>er dybt bekymret over de stadig større problemer med fattigdom, ulighed og social udstødelse i EU; opfordrer medlemsstaterne til at bekæmpe "menstruationsfattigdom" og til at fjerne moms på personlige hygiejneprodukter; påpeger, at de langsigtede økonomiske konsekvenser af covid-19-pandemien samt de øgede fødevare- og energipriser har haft en alvorlig negativ indvirkning på rettighederne hos personer, der har en lav indkomst eller lever i fattigdom, med hensyn til både en passende levestandard, fødevarer, sundhed, bolig og social sikring; opfordrer Kommissionen og Rådet til at udarbejde makroøkonomisk politik, der ikke kun styres af økonomisk vækst, men også af sociale standarder, og minder om vigtigheden af sociale standarder i det europæiske semester;</w:t>
      </w:r>
    </w:p>
    <w:p w14:paraId="18269832" w14:textId="77777777" w:rsidR="00147154" w:rsidRPr="00B32C9D" w:rsidRDefault="00147154" w:rsidP="00147154">
      <w:pPr>
        <w:pStyle w:val="NormalHanging12a"/>
        <w:rPr>
          <w:szCs w:val="24"/>
        </w:rPr>
      </w:pPr>
      <w:r w:rsidRPr="00B32C9D">
        <w:t>46.</w:t>
      </w:r>
      <w:r w:rsidRPr="00B32C9D">
        <w:tab/>
        <w:t>glæder sig over Rådets henstilling af 30. januar 2023 om en passende minimumsindkomst</w:t>
      </w:r>
      <w:r w:rsidRPr="00B32C9D">
        <w:rPr>
          <w:vertAlign w:val="superscript"/>
        </w:rPr>
        <w:footnoteReference w:id="50"/>
      </w:r>
      <w:r w:rsidRPr="00B32C9D">
        <w:t xml:space="preserve">, der sikrer aktiv inklusion, som et skridt fremad i gennemførelsen af princip 14 i den europæiske søjle for sociale rettigheder; beklager dog manglen på konkrete foranstaltninger til at overvinde strukturel forskelsbehandling af sårbare grupper; opfordrer medlemsstaterne til at indsamle opdelte data om minimumsindkomst </w:t>
      </w:r>
      <w:r w:rsidRPr="00B32C9D">
        <w:lastRenderedPageBreak/>
        <w:t>om disse grupper;</w:t>
      </w:r>
    </w:p>
    <w:p w14:paraId="1BA9746F" w14:textId="77777777" w:rsidR="00147154" w:rsidRPr="00B32C9D" w:rsidRDefault="00147154" w:rsidP="00147154">
      <w:pPr>
        <w:pStyle w:val="NormalHanging12a"/>
        <w:rPr>
          <w:szCs w:val="24"/>
        </w:rPr>
      </w:pPr>
      <w:r w:rsidRPr="00B32C9D">
        <w:t>47.</w:t>
      </w:r>
      <w:r w:rsidRPr="00B32C9D">
        <w:tab/>
        <w:t>understreger, at digitalisering er en tværgående proces, der påvirker adgangen til alle tilbud, navnlig sundhedsbehandling, og udøvelsen af grundlæggende rettigheder; understreger, at digital fattigdom i EU bør overvåges og vurderes i forbindelse med adgangen til væsentlige tilbud og grundlæggende rettigheder, herunder for ældre, personer, der bor i fjerntliggende områder, hjemløse og romaer; minder om medlemsstaternes forpligtelse i henhold til konventionen om rettigheder for personer med handicap for at sikre, at personer med handicap har fuld adgang til samfundet; minder om, at teknologisk afhængighed udgør et folkesundhedsproblem, der især berører mindreårige og deres fysiske og psykiske integritet;</w:t>
      </w:r>
    </w:p>
    <w:p w14:paraId="4EE477A0" w14:textId="77777777" w:rsidR="00147154" w:rsidRPr="00B32C9D" w:rsidRDefault="00147154" w:rsidP="00147154">
      <w:pPr>
        <w:pStyle w:val="NormalHanging12a"/>
        <w:rPr>
          <w:szCs w:val="24"/>
        </w:rPr>
      </w:pPr>
      <w:r w:rsidRPr="00B32C9D">
        <w:t>48.</w:t>
      </w:r>
      <w:r w:rsidRPr="00B32C9D">
        <w:tab/>
        <w:t>bemærker, at boliger ikke er en vare, men en nødvendighed, og at det er en forudsætning for at deltage fuldt ud i samfundet; opfordrer medlemsstaterne til at øge investeringerne i sociale boliger til overkommelige priser for at fjerne byrden af høje boligudgifter, navnlig blandt dårligt stillede og sårbare grupper, og for at undgå konkurrence mellem disse grupper;</w:t>
      </w:r>
    </w:p>
    <w:p w14:paraId="2DCE22E5" w14:textId="77777777" w:rsidR="00147154" w:rsidRPr="00B32C9D" w:rsidRDefault="00147154" w:rsidP="00147154">
      <w:pPr>
        <w:pStyle w:val="NormalHanging12a"/>
        <w:rPr>
          <w:szCs w:val="24"/>
        </w:rPr>
      </w:pPr>
      <w:r w:rsidRPr="00B32C9D">
        <w:t>49.</w:t>
      </w:r>
      <w:r w:rsidRPr="00B32C9D">
        <w:tab/>
        <w:t>glæder sig over FN's Menneskerettighedsråds anerkendelse den 8. oktober 2021 af den universelle ret til adgang til et sundt og bæredygtigt miljø; fremhæver, at miljøansvar og visse offentlige myndigheders manglende evne til at tilvejebringe oplysninger om de alvorlige miljørisici, som enkeltpersoner eksponeres for, kan få alvorlige skadelige konsekvenser for enkeltpersoner; minder om behovet for fuld overensstemmelse af EU's luftkvalitetsstandarder med WHO's nyeste retningslinjer senest i 2030;</w:t>
      </w:r>
    </w:p>
    <w:p w14:paraId="581D8900" w14:textId="77777777" w:rsidR="00147154" w:rsidRPr="00B32C9D" w:rsidRDefault="00147154" w:rsidP="00147154">
      <w:pPr>
        <w:pStyle w:val="Normal12a24b"/>
        <w:rPr>
          <w:i/>
        </w:rPr>
      </w:pPr>
      <w:r w:rsidRPr="00B32C9D">
        <w:rPr>
          <w:rStyle w:val="Bold"/>
          <w:i/>
        </w:rPr>
        <w:t>Institutionelle garantier for grundlæggende rettigheder</w:t>
      </w:r>
    </w:p>
    <w:p w14:paraId="001DAEBA" w14:textId="77777777" w:rsidR="00147154" w:rsidRPr="00B32C9D" w:rsidRDefault="00147154" w:rsidP="00147154">
      <w:pPr>
        <w:pStyle w:val="NormalHanging12a"/>
        <w:rPr>
          <w:szCs w:val="24"/>
        </w:rPr>
      </w:pPr>
      <w:r w:rsidRPr="00B32C9D">
        <w:t>50.</w:t>
      </w:r>
      <w:r w:rsidRPr="00B32C9D">
        <w:tab/>
        <w:t>glæder sig over de fremskridt, der er gjort siden genoptagelsen af forhandlingerne om EU's tiltrædelse af EMRK i juni 2020 og den foreløbige aftale om udkastet til reviderede tiltrædelsesinstrumenter, der blev indgået i marts 2023; opfordrer Kommissionen og Rådet til at løse det sidste udestående vedrørende situationen for EU-retsakter på området for den fælles udenrigs- og sikkerhedspolitik så hurtigt som muligt med henblik på at afslutte tiltrædelsesprocessen;</w:t>
      </w:r>
    </w:p>
    <w:p w14:paraId="0DC4D45D" w14:textId="77777777" w:rsidR="00147154" w:rsidRPr="00B32C9D" w:rsidRDefault="00147154" w:rsidP="00147154">
      <w:pPr>
        <w:pStyle w:val="NormalHanging12a"/>
      </w:pPr>
      <w:r w:rsidRPr="00B32C9D">
        <w:t>51.</w:t>
      </w:r>
      <w:r w:rsidRPr="00B32C9D">
        <w:tab/>
        <w:t>støtter FRA's arbejde med at analysere data med henblik på at dokumentere forskelsbehandling og glæder sig over den videre udvikling på dette område; glæder sig over Kommissionens forslag til to direktiver om standarder for ligestillingsorganer, der har til formål at sikre gennemførelse og håndhævelse af EU's regler om bekæmpelse af forskelsbehandling; opfordrer nationale organer, der samarbejder med FRA, til at fremskaffe uvildige data; opfordrer FRA til at rådføre sig med yderligere kilder, hvis der fortsat er alvorlige betænkeligheder med hensyn til datakvaliteten;</w:t>
      </w:r>
    </w:p>
    <w:p w14:paraId="5313AF81" w14:textId="77777777" w:rsidR="00147154" w:rsidRPr="00B32C9D" w:rsidRDefault="00147154" w:rsidP="00147154">
      <w:pPr>
        <w:pStyle w:val="NormalHanging12a"/>
        <w:rPr>
          <w:szCs w:val="24"/>
        </w:rPr>
      </w:pPr>
      <w:r w:rsidRPr="00B32C9D">
        <w:t>52.</w:t>
      </w:r>
      <w:r w:rsidRPr="00B32C9D">
        <w:tab/>
        <w:t>fremhæver vigtigheden af at støtte og styrke samarbejdet mellem EU's institutioner, medlemsstaterne, OLAF og EPPO; opfordrer Kommissionen til at fremlægge en rapport med en vurdering af muligheden og vilkårene for at udvide EPPO's mandat, jf. artikel 86 i TEUF, til at omfatte grov miljøkriminalitet, der skader Unionens interesser eller påvirker konsekvent anvendelse af EU's politikker vedrørende beskyttelse af miljøet;</w:t>
      </w:r>
    </w:p>
    <w:p w14:paraId="3540C728" w14:textId="77777777" w:rsidR="00147154" w:rsidRPr="00B32C9D" w:rsidRDefault="00147154" w:rsidP="00147154">
      <w:pPr>
        <w:pStyle w:val="NormalHanging12a"/>
        <w:rPr>
          <w:szCs w:val="24"/>
        </w:rPr>
      </w:pPr>
      <w:r w:rsidRPr="00B32C9D">
        <w:t>53.</w:t>
      </w:r>
      <w:r w:rsidRPr="00B32C9D">
        <w:tab/>
        <w:t xml:space="preserve">opfordrer til at etablere FRA som en uafhængig menneskerettighedsmyndighed i lighed med nationale menneskerettighedsinstitutioner og i overensstemmelse med FN's </w:t>
      </w:r>
      <w:r w:rsidRPr="00B32C9D">
        <w:lastRenderedPageBreak/>
        <w:t>Generalforsamlings Parisprincipper fra 1993 for at beskytte og fremme chartrets politik og praksis fra EU's institutioner, organer, kontorer og agenturer og fra medlemsstaterne ved gennemførelsen af EU-retten; mener, at dette forudsætter et retsgrundlag i traktaterne for oprettelse af en EU-myndighed for grundlæggende rettigheder, der sikrer dens uafhængighed og indfører den almindelige lovgivningsprocedure for vedtagelse og ændring af dens mandat; opfordrer til, at denne nye myndighed gives beføjelser til at anlægge sag i medfør af artikel 263 i TEUF for overtrædelse af chartret; efterlyser beføjelsen til at behandle klager og Kommissionens obligatoriske høring af FRA ved udarbejdelsen af forslag til retsakter eller henstillinger, der berører de grundlæggende rettigheder, som skal indgå i dens mandat;</w:t>
      </w:r>
    </w:p>
    <w:p w14:paraId="112506AD" w14:textId="77777777" w:rsidR="00147154" w:rsidRPr="00B32C9D" w:rsidRDefault="00147154" w:rsidP="00147154">
      <w:pPr>
        <w:pStyle w:val="NormalHanging12a"/>
      </w:pPr>
      <w:r w:rsidRPr="00B32C9D">
        <w:t>54.</w:t>
      </w:r>
      <w:r w:rsidRPr="00B32C9D">
        <w:tab/>
        <w:t>minder om betydningen af EU-Domstolens relevante retspraksis, der opretholder respekten for de grundlæggende rettigheder og yderligere definerer retsstatsprincippet; er bekymret over, at nogle medlemsstater fortsat nægter at fuldbyrde domme afsagt af nationale domstole, EU-Domstolen og Menneskerettighedsdomstolen, hvilket bidrager til at nedbryde retsstatsprincippet; understreger, at manglende fuldbyrdelse af domme kan føre til, at krænkelser af menneskerettighederne ikke straffes; fremhæver, at EU-rettens forrang udgør grundlaget for EU's retsorden; opfordrer Kommissionen til at sikre behørig opfølgning i tilfælde af manglende gennemførelse af dette princip;</w:t>
      </w:r>
    </w:p>
    <w:p w14:paraId="547DD6B7" w14:textId="77777777" w:rsidR="00147154" w:rsidRPr="00B32C9D" w:rsidRDefault="00147154" w:rsidP="00147154">
      <w:pPr>
        <w:pStyle w:val="NormalHanging12a"/>
      </w:pPr>
      <w:r w:rsidRPr="00B32C9D">
        <w:t>55.</w:t>
      </w:r>
      <w:r w:rsidRPr="00B32C9D">
        <w:tab/>
        <w:t>understreger den rolle, som nationale og lokale forvaltninger, medlemsstaternes parlamenter og retshåndhævende myndigheder spiller med hensyn til at fremme og beskytte chartrets rettigheder;</w:t>
      </w:r>
    </w:p>
    <w:p w14:paraId="7AA30956" w14:textId="77777777" w:rsidR="00147154" w:rsidRPr="00B32C9D" w:rsidRDefault="00147154" w:rsidP="00147154">
      <w:pPr>
        <w:pStyle w:val="NormalHanging12a"/>
      </w:pPr>
      <w:r w:rsidRPr="00B32C9D">
        <w:t>56.</w:t>
      </w:r>
      <w:r w:rsidRPr="00B32C9D">
        <w:tab/>
        <w:t>bemærker i denne forbindelse FRA's bemærkning om, at medlemsstaterne tilsyneladende ikke engagerer sig struktureret ved gennemførelse af Kommissionens strategi for at styrke anvendelsen af chartret såsom definitioner af klare mål, milepæle og tidsfrister; opfordrer medlemsstaterne til fuldt ud at gennemføre strategien;</w:t>
      </w:r>
    </w:p>
    <w:p w14:paraId="5BAA26CB" w14:textId="77777777" w:rsidR="00147154" w:rsidRPr="00B32C9D" w:rsidRDefault="00147154" w:rsidP="00147154">
      <w:pPr>
        <w:pStyle w:val="NormalHanging12a"/>
        <w:rPr>
          <w:szCs w:val="24"/>
        </w:rPr>
      </w:pPr>
      <w:r w:rsidRPr="00B32C9D">
        <w:t>57.</w:t>
      </w:r>
      <w:r w:rsidRPr="00B32C9D">
        <w:tab/>
        <w:t>minder om, at retten til at deltage i det demokratiske liv og forpligtelsen til at sikre, at beslutninger træffes så åbent og så tæt på borgerne som muligt, er beskyttet i henhold til traktaterne og navnlig artikel 10 i TEU; opfordrer EU's institutioner og medlemsstaterne til at sikre tilstrækkelig tid til offentlig høring og åbenhed og til at offentliggøre offentlige dokumenter på en proaktiv måde;</w:t>
      </w:r>
    </w:p>
    <w:p w14:paraId="299F3202" w14:textId="77777777" w:rsidR="00147154" w:rsidRPr="00B32C9D" w:rsidRDefault="00147154" w:rsidP="00147154">
      <w:pPr>
        <w:pStyle w:val="NormalHanging12a"/>
        <w:jc w:val="center"/>
      </w:pPr>
      <w:r w:rsidRPr="00B32C9D">
        <w:t>°</w:t>
      </w:r>
    </w:p>
    <w:p w14:paraId="5B4E3EA8" w14:textId="77777777" w:rsidR="00147154" w:rsidRPr="00B32C9D" w:rsidRDefault="00147154" w:rsidP="00147154">
      <w:pPr>
        <w:pStyle w:val="NormalHanging12a"/>
        <w:jc w:val="center"/>
      </w:pPr>
      <w:r w:rsidRPr="00B32C9D">
        <w:t>°</w:t>
      </w:r>
      <w:r w:rsidRPr="00B32C9D">
        <w:tab/>
        <w:t>°</w:t>
      </w:r>
    </w:p>
    <w:p w14:paraId="63C69B41" w14:textId="77777777" w:rsidR="00E365E1" w:rsidRPr="00B32C9D" w:rsidRDefault="00147154" w:rsidP="005E7993">
      <w:pPr>
        <w:pStyle w:val="NormalHanging12a"/>
      </w:pPr>
      <w:r w:rsidRPr="00B32C9D">
        <w:t>58.</w:t>
      </w:r>
      <w:r w:rsidRPr="00B32C9D">
        <w:tab/>
        <w:t>pålægger sin formand at sende denne beslutning til Rådet og Kommissionen.</w:t>
      </w:r>
      <w:bookmarkStart w:id="8" w:name="TextBodyEnd"/>
      <w:bookmarkEnd w:id="8"/>
    </w:p>
    <w:sectPr w:rsidR="00E365E1" w:rsidRPr="00B32C9D" w:rsidSect="00B32C9D">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E05711D" w14:textId="77777777" w:rsidR="000575A0" w:rsidRPr="00B32C9D" w:rsidRDefault="000575A0">
      <w:r w:rsidRPr="00B32C9D">
        <w:separator/>
      </w:r>
    </w:p>
  </w:endnote>
  <w:endnote w:type="continuationSeparator" w:id="0">
    <w:p w14:paraId="11EF4945" w14:textId="77777777" w:rsidR="000575A0" w:rsidRPr="00B32C9D" w:rsidRDefault="000575A0">
      <w:r w:rsidRPr="00B32C9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4575D1" w14:textId="77777777" w:rsidR="00064002" w:rsidRPr="00B32C9D"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6AD96B" w14:textId="77777777" w:rsidR="00064002" w:rsidRPr="00B32C9D"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4836A1" w14:textId="77777777" w:rsidR="00064002" w:rsidRPr="00B32C9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8452E21" w14:textId="77777777" w:rsidR="000575A0" w:rsidRPr="00B32C9D" w:rsidRDefault="000575A0">
      <w:r w:rsidRPr="00B32C9D">
        <w:separator/>
      </w:r>
    </w:p>
  </w:footnote>
  <w:footnote w:type="continuationSeparator" w:id="0">
    <w:p w14:paraId="6B622D46" w14:textId="77777777" w:rsidR="000575A0" w:rsidRPr="00B32C9D" w:rsidRDefault="000575A0">
      <w:r w:rsidRPr="00B32C9D">
        <w:continuationSeparator/>
      </w:r>
    </w:p>
  </w:footnote>
  <w:footnote w:id="1">
    <w:p w14:paraId="34D42641" w14:textId="77777777" w:rsidR="00147154" w:rsidRPr="00B32C9D" w:rsidRDefault="00147154" w:rsidP="00B32C9D">
      <w:pPr>
        <w:pStyle w:val="FootnoteText"/>
        <w:ind w:left="567" w:hanging="567"/>
        <w:rPr>
          <w:sz w:val="24"/>
          <w:vertAlign w:val="superscript"/>
          <w:lang w:val="da-DK"/>
        </w:rPr>
      </w:pPr>
      <w:r w:rsidRPr="00B32C9D">
        <w:rPr>
          <w:rStyle w:val="FootnoteReference"/>
          <w:sz w:val="24"/>
          <w:lang w:val="da-DK"/>
        </w:rPr>
        <w:footnoteRef/>
      </w:r>
      <w:r w:rsidR="00B32C9D" w:rsidRPr="00B32C9D">
        <w:rPr>
          <w:sz w:val="24"/>
          <w:lang w:val="da-DK"/>
        </w:rPr>
        <w:t xml:space="preserve"> </w:t>
      </w:r>
      <w:r w:rsidR="00B32C9D" w:rsidRPr="00B32C9D">
        <w:rPr>
          <w:sz w:val="24"/>
          <w:lang w:val="da-DK"/>
        </w:rPr>
        <w:tab/>
      </w:r>
      <w:r w:rsidRPr="00B32C9D">
        <w:rPr>
          <w:sz w:val="24"/>
          <w:lang w:val="da-DK"/>
        </w:rPr>
        <w:t xml:space="preserve">Blandt andet: </w:t>
      </w:r>
      <w:r w:rsidRPr="00B32C9D">
        <w:rPr>
          <w:i/>
          <w:iCs/>
          <w:sz w:val="24"/>
          <w:lang w:val="da-DK"/>
        </w:rPr>
        <w:t>Kommissionen mod Ungarn</w:t>
      </w:r>
      <w:r w:rsidRPr="00B32C9D">
        <w:rPr>
          <w:sz w:val="24"/>
          <w:lang w:val="da-DK"/>
        </w:rPr>
        <w:t xml:space="preserve"> (Foreningers gennemsigtighed), sag C-78/18, ECLI:EU:C:2020:476.</w:t>
      </w:r>
    </w:p>
    <w:p w14:paraId="49CC6A8C" w14:textId="77777777" w:rsidR="00147154" w:rsidRPr="00B32C9D" w:rsidRDefault="00B32C9D" w:rsidP="00B32C9D">
      <w:pPr>
        <w:pStyle w:val="FootnoteText"/>
        <w:ind w:left="567" w:hanging="567"/>
        <w:rPr>
          <w:sz w:val="24"/>
          <w:lang w:val="da-DK"/>
        </w:rPr>
      </w:pPr>
      <w:r w:rsidRPr="00B32C9D">
        <w:rPr>
          <w:sz w:val="24"/>
          <w:lang w:val="da-DK"/>
        </w:rPr>
        <w:t xml:space="preserve"> </w:t>
      </w:r>
      <w:r w:rsidRPr="00B32C9D">
        <w:rPr>
          <w:sz w:val="24"/>
          <w:lang w:val="da-DK"/>
        </w:rPr>
        <w:tab/>
      </w:r>
      <w:r w:rsidR="00147154" w:rsidRPr="00B32C9D">
        <w:rPr>
          <w:sz w:val="24"/>
          <w:lang w:val="da-DK"/>
        </w:rPr>
        <w:t xml:space="preserve">Domstolens dom (Anden Afdeling) af 6. oktober 2022. </w:t>
      </w:r>
      <w:r w:rsidR="00147154" w:rsidRPr="00B32C9D">
        <w:rPr>
          <w:i/>
          <w:sz w:val="24"/>
          <w:lang w:val="da-DK"/>
        </w:rPr>
        <w:t>I. L</w:t>
      </w:r>
      <w:r w:rsidR="00147154" w:rsidRPr="00B32C9D">
        <w:rPr>
          <w:i/>
          <w:iCs/>
          <w:sz w:val="24"/>
          <w:lang w:val="da-DK"/>
        </w:rPr>
        <w:t>. mod P</w:t>
      </w:r>
      <w:r w:rsidR="00147154" w:rsidRPr="00B32C9D">
        <w:rPr>
          <w:i/>
          <w:sz w:val="24"/>
          <w:lang w:val="da-DK"/>
        </w:rPr>
        <w:t>olitsei- ja Piirivalveamet</w:t>
      </w:r>
      <w:r w:rsidR="00147154" w:rsidRPr="00B32C9D">
        <w:rPr>
          <w:sz w:val="24"/>
          <w:lang w:val="da-DK"/>
        </w:rPr>
        <w:t>, sag C-241/21, ECLI:EU:C:2022:753.</w:t>
      </w:r>
    </w:p>
  </w:footnote>
  <w:footnote w:id="2">
    <w:p w14:paraId="42205C05" w14:textId="77777777" w:rsidR="00147154" w:rsidRPr="00B32C9D" w:rsidRDefault="00147154" w:rsidP="00B32C9D">
      <w:pPr>
        <w:pStyle w:val="FootnoteText"/>
        <w:ind w:left="567" w:hanging="567"/>
        <w:rPr>
          <w:color w:val="0000FF"/>
          <w:sz w:val="24"/>
          <w:u w:val="single" w:color="0000FF"/>
          <w:lang w:val="da-DK"/>
        </w:rPr>
      </w:pPr>
      <w:r w:rsidRPr="00B32C9D">
        <w:rPr>
          <w:rStyle w:val="FootnoteReference"/>
          <w:sz w:val="24"/>
          <w:lang w:val="da-DK"/>
        </w:rPr>
        <w:footnoteRef/>
      </w:r>
      <w:r w:rsidR="00B32C9D" w:rsidRPr="00B32C9D">
        <w:rPr>
          <w:sz w:val="24"/>
          <w:lang w:val="da-DK"/>
        </w:rPr>
        <w:t xml:space="preserve"> </w:t>
      </w:r>
      <w:r w:rsidR="00B32C9D" w:rsidRPr="00B32C9D">
        <w:rPr>
          <w:sz w:val="24"/>
          <w:lang w:val="da-DK"/>
        </w:rPr>
        <w:tab/>
      </w:r>
      <w:r w:rsidRPr="00B32C9D">
        <w:rPr>
          <w:sz w:val="24"/>
          <w:lang w:val="da-DK"/>
        </w:rPr>
        <w:t>EUT L 433 I af 22.12.2020, s. 1</w:t>
      </w:r>
      <w:hyperlink r:id="rId1" w:history="1">
        <w:r w:rsidRPr="00B32C9D">
          <w:rPr>
            <w:rStyle w:val="Hyperlink"/>
            <w:sz w:val="24"/>
            <w:lang w:val="da-DK"/>
          </w:rPr>
          <w:t>.</w:t>
        </w:r>
      </w:hyperlink>
    </w:p>
  </w:footnote>
  <w:footnote w:id="3">
    <w:p w14:paraId="6E76F984" w14:textId="77777777" w:rsidR="00147154" w:rsidRPr="00B32C9D" w:rsidRDefault="00147154" w:rsidP="00B32C9D">
      <w:pPr>
        <w:pStyle w:val="FootnoteText"/>
        <w:ind w:left="567" w:hanging="567"/>
        <w:rPr>
          <w:color w:val="0000FF"/>
          <w:sz w:val="24"/>
          <w:u w:val="single" w:color="0000FF"/>
          <w:lang w:val="da-DK"/>
        </w:rPr>
      </w:pPr>
      <w:r w:rsidRPr="00B32C9D">
        <w:rPr>
          <w:rStyle w:val="FootnoteReference"/>
          <w:sz w:val="24"/>
          <w:lang w:val="da-DK"/>
        </w:rPr>
        <w:footnoteRef/>
      </w:r>
      <w:r w:rsidR="00B32C9D" w:rsidRPr="00B32C9D">
        <w:rPr>
          <w:sz w:val="24"/>
          <w:lang w:val="da-DK"/>
        </w:rPr>
        <w:t xml:space="preserve"> </w:t>
      </w:r>
      <w:r w:rsidR="00B32C9D" w:rsidRPr="00B32C9D">
        <w:rPr>
          <w:sz w:val="24"/>
          <w:lang w:val="da-DK"/>
        </w:rPr>
        <w:tab/>
      </w:r>
      <w:r w:rsidRPr="00B32C9D">
        <w:rPr>
          <w:sz w:val="24"/>
          <w:lang w:val="da-DK"/>
        </w:rPr>
        <w:t>EUT L 156 af 5.5.2021, s. 1</w:t>
      </w:r>
      <w:hyperlink r:id="rId2" w:history="1">
        <w:r w:rsidRPr="00B32C9D">
          <w:rPr>
            <w:rStyle w:val="Hyperlink"/>
            <w:sz w:val="24"/>
            <w:lang w:val="da-DK"/>
          </w:rPr>
          <w:t>.</w:t>
        </w:r>
      </w:hyperlink>
    </w:p>
  </w:footnote>
  <w:footnote w:id="4">
    <w:p w14:paraId="654F24A7" w14:textId="77777777" w:rsidR="00147154" w:rsidRPr="00B32C9D" w:rsidRDefault="00147154" w:rsidP="00B32C9D">
      <w:pPr>
        <w:pStyle w:val="FootnoteText"/>
        <w:ind w:left="567" w:hanging="567"/>
        <w:rPr>
          <w:sz w:val="24"/>
          <w:lang w:val="da-DK"/>
        </w:rPr>
      </w:pPr>
      <w:r w:rsidRPr="00B32C9D">
        <w:rPr>
          <w:rStyle w:val="FootnoteReference"/>
          <w:sz w:val="24"/>
          <w:lang w:val="da-DK"/>
        </w:rPr>
        <w:footnoteRef/>
      </w:r>
      <w:r w:rsidR="00B32C9D" w:rsidRPr="00B32C9D">
        <w:rPr>
          <w:sz w:val="24"/>
          <w:lang w:val="da-DK"/>
        </w:rPr>
        <w:t xml:space="preserve"> </w:t>
      </w:r>
      <w:r w:rsidR="00B32C9D" w:rsidRPr="00B32C9D">
        <w:rPr>
          <w:sz w:val="24"/>
          <w:lang w:val="da-DK"/>
        </w:rPr>
        <w:tab/>
      </w:r>
      <w:r w:rsidRPr="00B32C9D">
        <w:rPr>
          <w:sz w:val="24"/>
          <w:lang w:val="da-DK"/>
        </w:rPr>
        <w:t>EUT L 283 af 31.10.2017, s. 1.</w:t>
      </w:r>
    </w:p>
  </w:footnote>
  <w:footnote w:id="5">
    <w:p w14:paraId="283E037F" w14:textId="77777777" w:rsidR="00147154" w:rsidRPr="00B32C9D" w:rsidRDefault="00147154" w:rsidP="00B32C9D">
      <w:pPr>
        <w:pStyle w:val="FootnoteText"/>
        <w:ind w:left="567" w:hanging="567"/>
        <w:rPr>
          <w:sz w:val="24"/>
          <w:lang w:val="da-DK"/>
        </w:rPr>
      </w:pPr>
      <w:r w:rsidRPr="00B32C9D">
        <w:rPr>
          <w:rStyle w:val="FootnoteReference"/>
          <w:sz w:val="24"/>
          <w:lang w:val="da-DK"/>
        </w:rPr>
        <w:footnoteRef/>
      </w:r>
      <w:r w:rsidR="00B32C9D" w:rsidRPr="00B32C9D">
        <w:rPr>
          <w:sz w:val="24"/>
          <w:lang w:val="da-DK"/>
        </w:rPr>
        <w:t xml:space="preserve"> </w:t>
      </w:r>
      <w:r w:rsidR="00B32C9D" w:rsidRPr="00B32C9D">
        <w:rPr>
          <w:sz w:val="24"/>
          <w:lang w:val="da-DK"/>
        </w:rPr>
        <w:tab/>
      </w:r>
      <w:r w:rsidRPr="00B32C9D">
        <w:rPr>
          <w:sz w:val="24"/>
          <w:lang w:val="da-DK"/>
        </w:rPr>
        <w:t>EUT L 119 af 4.5.2016, s. 1.</w:t>
      </w:r>
    </w:p>
  </w:footnote>
  <w:footnote w:id="6">
    <w:p w14:paraId="6E18D708" w14:textId="77777777" w:rsidR="00147154" w:rsidRPr="00B32C9D" w:rsidRDefault="00147154" w:rsidP="00B32C9D">
      <w:pPr>
        <w:pStyle w:val="FootnoteText"/>
        <w:ind w:left="567" w:hanging="567"/>
        <w:rPr>
          <w:sz w:val="24"/>
          <w:lang w:val="da-DK"/>
        </w:rPr>
      </w:pPr>
      <w:r w:rsidRPr="00B32C9D">
        <w:rPr>
          <w:rStyle w:val="FootnoteReference"/>
          <w:sz w:val="24"/>
          <w:lang w:val="da-DK"/>
        </w:rPr>
        <w:footnoteRef/>
      </w:r>
      <w:r w:rsidR="00B32C9D" w:rsidRPr="00B32C9D">
        <w:rPr>
          <w:sz w:val="24"/>
          <w:lang w:val="da-DK"/>
        </w:rPr>
        <w:t xml:space="preserve"> </w:t>
      </w:r>
      <w:r w:rsidR="00B32C9D" w:rsidRPr="00B32C9D">
        <w:rPr>
          <w:sz w:val="24"/>
          <w:lang w:val="da-DK"/>
        </w:rPr>
        <w:tab/>
      </w:r>
      <w:r w:rsidRPr="00B32C9D">
        <w:rPr>
          <w:sz w:val="24"/>
          <w:lang w:val="da-DK"/>
        </w:rPr>
        <w:t>EUT L 198 af 28.7.2017, s. 29.</w:t>
      </w:r>
    </w:p>
  </w:footnote>
  <w:footnote w:id="7">
    <w:p w14:paraId="49FE3B14" w14:textId="77777777" w:rsidR="00147154" w:rsidRPr="00B32C9D" w:rsidRDefault="00147154" w:rsidP="00B32C9D">
      <w:pPr>
        <w:pStyle w:val="FootnoteText"/>
        <w:ind w:left="567" w:hanging="567"/>
        <w:rPr>
          <w:sz w:val="24"/>
          <w:lang w:val="da-DK"/>
        </w:rPr>
      </w:pPr>
      <w:r w:rsidRPr="00B32C9D">
        <w:rPr>
          <w:rStyle w:val="FootnoteReference"/>
          <w:sz w:val="24"/>
          <w:lang w:val="da-DK"/>
        </w:rPr>
        <w:footnoteRef/>
      </w:r>
      <w:r w:rsidR="00B32C9D" w:rsidRPr="00B32C9D">
        <w:rPr>
          <w:sz w:val="24"/>
          <w:lang w:val="da-DK"/>
        </w:rPr>
        <w:t xml:space="preserve"> </w:t>
      </w:r>
      <w:r w:rsidR="00B32C9D" w:rsidRPr="00B32C9D">
        <w:rPr>
          <w:sz w:val="24"/>
          <w:lang w:val="da-DK"/>
        </w:rPr>
        <w:tab/>
      </w:r>
      <w:r w:rsidRPr="00B32C9D">
        <w:rPr>
          <w:sz w:val="24"/>
          <w:lang w:val="da-DK"/>
        </w:rPr>
        <w:t>EUT L 328 af 6.12.2008, s. 55.</w:t>
      </w:r>
    </w:p>
  </w:footnote>
  <w:footnote w:id="8">
    <w:p w14:paraId="392D3AC5" w14:textId="77777777" w:rsidR="00147154" w:rsidRPr="00B32C9D" w:rsidRDefault="00147154" w:rsidP="00B32C9D">
      <w:pPr>
        <w:pStyle w:val="FootnoteText"/>
        <w:ind w:left="567" w:hanging="567"/>
        <w:rPr>
          <w:sz w:val="24"/>
          <w:lang w:val="da-DK"/>
        </w:rPr>
      </w:pPr>
      <w:r w:rsidRPr="00B32C9D">
        <w:rPr>
          <w:rStyle w:val="FootnoteReference"/>
          <w:sz w:val="24"/>
          <w:lang w:val="da-DK"/>
        </w:rPr>
        <w:footnoteRef/>
      </w:r>
      <w:r w:rsidR="00B32C9D" w:rsidRPr="00B32C9D">
        <w:rPr>
          <w:sz w:val="24"/>
          <w:lang w:val="da-DK"/>
        </w:rPr>
        <w:t xml:space="preserve"> </w:t>
      </w:r>
      <w:r w:rsidR="00B32C9D" w:rsidRPr="00B32C9D">
        <w:rPr>
          <w:sz w:val="24"/>
          <w:lang w:val="da-DK"/>
        </w:rPr>
        <w:tab/>
      </w:r>
      <w:r w:rsidR="00F3366E">
        <w:rPr>
          <w:sz w:val="24"/>
          <w:lang w:val="da-DK"/>
        </w:rPr>
        <w:t xml:space="preserve">EFT </w:t>
      </w:r>
      <w:r w:rsidRPr="00B32C9D">
        <w:rPr>
          <w:sz w:val="24"/>
          <w:lang w:val="da-DK"/>
        </w:rPr>
        <w:t>L 180 af 19.7.2000, s. 22.</w:t>
      </w:r>
    </w:p>
  </w:footnote>
  <w:footnote w:id="9">
    <w:p w14:paraId="17345C81" w14:textId="77777777" w:rsidR="00147154" w:rsidRPr="00B32C9D" w:rsidRDefault="00147154" w:rsidP="00B32C9D">
      <w:pPr>
        <w:pStyle w:val="FootnoteText"/>
        <w:ind w:left="567" w:hanging="567"/>
        <w:rPr>
          <w:sz w:val="24"/>
          <w:lang w:val="da-DK"/>
        </w:rPr>
      </w:pPr>
      <w:r w:rsidRPr="00B32C9D">
        <w:rPr>
          <w:rStyle w:val="FootnoteReference"/>
          <w:sz w:val="24"/>
          <w:lang w:val="da-DK"/>
        </w:rPr>
        <w:footnoteRef/>
      </w:r>
      <w:r w:rsidR="00B32C9D" w:rsidRPr="00B32C9D">
        <w:rPr>
          <w:sz w:val="24"/>
          <w:lang w:val="da-DK"/>
        </w:rPr>
        <w:t xml:space="preserve"> </w:t>
      </w:r>
      <w:r w:rsidR="00B32C9D" w:rsidRPr="00B32C9D">
        <w:rPr>
          <w:sz w:val="24"/>
          <w:lang w:val="da-DK"/>
        </w:rPr>
        <w:tab/>
      </w:r>
      <w:r w:rsidRPr="00B32C9D">
        <w:rPr>
          <w:sz w:val="24"/>
          <w:lang w:val="da-DK"/>
        </w:rPr>
        <w:t>EUT C 93 af 19.3.2021, s. 1.</w:t>
      </w:r>
    </w:p>
  </w:footnote>
  <w:footnote w:id="10">
    <w:p w14:paraId="4ECD7889" w14:textId="77777777" w:rsidR="00147154" w:rsidRPr="00B32C9D" w:rsidRDefault="00147154" w:rsidP="00B32C9D">
      <w:pPr>
        <w:pStyle w:val="FootnoteText"/>
        <w:ind w:left="567" w:hanging="567"/>
        <w:rPr>
          <w:sz w:val="24"/>
          <w:lang w:val="da-DK"/>
        </w:rPr>
      </w:pPr>
      <w:r w:rsidRPr="00B32C9D">
        <w:rPr>
          <w:rStyle w:val="FootnoteReference"/>
          <w:sz w:val="24"/>
          <w:lang w:val="da-DK"/>
        </w:rPr>
        <w:footnoteRef/>
      </w:r>
      <w:r w:rsidR="00B32C9D" w:rsidRPr="00B32C9D">
        <w:rPr>
          <w:sz w:val="24"/>
          <w:lang w:val="da-DK"/>
        </w:rPr>
        <w:t xml:space="preserve"> </w:t>
      </w:r>
      <w:r w:rsidR="00B32C9D" w:rsidRPr="00B32C9D">
        <w:rPr>
          <w:sz w:val="24"/>
          <w:lang w:val="da-DK"/>
        </w:rPr>
        <w:tab/>
      </w:r>
      <w:r w:rsidRPr="00B32C9D">
        <w:rPr>
          <w:sz w:val="24"/>
          <w:lang w:val="da-DK"/>
        </w:rPr>
        <w:t>EUT L 331 af 20.9.2021, s. 8.</w:t>
      </w:r>
    </w:p>
  </w:footnote>
  <w:footnote w:id="11">
    <w:p w14:paraId="3B95F809" w14:textId="77777777" w:rsidR="00147154" w:rsidRPr="00B32C9D" w:rsidRDefault="00147154" w:rsidP="00B32C9D">
      <w:pPr>
        <w:pStyle w:val="FootnoteText"/>
        <w:ind w:left="567" w:hanging="567"/>
        <w:rPr>
          <w:sz w:val="24"/>
          <w:lang w:val="da-DK"/>
        </w:rPr>
      </w:pPr>
      <w:r w:rsidRPr="00B32C9D">
        <w:rPr>
          <w:rStyle w:val="FootnoteReference"/>
          <w:sz w:val="24"/>
          <w:lang w:val="da-DK"/>
        </w:rPr>
        <w:footnoteRef/>
      </w:r>
      <w:r w:rsidR="00B32C9D" w:rsidRPr="00B32C9D">
        <w:rPr>
          <w:sz w:val="24"/>
          <w:lang w:val="da-DK"/>
        </w:rPr>
        <w:t xml:space="preserve"> </w:t>
      </w:r>
      <w:r w:rsidR="00B32C9D" w:rsidRPr="00B32C9D">
        <w:rPr>
          <w:sz w:val="24"/>
          <w:lang w:val="da-DK"/>
        </w:rPr>
        <w:tab/>
      </w:r>
      <w:r w:rsidRPr="00B32C9D">
        <w:rPr>
          <w:sz w:val="24"/>
          <w:lang w:val="da-DK"/>
        </w:rPr>
        <w:t>EUT L 86 af 24.3.2023, s. 44.</w:t>
      </w:r>
    </w:p>
  </w:footnote>
  <w:footnote w:id="12">
    <w:p w14:paraId="03594A10" w14:textId="77777777" w:rsidR="00147154" w:rsidRPr="00B32C9D" w:rsidRDefault="00147154" w:rsidP="00B32C9D">
      <w:pPr>
        <w:pStyle w:val="FootnoteText"/>
        <w:ind w:left="567" w:hanging="567"/>
        <w:rPr>
          <w:sz w:val="24"/>
          <w:lang w:val="da-DK"/>
        </w:rPr>
      </w:pPr>
      <w:r w:rsidRPr="00B32C9D">
        <w:rPr>
          <w:rStyle w:val="FootnoteReference"/>
          <w:sz w:val="24"/>
          <w:lang w:val="da-DK"/>
        </w:rPr>
        <w:footnoteRef/>
      </w:r>
      <w:r w:rsidR="00B32C9D" w:rsidRPr="00B32C9D">
        <w:rPr>
          <w:sz w:val="24"/>
          <w:lang w:val="da-DK"/>
        </w:rPr>
        <w:t xml:space="preserve"> </w:t>
      </w:r>
      <w:r w:rsidR="00B32C9D" w:rsidRPr="00B32C9D">
        <w:rPr>
          <w:sz w:val="24"/>
          <w:lang w:val="da-DK"/>
        </w:rPr>
        <w:tab/>
      </w:r>
      <w:r w:rsidRPr="00B32C9D">
        <w:rPr>
          <w:sz w:val="24"/>
          <w:lang w:val="da-DK"/>
        </w:rPr>
        <w:t>EUT L 245 af 22.9.2022, s. 56.</w:t>
      </w:r>
    </w:p>
  </w:footnote>
  <w:footnote w:id="13">
    <w:p w14:paraId="137B04A8" w14:textId="77777777" w:rsidR="00147154" w:rsidRPr="00AE178D" w:rsidRDefault="00147154" w:rsidP="00B32C9D">
      <w:pPr>
        <w:pStyle w:val="FootnoteText"/>
        <w:ind w:left="567" w:hanging="567"/>
        <w:rPr>
          <w:color w:val="0000FF"/>
          <w:sz w:val="24"/>
          <w:u w:val="single" w:color="0000FF"/>
          <w:lang w:val="en-GB"/>
        </w:rPr>
      </w:pPr>
      <w:r w:rsidRPr="00B32C9D">
        <w:rPr>
          <w:rStyle w:val="FootnoteReference"/>
          <w:sz w:val="24"/>
          <w:lang w:val="da-DK"/>
        </w:rPr>
        <w:footnoteRef/>
      </w:r>
      <w:r w:rsidR="00B32C9D" w:rsidRPr="00AE178D">
        <w:rPr>
          <w:sz w:val="24"/>
          <w:lang w:val="en-GB"/>
        </w:rPr>
        <w:t xml:space="preserve"> </w:t>
      </w:r>
      <w:r w:rsidR="00B32C9D" w:rsidRPr="00AE178D">
        <w:rPr>
          <w:sz w:val="24"/>
          <w:lang w:val="en-GB"/>
        </w:rPr>
        <w:tab/>
      </w:r>
      <w:r w:rsidRPr="00AE178D">
        <w:rPr>
          <w:sz w:val="24"/>
          <w:lang w:val="en-GB"/>
        </w:rPr>
        <w:t>Europarådet, "</w:t>
      </w:r>
      <w:hyperlink r:id="rId3" w:history="1">
        <w:r w:rsidRPr="00AE178D">
          <w:rPr>
            <w:rStyle w:val="Hyperlink"/>
            <w:sz w:val="24"/>
            <w:lang w:val="en-GB"/>
          </w:rPr>
          <w:t>Human Rights Defenders in the Council of Europe Area in Times of Crises</w:t>
        </w:r>
      </w:hyperlink>
      <w:r w:rsidRPr="00AE178D">
        <w:rPr>
          <w:sz w:val="24"/>
          <w:lang w:val="en-GB"/>
        </w:rPr>
        <w:t>", 23. marts 2023</w:t>
      </w:r>
      <w:hyperlink r:id="rId4" w:history="1">
        <w:r w:rsidRPr="00AE178D">
          <w:rPr>
            <w:rStyle w:val="Hyperlink"/>
            <w:sz w:val="24"/>
            <w:lang w:val="en-GB"/>
          </w:rPr>
          <w:t>.</w:t>
        </w:r>
      </w:hyperlink>
    </w:p>
  </w:footnote>
  <w:footnote w:id="14">
    <w:p w14:paraId="716E6763" w14:textId="77777777" w:rsidR="00147154" w:rsidRPr="00B32C9D" w:rsidRDefault="00147154" w:rsidP="00B32C9D">
      <w:pPr>
        <w:pStyle w:val="FootnoteText"/>
        <w:ind w:left="567" w:hanging="567"/>
        <w:rPr>
          <w:sz w:val="24"/>
          <w:lang w:val="da-DK"/>
        </w:rPr>
      </w:pPr>
      <w:r w:rsidRPr="00B32C9D">
        <w:rPr>
          <w:rStyle w:val="FootnoteReference"/>
          <w:sz w:val="24"/>
          <w:lang w:val="da-DK"/>
        </w:rPr>
        <w:footnoteRef/>
      </w:r>
      <w:r w:rsidR="00B32C9D" w:rsidRPr="00B32C9D">
        <w:rPr>
          <w:sz w:val="24"/>
          <w:lang w:val="da-DK"/>
        </w:rPr>
        <w:t xml:space="preserve"> </w:t>
      </w:r>
      <w:r w:rsidR="00B32C9D" w:rsidRPr="00B32C9D">
        <w:rPr>
          <w:sz w:val="24"/>
          <w:lang w:val="da-DK"/>
        </w:rPr>
        <w:tab/>
      </w:r>
      <w:r w:rsidRPr="00B32C9D">
        <w:rPr>
          <w:sz w:val="24"/>
          <w:lang w:val="da-DK"/>
        </w:rPr>
        <w:t>EUT C 363 af 28.10.2020, s. 13.</w:t>
      </w:r>
    </w:p>
  </w:footnote>
  <w:footnote w:id="15">
    <w:p w14:paraId="3381304F" w14:textId="77777777" w:rsidR="00147154" w:rsidRPr="00B32C9D" w:rsidRDefault="00147154" w:rsidP="00B32C9D">
      <w:pPr>
        <w:pStyle w:val="FootnoteText"/>
        <w:ind w:left="567" w:hanging="567"/>
        <w:rPr>
          <w:sz w:val="24"/>
          <w:lang w:val="da-DK"/>
        </w:rPr>
      </w:pPr>
      <w:r w:rsidRPr="00B32C9D">
        <w:rPr>
          <w:rStyle w:val="FootnoteReference"/>
          <w:sz w:val="24"/>
          <w:lang w:val="da-DK"/>
        </w:rPr>
        <w:footnoteRef/>
      </w:r>
      <w:r w:rsidR="00B32C9D" w:rsidRPr="00B32C9D">
        <w:rPr>
          <w:sz w:val="24"/>
          <w:lang w:val="da-DK"/>
        </w:rPr>
        <w:t xml:space="preserve"> </w:t>
      </w:r>
      <w:r w:rsidR="00B32C9D" w:rsidRPr="00B32C9D">
        <w:rPr>
          <w:sz w:val="24"/>
          <w:lang w:val="da-DK"/>
        </w:rPr>
        <w:tab/>
      </w:r>
      <w:r w:rsidRPr="00B32C9D">
        <w:rPr>
          <w:sz w:val="24"/>
          <w:lang w:val="da-DK"/>
        </w:rPr>
        <w:t>EUT C 411 af 27.11.2020, s. 38.</w:t>
      </w:r>
    </w:p>
  </w:footnote>
  <w:footnote w:id="16">
    <w:p w14:paraId="7E271D8A" w14:textId="77777777" w:rsidR="00147154" w:rsidRPr="00B32C9D" w:rsidRDefault="00147154" w:rsidP="00B32C9D">
      <w:pPr>
        <w:pStyle w:val="FootnoteText"/>
        <w:ind w:left="567" w:hanging="567"/>
        <w:rPr>
          <w:sz w:val="24"/>
          <w:lang w:val="da-DK"/>
        </w:rPr>
      </w:pPr>
      <w:r w:rsidRPr="00B32C9D">
        <w:rPr>
          <w:rStyle w:val="FootnoteReference"/>
          <w:sz w:val="24"/>
          <w:lang w:val="da-DK"/>
        </w:rPr>
        <w:footnoteRef/>
      </w:r>
      <w:r w:rsidR="00B32C9D" w:rsidRPr="00B32C9D">
        <w:rPr>
          <w:sz w:val="24"/>
          <w:lang w:val="da-DK"/>
        </w:rPr>
        <w:t xml:space="preserve"> </w:t>
      </w:r>
      <w:r w:rsidR="00B32C9D" w:rsidRPr="00B32C9D">
        <w:rPr>
          <w:sz w:val="24"/>
          <w:lang w:val="da-DK"/>
        </w:rPr>
        <w:tab/>
      </w:r>
      <w:r w:rsidRPr="00B32C9D">
        <w:rPr>
          <w:sz w:val="24"/>
          <w:lang w:val="da-DK"/>
        </w:rPr>
        <w:t>EUT C 205 af 20.5.2022, s. 2.</w:t>
      </w:r>
    </w:p>
  </w:footnote>
  <w:footnote w:id="17">
    <w:p w14:paraId="3DA524FA" w14:textId="77777777" w:rsidR="00147154" w:rsidRPr="00B32C9D" w:rsidRDefault="00147154" w:rsidP="00B32C9D">
      <w:pPr>
        <w:pStyle w:val="FootnoteText"/>
        <w:ind w:left="567" w:hanging="567"/>
        <w:rPr>
          <w:sz w:val="24"/>
          <w:lang w:val="da-DK"/>
        </w:rPr>
      </w:pPr>
      <w:r w:rsidRPr="00B32C9D">
        <w:rPr>
          <w:rStyle w:val="FootnoteReference"/>
          <w:sz w:val="24"/>
          <w:lang w:val="da-DK"/>
        </w:rPr>
        <w:footnoteRef/>
      </w:r>
      <w:r w:rsidR="00B32C9D" w:rsidRPr="00B32C9D">
        <w:rPr>
          <w:sz w:val="24"/>
          <w:lang w:val="da-DK"/>
        </w:rPr>
        <w:t xml:space="preserve"> </w:t>
      </w:r>
      <w:r w:rsidR="00B32C9D" w:rsidRPr="00B32C9D">
        <w:rPr>
          <w:sz w:val="24"/>
          <w:lang w:val="da-DK"/>
        </w:rPr>
        <w:tab/>
      </w:r>
      <w:r w:rsidRPr="00B32C9D">
        <w:rPr>
          <w:sz w:val="24"/>
          <w:lang w:val="da-DK"/>
        </w:rPr>
        <w:t>EUT C 251 af 30.6.2022, s. 48.</w:t>
      </w:r>
    </w:p>
  </w:footnote>
  <w:footnote w:id="18">
    <w:p w14:paraId="03886FC1" w14:textId="77777777" w:rsidR="00147154" w:rsidRPr="00B32C9D" w:rsidRDefault="00147154" w:rsidP="00B32C9D">
      <w:pPr>
        <w:pStyle w:val="FootnoteText"/>
        <w:ind w:left="567" w:hanging="567"/>
        <w:rPr>
          <w:sz w:val="24"/>
          <w:lang w:val="da-DK"/>
        </w:rPr>
      </w:pPr>
      <w:r w:rsidRPr="00B32C9D">
        <w:rPr>
          <w:rStyle w:val="FootnoteReference"/>
          <w:sz w:val="24"/>
          <w:lang w:val="da-DK"/>
        </w:rPr>
        <w:footnoteRef/>
      </w:r>
      <w:r w:rsidR="00B32C9D" w:rsidRPr="00B32C9D">
        <w:rPr>
          <w:sz w:val="24"/>
          <w:lang w:val="da-DK"/>
        </w:rPr>
        <w:t xml:space="preserve"> </w:t>
      </w:r>
      <w:r w:rsidR="00B32C9D" w:rsidRPr="00B32C9D">
        <w:rPr>
          <w:sz w:val="24"/>
          <w:lang w:val="da-DK"/>
        </w:rPr>
        <w:tab/>
      </w:r>
      <w:r w:rsidRPr="00B32C9D">
        <w:rPr>
          <w:sz w:val="24"/>
          <w:lang w:val="da-DK"/>
        </w:rPr>
        <w:t>EUT C 342 af 6.9.2022, s. 225.</w:t>
      </w:r>
    </w:p>
  </w:footnote>
  <w:footnote w:id="19">
    <w:p w14:paraId="2433E5EE" w14:textId="77777777" w:rsidR="00147154" w:rsidRPr="00B32C9D" w:rsidRDefault="00147154" w:rsidP="00B32C9D">
      <w:pPr>
        <w:pStyle w:val="FootnoteText"/>
        <w:ind w:left="567" w:hanging="567"/>
        <w:rPr>
          <w:sz w:val="24"/>
          <w:lang w:val="da-DK"/>
        </w:rPr>
      </w:pPr>
      <w:r w:rsidRPr="00B32C9D">
        <w:rPr>
          <w:rStyle w:val="FootnoteReference"/>
          <w:sz w:val="24"/>
          <w:lang w:val="da-DK"/>
        </w:rPr>
        <w:footnoteRef/>
      </w:r>
      <w:r w:rsidR="00B32C9D" w:rsidRPr="00B32C9D">
        <w:rPr>
          <w:sz w:val="24"/>
          <w:lang w:val="da-DK"/>
        </w:rPr>
        <w:t xml:space="preserve"> </w:t>
      </w:r>
      <w:r w:rsidR="00B32C9D" w:rsidRPr="00B32C9D">
        <w:rPr>
          <w:sz w:val="24"/>
          <w:lang w:val="da-DK"/>
        </w:rPr>
        <w:tab/>
      </w:r>
      <w:r w:rsidRPr="00B32C9D">
        <w:rPr>
          <w:sz w:val="24"/>
          <w:lang w:val="da-DK"/>
        </w:rPr>
        <w:t>EUT C 347 af 9.9.2022, s. 2.</w:t>
      </w:r>
    </w:p>
  </w:footnote>
  <w:footnote w:id="20">
    <w:p w14:paraId="76089261" w14:textId="77777777" w:rsidR="00147154" w:rsidRPr="00B32C9D" w:rsidRDefault="00147154" w:rsidP="00B32C9D">
      <w:pPr>
        <w:pStyle w:val="FootnoteText"/>
        <w:ind w:left="567" w:hanging="567"/>
        <w:rPr>
          <w:sz w:val="24"/>
          <w:lang w:val="da-DK"/>
        </w:rPr>
      </w:pPr>
      <w:r w:rsidRPr="00B32C9D">
        <w:rPr>
          <w:rStyle w:val="FootnoteReference"/>
          <w:sz w:val="24"/>
          <w:lang w:val="da-DK"/>
        </w:rPr>
        <w:footnoteRef/>
      </w:r>
      <w:r w:rsidR="00B32C9D" w:rsidRPr="00B32C9D">
        <w:rPr>
          <w:sz w:val="24"/>
          <w:lang w:val="da-DK"/>
        </w:rPr>
        <w:t xml:space="preserve"> </w:t>
      </w:r>
      <w:r w:rsidR="00B32C9D" w:rsidRPr="00B32C9D">
        <w:rPr>
          <w:sz w:val="24"/>
          <w:lang w:val="da-DK"/>
        </w:rPr>
        <w:tab/>
      </w:r>
      <w:r w:rsidRPr="00B32C9D">
        <w:rPr>
          <w:sz w:val="24"/>
          <w:lang w:val="da-DK"/>
        </w:rPr>
        <w:t>EUT C 347 af 9.9.2022, s. 168.</w:t>
      </w:r>
    </w:p>
  </w:footnote>
  <w:footnote w:id="21">
    <w:p w14:paraId="41E498E9" w14:textId="77777777" w:rsidR="00147154" w:rsidRPr="00B32C9D" w:rsidRDefault="00147154" w:rsidP="00B32C9D">
      <w:pPr>
        <w:pStyle w:val="FootnoteText"/>
        <w:ind w:left="567" w:hanging="567"/>
        <w:rPr>
          <w:sz w:val="24"/>
          <w:lang w:val="da-DK"/>
        </w:rPr>
      </w:pPr>
      <w:r w:rsidRPr="00B32C9D">
        <w:rPr>
          <w:rStyle w:val="FootnoteReference"/>
          <w:sz w:val="24"/>
          <w:lang w:val="da-DK"/>
        </w:rPr>
        <w:footnoteRef/>
      </w:r>
      <w:r w:rsidR="00B32C9D" w:rsidRPr="00B32C9D">
        <w:rPr>
          <w:sz w:val="24"/>
          <w:lang w:val="da-DK"/>
        </w:rPr>
        <w:t xml:space="preserve"> </w:t>
      </w:r>
      <w:r w:rsidR="00B32C9D" w:rsidRPr="00B32C9D">
        <w:rPr>
          <w:sz w:val="24"/>
          <w:lang w:val="da-DK"/>
        </w:rPr>
        <w:tab/>
      </w:r>
      <w:r w:rsidRPr="00B32C9D">
        <w:rPr>
          <w:sz w:val="24"/>
          <w:lang w:val="da-DK"/>
        </w:rPr>
        <w:t>EUT C 493 af 27.12.2022, s. 108.</w:t>
      </w:r>
    </w:p>
  </w:footnote>
  <w:footnote w:id="22">
    <w:p w14:paraId="79CAFE47" w14:textId="77777777" w:rsidR="00147154" w:rsidRPr="00B32C9D" w:rsidRDefault="00147154" w:rsidP="00B32C9D">
      <w:pPr>
        <w:pStyle w:val="FootnoteText"/>
        <w:ind w:left="567" w:hanging="567"/>
        <w:rPr>
          <w:sz w:val="24"/>
          <w:lang w:val="da-DK"/>
        </w:rPr>
      </w:pPr>
      <w:r w:rsidRPr="00B32C9D">
        <w:rPr>
          <w:rStyle w:val="FootnoteReference"/>
          <w:sz w:val="24"/>
          <w:lang w:val="da-DK"/>
        </w:rPr>
        <w:footnoteRef/>
      </w:r>
      <w:r w:rsidR="00B32C9D" w:rsidRPr="00B32C9D">
        <w:rPr>
          <w:sz w:val="24"/>
          <w:lang w:val="da-DK"/>
        </w:rPr>
        <w:t xml:space="preserve"> </w:t>
      </w:r>
      <w:r w:rsidR="00B32C9D" w:rsidRPr="00B32C9D">
        <w:rPr>
          <w:sz w:val="24"/>
          <w:lang w:val="da-DK"/>
        </w:rPr>
        <w:tab/>
      </w:r>
      <w:r w:rsidRPr="00B32C9D">
        <w:rPr>
          <w:sz w:val="24"/>
          <w:lang w:val="da-DK"/>
        </w:rPr>
        <w:t>EUT C 47 af 7.2.2023, s. 184.</w:t>
      </w:r>
    </w:p>
  </w:footnote>
  <w:footnote w:id="23">
    <w:p w14:paraId="7B89EF9D" w14:textId="77777777" w:rsidR="00147154" w:rsidRPr="00B32C9D" w:rsidRDefault="00147154" w:rsidP="00B32C9D">
      <w:pPr>
        <w:pStyle w:val="FootnoteText"/>
        <w:ind w:left="567" w:hanging="567"/>
        <w:rPr>
          <w:sz w:val="24"/>
          <w:lang w:val="da-DK"/>
        </w:rPr>
      </w:pPr>
      <w:r w:rsidRPr="00B32C9D">
        <w:rPr>
          <w:rStyle w:val="FootnoteReference"/>
          <w:sz w:val="24"/>
          <w:lang w:val="da-DK"/>
        </w:rPr>
        <w:footnoteRef/>
      </w:r>
      <w:r w:rsidR="00B32C9D" w:rsidRPr="00B32C9D">
        <w:rPr>
          <w:sz w:val="24"/>
          <w:lang w:val="da-DK"/>
        </w:rPr>
        <w:t xml:space="preserve"> </w:t>
      </w:r>
      <w:r w:rsidR="00B32C9D" w:rsidRPr="00B32C9D">
        <w:rPr>
          <w:sz w:val="24"/>
          <w:lang w:val="da-DK"/>
        </w:rPr>
        <w:tab/>
      </w:r>
      <w:r w:rsidRPr="00B32C9D">
        <w:rPr>
          <w:sz w:val="24"/>
          <w:lang w:val="da-DK"/>
        </w:rPr>
        <w:t>EUT C 125 af 5.4.2023, s. 463.</w:t>
      </w:r>
    </w:p>
  </w:footnote>
  <w:footnote w:id="24">
    <w:p w14:paraId="75BA43C2" w14:textId="77777777" w:rsidR="00147154" w:rsidRPr="00B32C9D" w:rsidRDefault="00147154" w:rsidP="00B32C9D">
      <w:pPr>
        <w:pStyle w:val="FootnoteText"/>
        <w:ind w:left="567" w:hanging="567"/>
        <w:rPr>
          <w:sz w:val="24"/>
          <w:lang w:val="da-DK"/>
        </w:rPr>
      </w:pPr>
      <w:r w:rsidRPr="00B32C9D">
        <w:rPr>
          <w:rStyle w:val="FootnoteReference"/>
          <w:sz w:val="24"/>
          <w:lang w:val="da-DK"/>
        </w:rPr>
        <w:footnoteRef/>
      </w:r>
      <w:r w:rsidR="00B32C9D" w:rsidRPr="00B32C9D">
        <w:rPr>
          <w:sz w:val="24"/>
          <w:lang w:val="da-DK"/>
        </w:rPr>
        <w:t xml:space="preserve"> </w:t>
      </w:r>
      <w:r w:rsidR="00B32C9D" w:rsidRPr="00B32C9D">
        <w:rPr>
          <w:sz w:val="24"/>
          <w:lang w:val="da-DK"/>
        </w:rPr>
        <w:tab/>
      </w:r>
      <w:r w:rsidRPr="00B32C9D">
        <w:rPr>
          <w:sz w:val="24"/>
          <w:lang w:val="da-DK"/>
        </w:rPr>
        <w:t>EUT C 132 af 14.4.2023, s. 29.</w:t>
      </w:r>
    </w:p>
  </w:footnote>
  <w:footnote w:id="25">
    <w:p w14:paraId="05C64EB5" w14:textId="77777777" w:rsidR="00147154" w:rsidRPr="00B32C9D" w:rsidRDefault="00147154" w:rsidP="00B32C9D">
      <w:pPr>
        <w:pStyle w:val="FootnoteText"/>
        <w:ind w:left="567" w:hanging="567"/>
        <w:rPr>
          <w:sz w:val="24"/>
          <w:lang w:val="da-DK"/>
        </w:rPr>
      </w:pPr>
      <w:r w:rsidRPr="00B32C9D">
        <w:rPr>
          <w:rStyle w:val="FootnoteReference"/>
          <w:sz w:val="24"/>
          <w:lang w:val="da-DK"/>
        </w:rPr>
        <w:footnoteRef/>
      </w:r>
      <w:r w:rsidR="00B32C9D" w:rsidRPr="00B32C9D">
        <w:rPr>
          <w:sz w:val="24"/>
          <w:lang w:val="da-DK"/>
        </w:rPr>
        <w:t xml:space="preserve"> </w:t>
      </w:r>
      <w:r w:rsidR="00B32C9D" w:rsidRPr="00B32C9D">
        <w:rPr>
          <w:sz w:val="24"/>
          <w:lang w:val="da-DK"/>
        </w:rPr>
        <w:tab/>
      </w:r>
      <w:r w:rsidRPr="00B32C9D">
        <w:rPr>
          <w:sz w:val="24"/>
          <w:lang w:val="da-DK"/>
        </w:rPr>
        <w:t>EUT C 177 af 17.5.2023, s. 109.</w:t>
      </w:r>
    </w:p>
  </w:footnote>
  <w:footnote w:id="26">
    <w:p w14:paraId="23C63884" w14:textId="77777777" w:rsidR="00147154" w:rsidRPr="00B32C9D" w:rsidRDefault="00147154" w:rsidP="00B32C9D">
      <w:pPr>
        <w:pStyle w:val="FootnoteText"/>
        <w:ind w:left="567" w:hanging="567"/>
        <w:rPr>
          <w:sz w:val="24"/>
          <w:lang w:val="da-DK"/>
        </w:rPr>
      </w:pPr>
      <w:r w:rsidRPr="00B32C9D">
        <w:rPr>
          <w:rStyle w:val="FootnoteReference"/>
          <w:sz w:val="24"/>
          <w:lang w:val="da-DK"/>
        </w:rPr>
        <w:footnoteRef/>
      </w:r>
      <w:r w:rsidR="00B32C9D" w:rsidRPr="00B32C9D">
        <w:rPr>
          <w:sz w:val="24"/>
          <w:lang w:val="da-DK"/>
        </w:rPr>
        <w:t xml:space="preserve"> </w:t>
      </w:r>
      <w:r w:rsidR="00B32C9D" w:rsidRPr="00B32C9D">
        <w:rPr>
          <w:sz w:val="24"/>
          <w:lang w:val="da-DK"/>
        </w:rPr>
        <w:tab/>
      </w:r>
      <w:r w:rsidRPr="00B32C9D">
        <w:rPr>
          <w:sz w:val="24"/>
          <w:lang w:val="da-DK"/>
        </w:rPr>
        <w:t>EUT C 47 af 7.2.2023, s. 268.</w:t>
      </w:r>
    </w:p>
  </w:footnote>
  <w:footnote w:id="27">
    <w:p w14:paraId="0672F3BA" w14:textId="77777777" w:rsidR="00147154" w:rsidRPr="00B32C9D" w:rsidRDefault="00147154" w:rsidP="00B32C9D">
      <w:pPr>
        <w:pStyle w:val="FootnoteText"/>
        <w:ind w:left="567" w:hanging="567"/>
        <w:rPr>
          <w:sz w:val="24"/>
          <w:lang w:val="da-DK"/>
        </w:rPr>
      </w:pPr>
      <w:r w:rsidRPr="00B32C9D">
        <w:rPr>
          <w:rStyle w:val="FootnoteReference"/>
          <w:sz w:val="24"/>
          <w:lang w:val="da-DK"/>
        </w:rPr>
        <w:footnoteRef/>
      </w:r>
      <w:r w:rsidR="00B32C9D" w:rsidRPr="00B32C9D">
        <w:rPr>
          <w:sz w:val="24"/>
          <w:lang w:val="da-DK"/>
        </w:rPr>
        <w:t xml:space="preserve"> </w:t>
      </w:r>
      <w:r w:rsidR="00B32C9D" w:rsidRPr="00B32C9D">
        <w:rPr>
          <w:sz w:val="24"/>
          <w:lang w:val="da-DK"/>
        </w:rPr>
        <w:tab/>
      </w:r>
      <w:r w:rsidRPr="00B32C9D">
        <w:rPr>
          <w:sz w:val="24"/>
          <w:lang w:val="da-DK"/>
        </w:rPr>
        <w:t>EUT C 465 af 6.12.2022, s. 33.</w:t>
      </w:r>
    </w:p>
  </w:footnote>
  <w:footnote w:id="28">
    <w:p w14:paraId="02FCDCE6" w14:textId="77777777" w:rsidR="00147154" w:rsidRPr="00B32C9D" w:rsidRDefault="00147154" w:rsidP="00B32C9D">
      <w:pPr>
        <w:pStyle w:val="FootnoteText"/>
        <w:ind w:left="567" w:hanging="567"/>
        <w:rPr>
          <w:sz w:val="24"/>
          <w:lang w:val="da-DK"/>
        </w:rPr>
      </w:pPr>
      <w:r w:rsidRPr="00B32C9D">
        <w:rPr>
          <w:rStyle w:val="FootnoteReference"/>
          <w:sz w:val="24"/>
          <w:lang w:val="da-DK"/>
        </w:rPr>
        <w:footnoteRef/>
      </w:r>
      <w:r w:rsidR="00B32C9D" w:rsidRPr="00B32C9D">
        <w:rPr>
          <w:sz w:val="24"/>
          <w:lang w:val="da-DK"/>
        </w:rPr>
        <w:t xml:space="preserve"> </w:t>
      </w:r>
      <w:r w:rsidR="00B32C9D" w:rsidRPr="00B32C9D">
        <w:rPr>
          <w:sz w:val="24"/>
          <w:lang w:val="da-DK"/>
        </w:rPr>
        <w:tab/>
      </w:r>
      <w:r w:rsidRPr="00B32C9D">
        <w:rPr>
          <w:sz w:val="24"/>
          <w:lang w:val="da-DK"/>
        </w:rPr>
        <w:t>EUT C 465 af 6.12.2022, s. 147.</w:t>
      </w:r>
    </w:p>
  </w:footnote>
  <w:footnote w:id="29">
    <w:p w14:paraId="39B30B1E" w14:textId="77777777" w:rsidR="00147154" w:rsidRPr="00B32C9D" w:rsidRDefault="00147154" w:rsidP="00B32C9D">
      <w:pPr>
        <w:pStyle w:val="FootnoteText"/>
        <w:ind w:left="567" w:hanging="567"/>
        <w:rPr>
          <w:sz w:val="24"/>
          <w:lang w:val="da-DK"/>
        </w:rPr>
      </w:pPr>
      <w:r w:rsidRPr="00B32C9D">
        <w:rPr>
          <w:rStyle w:val="FootnoteReference"/>
          <w:sz w:val="24"/>
          <w:lang w:val="da-DK"/>
        </w:rPr>
        <w:footnoteRef/>
      </w:r>
      <w:r w:rsidR="00B32C9D" w:rsidRPr="00B32C9D">
        <w:rPr>
          <w:sz w:val="24"/>
          <w:lang w:val="da-DK"/>
        </w:rPr>
        <w:t xml:space="preserve"> </w:t>
      </w:r>
      <w:r w:rsidR="00B32C9D" w:rsidRPr="00B32C9D">
        <w:rPr>
          <w:sz w:val="24"/>
          <w:lang w:val="da-DK"/>
        </w:rPr>
        <w:tab/>
      </w:r>
      <w:r w:rsidRPr="00B32C9D">
        <w:rPr>
          <w:sz w:val="24"/>
          <w:lang w:val="da-DK"/>
        </w:rPr>
        <w:t>EUT L 45 af 14.2.2023, s. 13.</w:t>
      </w:r>
      <w:r w:rsidRPr="00B32C9D">
        <w:rPr>
          <w:b/>
          <w:i/>
          <w:sz w:val="24"/>
          <w:lang w:val="da-DK"/>
        </w:rPr>
        <w:t xml:space="preserve"> </w:t>
      </w:r>
    </w:p>
  </w:footnote>
  <w:footnote w:id="30">
    <w:p w14:paraId="24BE5425" w14:textId="77777777" w:rsidR="00147154" w:rsidRPr="00B32C9D" w:rsidRDefault="00147154" w:rsidP="00B32C9D">
      <w:pPr>
        <w:pStyle w:val="FootnoteText"/>
        <w:ind w:left="567" w:hanging="567"/>
        <w:rPr>
          <w:sz w:val="24"/>
          <w:lang w:val="da-DK"/>
        </w:rPr>
      </w:pPr>
      <w:r w:rsidRPr="00B32C9D">
        <w:rPr>
          <w:rStyle w:val="FootnoteReference"/>
          <w:sz w:val="24"/>
          <w:lang w:val="da-DK"/>
        </w:rPr>
        <w:footnoteRef/>
      </w:r>
      <w:r w:rsidR="00B32C9D" w:rsidRPr="00B32C9D">
        <w:rPr>
          <w:sz w:val="24"/>
          <w:lang w:val="da-DK"/>
        </w:rPr>
        <w:t xml:space="preserve"> </w:t>
      </w:r>
      <w:r w:rsidR="00B32C9D" w:rsidRPr="00B32C9D">
        <w:rPr>
          <w:sz w:val="24"/>
          <w:lang w:val="da-DK"/>
        </w:rPr>
        <w:tab/>
      </w:r>
      <w:r w:rsidRPr="00B32C9D">
        <w:rPr>
          <w:sz w:val="24"/>
          <w:lang w:val="da-DK"/>
        </w:rPr>
        <w:t>EUT C 149 af 28.4.2023, s. 22.</w:t>
      </w:r>
      <w:r w:rsidRPr="00B32C9D">
        <w:rPr>
          <w:b/>
          <w:i/>
          <w:sz w:val="24"/>
          <w:lang w:val="da-DK"/>
        </w:rPr>
        <w:t xml:space="preserve"> </w:t>
      </w:r>
    </w:p>
  </w:footnote>
  <w:footnote w:id="31">
    <w:p w14:paraId="34AEDC8B" w14:textId="77777777" w:rsidR="00147154" w:rsidRPr="00B32C9D" w:rsidRDefault="00147154" w:rsidP="00B32C9D">
      <w:pPr>
        <w:pStyle w:val="FootnoteText"/>
        <w:ind w:left="567" w:hanging="567"/>
        <w:rPr>
          <w:sz w:val="24"/>
          <w:lang w:val="da-DK"/>
        </w:rPr>
      </w:pPr>
      <w:r w:rsidRPr="00B32C9D">
        <w:rPr>
          <w:rStyle w:val="FootnoteReference"/>
          <w:sz w:val="24"/>
          <w:lang w:val="da-DK"/>
        </w:rPr>
        <w:footnoteRef/>
      </w:r>
      <w:r w:rsidR="00B32C9D" w:rsidRPr="00B32C9D">
        <w:rPr>
          <w:sz w:val="24"/>
          <w:lang w:val="da-DK"/>
        </w:rPr>
        <w:t xml:space="preserve"> </w:t>
      </w:r>
      <w:r w:rsidR="00B32C9D" w:rsidRPr="00B32C9D">
        <w:rPr>
          <w:sz w:val="24"/>
          <w:lang w:val="da-DK"/>
        </w:rPr>
        <w:tab/>
      </w:r>
      <w:r w:rsidRPr="00B32C9D">
        <w:rPr>
          <w:sz w:val="24"/>
          <w:lang w:val="da-DK"/>
        </w:rPr>
        <w:t>EUT C 161 af 5.5.2023, s. 10.</w:t>
      </w:r>
    </w:p>
  </w:footnote>
  <w:footnote w:id="32">
    <w:p w14:paraId="334F96D1" w14:textId="77777777" w:rsidR="00147154" w:rsidRPr="00B32C9D" w:rsidRDefault="00147154" w:rsidP="00B32C9D">
      <w:pPr>
        <w:pStyle w:val="FootnoteText"/>
        <w:ind w:left="567" w:hanging="567"/>
        <w:rPr>
          <w:sz w:val="24"/>
          <w:lang w:val="da-DK"/>
        </w:rPr>
      </w:pPr>
      <w:r w:rsidRPr="00B32C9D">
        <w:rPr>
          <w:rStyle w:val="FootnoteReference"/>
          <w:sz w:val="24"/>
          <w:lang w:val="da-DK"/>
        </w:rPr>
        <w:footnoteRef/>
      </w:r>
      <w:r w:rsidR="00B32C9D" w:rsidRPr="00B32C9D">
        <w:rPr>
          <w:sz w:val="24"/>
          <w:lang w:val="da-DK"/>
        </w:rPr>
        <w:t xml:space="preserve"> </w:t>
      </w:r>
      <w:r w:rsidR="00B32C9D" w:rsidRPr="00B32C9D">
        <w:rPr>
          <w:sz w:val="24"/>
          <w:lang w:val="da-DK"/>
        </w:rPr>
        <w:tab/>
      </w:r>
      <w:r w:rsidRPr="00B32C9D">
        <w:rPr>
          <w:sz w:val="24"/>
          <w:lang w:val="da-DK"/>
        </w:rPr>
        <w:t>EUT C 177 af 17.5.2023, s. 13.</w:t>
      </w:r>
      <w:r w:rsidRPr="00B32C9D">
        <w:rPr>
          <w:b/>
          <w:i/>
          <w:sz w:val="24"/>
          <w:lang w:val="da-DK"/>
        </w:rPr>
        <w:t xml:space="preserve"> </w:t>
      </w:r>
    </w:p>
  </w:footnote>
  <w:footnote w:id="33">
    <w:p w14:paraId="0F598CFF" w14:textId="77777777" w:rsidR="00147154" w:rsidRPr="00B32C9D" w:rsidRDefault="00147154" w:rsidP="00B32C9D">
      <w:pPr>
        <w:pStyle w:val="FootnoteText"/>
        <w:ind w:left="567" w:hanging="567"/>
        <w:rPr>
          <w:sz w:val="24"/>
          <w:lang w:val="da-DK"/>
        </w:rPr>
      </w:pPr>
      <w:r w:rsidRPr="00B32C9D">
        <w:rPr>
          <w:rStyle w:val="FootnoteReference"/>
          <w:sz w:val="24"/>
          <w:lang w:val="da-DK"/>
        </w:rPr>
        <w:footnoteRef/>
      </w:r>
      <w:r w:rsidR="00B32C9D" w:rsidRPr="00B32C9D">
        <w:rPr>
          <w:sz w:val="24"/>
          <w:lang w:val="da-DK"/>
        </w:rPr>
        <w:t xml:space="preserve"> </w:t>
      </w:r>
      <w:r w:rsidR="00B32C9D" w:rsidRPr="00B32C9D">
        <w:rPr>
          <w:sz w:val="24"/>
          <w:lang w:val="da-DK"/>
        </w:rPr>
        <w:tab/>
      </w:r>
      <w:r w:rsidR="00F3366E" w:rsidRPr="00B32C9D">
        <w:rPr>
          <w:sz w:val="24"/>
          <w:lang w:val="da-DK"/>
        </w:rPr>
        <w:t xml:space="preserve">Vedtagne tekster, </w:t>
      </w:r>
      <w:r w:rsidRPr="00B32C9D">
        <w:rPr>
          <w:sz w:val="24"/>
          <w:lang w:val="da-DK"/>
        </w:rPr>
        <w:t>P9_TA(2023)0111.</w:t>
      </w:r>
    </w:p>
  </w:footnote>
  <w:footnote w:id="34">
    <w:p w14:paraId="7982C788" w14:textId="77777777" w:rsidR="00147154" w:rsidRPr="00B32C9D" w:rsidRDefault="00147154" w:rsidP="00B32C9D">
      <w:pPr>
        <w:pStyle w:val="FootnoteText"/>
        <w:ind w:left="567" w:hanging="567"/>
        <w:rPr>
          <w:sz w:val="24"/>
          <w:lang w:val="da-DK"/>
        </w:rPr>
      </w:pPr>
      <w:r w:rsidRPr="00B32C9D">
        <w:rPr>
          <w:rStyle w:val="FootnoteReference"/>
          <w:sz w:val="24"/>
          <w:lang w:val="da-DK"/>
        </w:rPr>
        <w:footnoteRef/>
      </w:r>
      <w:r w:rsidR="00B32C9D" w:rsidRPr="00B32C9D">
        <w:rPr>
          <w:sz w:val="24"/>
          <w:lang w:val="da-DK"/>
        </w:rPr>
        <w:t xml:space="preserve"> </w:t>
      </w:r>
      <w:r w:rsidR="00B32C9D" w:rsidRPr="00B32C9D">
        <w:rPr>
          <w:sz w:val="24"/>
          <w:lang w:val="da-DK"/>
        </w:rPr>
        <w:tab/>
      </w:r>
      <w:r w:rsidRPr="00B32C9D">
        <w:rPr>
          <w:sz w:val="24"/>
          <w:lang w:val="da-DK"/>
        </w:rPr>
        <w:t>Vedtagne tekster, P9_TA(2023)0196.</w:t>
      </w:r>
    </w:p>
  </w:footnote>
  <w:footnote w:id="35">
    <w:p w14:paraId="292DB5C0" w14:textId="77777777" w:rsidR="00147154" w:rsidRPr="00B32C9D" w:rsidRDefault="00147154" w:rsidP="00B32C9D">
      <w:pPr>
        <w:pStyle w:val="FootnoteText"/>
        <w:ind w:left="567" w:hanging="567"/>
        <w:rPr>
          <w:sz w:val="24"/>
          <w:lang w:val="da-DK"/>
        </w:rPr>
      </w:pPr>
      <w:r w:rsidRPr="00B32C9D">
        <w:rPr>
          <w:rStyle w:val="FootnoteReference"/>
          <w:sz w:val="24"/>
          <w:lang w:val="da-DK"/>
        </w:rPr>
        <w:footnoteRef/>
      </w:r>
      <w:r w:rsidR="00B32C9D" w:rsidRPr="00B32C9D">
        <w:rPr>
          <w:sz w:val="24"/>
          <w:lang w:val="da-DK"/>
        </w:rPr>
        <w:t xml:space="preserve"> </w:t>
      </w:r>
      <w:r w:rsidR="00B32C9D" w:rsidRPr="00B32C9D">
        <w:rPr>
          <w:sz w:val="24"/>
          <w:lang w:val="da-DK"/>
        </w:rPr>
        <w:tab/>
      </w:r>
      <w:r w:rsidRPr="00B32C9D">
        <w:rPr>
          <w:sz w:val="24"/>
          <w:lang w:val="da-DK"/>
        </w:rPr>
        <w:t>Vedtagne tekster, P9_TA(2023)0204.</w:t>
      </w:r>
    </w:p>
  </w:footnote>
  <w:footnote w:id="36">
    <w:p w14:paraId="59A25EA4" w14:textId="77777777" w:rsidR="00147154" w:rsidRPr="00B32C9D" w:rsidRDefault="00147154" w:rsidP="00B32C9D">
      <w:pPr>
        <w:pStyle w:val="FootnoteText"/>
        <w:ind w:left="567" w:hanging="567"/>
        <w:rPr>
          <w:sz w:val="24"/>
          <w:lang w:val="da-DK"/>
        </w:rPr>
      </w:pPr>
      <w:r w:rsidRPr="00B32C9D">
        <w:rPr>
          <w:rStyle w:val="FootnoteReference"/>
          <w:sz w:val="24"/>
          <w:lang w:val="da-DK"/>
        </w:rPr>
        <w:footnoteRef/>
      </w:r>
      <w:r w:rsidR="00B32C9D" w:rsidRPr="00B32C9D">
        <w:rPr>
          <w:sz w:val="24"/>
          <w:lang w:val="da-DK"/>
        </w:rPr>
        <w:t xml:space="preserve"> </w:t>
      </w:r>
      <w:r w:rsidR="00B32C9D" w:rsidRPr="00B32C9D">
        <w:rPr>
          <w:sz w:val="24"/>
          <w:lang w:val="da-DK"/>
        </w:rPr>
        <w:tab/>
      </w:r>
      <w:r w:rsidRPr="00B32C9D">
        <w:rPr>
          <w:sz w:val="24"/>
          <w:lang w:val="da-DK"/>
        </w:rPr>
        <w:t>Vedtagne tekster, P9_TA(2023)0216.</w:t>
      </w:r>
    </w:p>
  </w:footnote>
  <w:footnote w:id="37">
    <w:p w14:paraId="451595E4" w14:textId="77777777" w:rsidR="00147154" w:rsidRPr="00B32C9D" w:rsidRDefault="00147154" w:rsidP="00B32C9D">
      <w:pPr>
        <w:pStyle w:val="FootnoteText"/>
        <w:ind w:left="567" w:hanging="567"/>
        <w:rPr>
          <w:sz w:val="24"/>
          <w:lang w:val="da-DK"/>
        </w:rPr>
      </w:pPr>
      <w:r w:rsidRPr="00B32C9D">
        <w:rPr>
          <w:rStyle w:val="FootnoteReference"/>
          <w:sz w:val="24"/>
          <w:lang w:val="da-DK"/>
        </w:rPr>
        <w:footnoteRef/>
      </w:r>
      <w:r w:rsidR="00B32C9D" w:rsidRPr="00B32C9D">
        <w:rPr>
          <w:sz w:val="24"/>
          <w:lang w:val="da-DK"/>
        </w:rPr>
        <w:t xml:space="preserve"> </w:t>
      </w:r>
      <w:r w:rsidR="00B32C9D" w:rsidRPr="00B32C9D">
        <w:rPr>
          <w:sz w:val="24"/>
          <w:lang w:val="da-DK"/>
        </w:rPr>
        <w:tab/>
      </w:r>
      <w:r w:rsidRPr="00B32C9D">
        <w:rPr>
          <w:sz w:val="24"/>
          <w:lang w:val="da-DK"/>
        </w:rPr>
        <w:t>Vedtagne tekster, P9_TA(2023)0295.</w:t>
      </w:r>
    </w:p>
  </w:footnote>
  <w:footnote w:id="38">
    <w:p w14:paraId="68241D46" w14:textId="77777777" w:rsidR="00147154" w:rsidRPr="00B32C9D" w:rsidRDefault="00147154" w:rsidP="00B32C9D">
      <w:pPr>
        <w:pStyle w:val="FootnoteText"/>
        <w:ind w:left="567" w:hanging="567"/>
        <w:rPr>
          <w:sz w:val="24"/>
          <w:lang w:val="da-DK"/>
        </w:rPr>
      </w:pPr>
      <w:r w:rsidRPr="00B32C9D">
        <w:rPr>
          <w:rStyle w:val="FootnoteReference"/>
          <w:sz w:val="24"/>
          <w:lang w:val="da-DK"/>
        </w:rPr>
        <w:footnoteRef/>
      </w:r>
      <w:r w:rsidR="00B32C9D" w:rsidRPr="00B32C9D">
        <w:rPr>
          <w:sz w:val="24"/>
          <w:lang w:val="da-DK"/>
        </w:rPr>
        <w:t xml:space="preserve"> </w:t>
      </w:r>
      <w:r w:rsidR="00B32C9D" w:rsidRPr="00B32C9D">
        <w:rPr>
          <w:sz w:val="24"/>
          <w:lang w:val="da-DK"/>
        </w:rPr>
        <w:tab/>
      </w:r>
      <w:r w:rsidRPr="00B32C9D">
        <w:rPr>
          <w:sz w:val="24"/>
          <w:lang w:val="da-DK"/>
        </w:rPr>
        <w:t>Vedtagne tekster, P9_TA(2023)0342.</w:t>
      </w:r>
    </w:p>
  </w:footnote>
  <w:footnote w:id="39">
    <w:p w14:paraId="4C83F147" w14:textId="77777777" w:rsidR="00147154" w:rsidRPr="00B32C9D" w:rsidRDefault="00147154" w:rsidP="00B32C9D">
      <w:pPr>
        <w:pStyle w:val="FootnoteText"/>
        <w:ind w:left="567" w:hanging="567"/>
        <w:rPr>
          <w:sz w:val="24"/>
          <w:lang w:val="da-DK"/>
        </w:rPr>
      </w:pPr>
      <w:r w:rsidRPr="00B32C9D">
        <w:rPr>
          <w:rStyle w:val="FootnoteReference"/>
          <w:sz w:val="24"/>
          <w:lang w:val="da-DK"/>
        </w:rPr>
        <w:footnoteRef/>
      </w:r>
      <w:r w:rsidR="00B32C9D" w:rsidRPr="00B32C9D">
        <w:rPr>
          <w:sz w:val="24"/>
          <w:lang w:val="da-DK"/>
        </w:rPr>
        <w:t xml:space="preserve"> </w:t>
      </w:r>
      <w:r w:rsidR="00B32C9D" w:rsidRPr="00B32C9D">
        <w:rPr>
          <w:sz w:val="24"/>
          <w:lang w:val="da-DK"/>
        </w:rPr>
        <w:tab/>
      </w:r>
      <w:r w:rsidRPr="00B32C9D">
        <w:rPr>
          <w:sz w:val="24"/>
          <w:lang w:val="da-DK"/>
        </w:rPr>
        <w:t>Europa-Kommissionen mod Ungarn (Foreningers gennemsigtighed), sag C-78/18, ECLI: EU:C:2020:476.</w:t>
      </w:r>
    </w:p>
  </w:footnote>
  <w:footnote w:id="40">
    <w:p w14:paraId="7CCC0B61" w14:textId="77777777" w:rsidR="00147154" w:rsidRPr="00B32C9D" w:rsidRDefault="00147154" w:rsidP="00B32C9D">
      <w:pPr>
        <w:pStyle w:val="FootnoteText"/>
        <w:ind w:left="567" w:hanging="567"/>
        <w:rPr>
          <w:sz w:val="24"/>
          <w:lang w:val="da-DK"/>
        </w:rPr>
      </w:pPr>
      <w:r w:rsidRPr="00B32C9D">
        <w:rPr>
          <w:rStyle w:val="FootnoteReference"/>
          <w:sz w:val="24"/>
          <w:lang w:val="da-DK"/>
        </w:rPr>
        <w:footnoteRef/>
      </w:r>
      <w:r w:rsidR="00B32C9D" w:rsidRPr="00B32C9D">
        <w:rPr>
          <w:sz w:val="24"/>
          <w:lang w:val="da-DK"/>
        </w:rPr>
        <w:t xml:space="preserve"> </w:t>
      </w:r>
      <w:r w:rsidR="00B32C9D" w:rsidRPr="00B32C9D">
        <w:rPr>
          <w:sz w:val="24"/>
          <w:lang w:val="da-DK"/>
        </w:rPr>
        <w:tab/>
      </w:r>
      <w:r w:rsidRPr="00B32C9D">
        <w:rPr>
          <w:sz w:val="24"/>
          <w:lang w:val="da-DK"/>
        </w:rPr>
        <w:t>At komme nødstedte personer fundet på havet til undsætning er en retlig forpligtelse for EU-landene i henhold til den folkeretlige sædvaneret og traktatretten (den internationale konvention om sikkerhed for menneskeliv på søen (SOLAS-konventionen, 1974); De Forenede Nationers havretskonvention (UNCLOS, 1982); den internationale konvention om maritim eftersøgning og redning (SAR-konventionen, 1979) samt EU-retten).</w:t>
      </w:r>
    </w:p>
  </w:footnote>
  <w:footnote w:id="41">
    <w:p w14:paraId="3ADD793B" w14:textId="77777777" w:rsidR="00147154" w:rsidRPr="00B32C9D" w:rsidRDefault="00147154" w:rsidP="00B32C9D">
      <w:pPr>
        <w:pStyle w:val="FootnoteText"/>
        <w:ind w:left="567" w:hanging="567"/>
        <w:rPr>
          <w:sz w:val="24"/>
          <w:lang w:val="da-DK"/>
        </w:rPr>
      </w:pPr>
      <w:r w:rsidRPr="00B32C9D">
        <w:rPr>
          <w:rStyle w:val="FootnoteReference"/>
          <w:sz w:val="24"/>
          <w:lang w:val="da-DK"/>
        </w:rPr>
        <w:footnoteRef/>
      </w:r>
      <w:r w:rsidR="00B32C9D" w:rsidRPr="00B32C9D">
        <w:rPr>
          <w:sz w:val="24"/>
          <w:lang w:val="da-DK"/>
        </w:rPr>
        <w:t xml:space="preserve"> </w:t>
      </w:r>
      <w:r w:rsidR="00B32C9D" w:rsidRPr="00B32C9D">
        <w:rPr>
          <w:sz w:val="24"/>
          <w:lang w:val="da-DK"/>
        </w:rPr>
        <w:tab/>
      </w:r>
      <w:r w:rsidRPr="00B32C9D">
        <w:rPr>
          <w:sz w:val="24"/>
          <w:lang w:val="da-DK"/>
        </w:rPr>
        <w:t xml:space="preserve">Domstolens dom (anden afdeling) af 6. oktober 2022 i sag </w:t>
      </w:r>
      <w:r w:rsidRPr="00B32C9D">
        <w:rPr>
          <w:i/>
          <w:sz w:val="24"/>
          <w:lang w:val="da-DK"/>
        </w:rPr>
        <w:t>I. L.</w:t>
      </w:r>
      <w:r w:rsidRPr="00B32C9D">
        <w:rPr>
          <w:sz w:val="24"/>
          <w:lang w:val="da-DK"/>
        </w:rPr>
        <w:t xml:space="preserve"> v </w:t>
      </w:r>
      <w:r w:rsidRPr="00B32C9D">
        <w:rPr>
          <w:i/>
          <w:sz w:val="24"/>
          <w:lang w:val="da-DK"/>
        </w:rPr>
        <w:t>Politsei- ja Piirivalveamet</w:t>
      </w:r>
      <w:r w:rsidRPr="00B32C9D">
        <w:rPr>
          <w:sz w:val="24"/>
          <w:lang w:val="da-DK"/>
        </w:rPr>
        <w:t>, sag C-241/21, ECLI:EU:C:2022:753.</w:t>
      </w:r>
    </w:p>
  </w:footnote>
  <w:footnote w:id="42">
    <w:p w14:paraId="5D80A2F9" w14:textId="77777777" w:rsidR="00147154" w:rsidRPr="00B32C9D" w:rsidRDefault="00147154" w:rsidP="00B32C9D">
      <w:pPr>
        <w:pStyle w:val="FootnoteText"/>
        <w:ind w:left="567" w:hanging="567"/>
        <w:rPr>
          <w:sz w:val="24"/>
          <w:lang w:val="da-DK"/>
        </w:rPr>
      </w:pPr>
      <w:r w:rsidRPr="00B32C9D">
        <w:rPr>
          <w:rStyle w:val="FootnoteReference"/>
          <w:sz w:val="24"/>
          <w:lang w:val="da-DK"/>
        </w:rPr>
        <w:footnoteRef/>
      </w:r>
      <w:r w:rsidR="00B32C9D" w:rsidRPr="00B32C9D">
        <w:rPr>
          <w:sz w:val="24"/>
          <w:lang w:val="da-DK"/>
        </w:rPr>
        <w:t xml:space="preserve"> </w:t>
      </w:r>
      <w:r w:rsidR="00B32C9D" w:rsidRPr="00B32C9D">
        <w:rPr>
          <w:sz w:val="24"/>
          <w:lang w:val="da-DK"/>
        </w:rPr>
        <w:tab/>
      </w:r>
      <w:r w:rsidRPr="00B32C9D">
        <w:rPr>
          <w:sz w:val="24"/>
          <w:lang w:val="da-DK"/>
        </w:rPr>
        <w:t>Den Europæiske Unions Agentur for Grundlæggende Rettigheder, "Rapport for 2023 om grundlæggende rettigheder", s. 148, 8. juni 2023.</w:t>
      </w:r>
    </w:p>
  </w:footnote>
  <w:footnote w:id="43">
    <w:p w14:paraId="2AF922CB" w14:textId="77777777" w:rsidR="00147154" w:rsidRPr="00B32C9D" w:rsidRDefault="00147154" w:rsidP="00B32C9D">
      <w:pPr>
        <w:pStyle w:val="FootnoteText"/>
        <w:ind w:left="567" w:hanging="567"/>
        <w:rPr>
          <w:sz w:val="24"/>
          <w:lang w:val="da-DK"/>
        </w:rPr>
      </w:pPr>
      <w:r w:rsidRPr="00B32C9D">
        <w:rPr>
          <w:rStyle w:val="FootnoteReference"/>
          <w:sz w:val="24"/>
          <w:lang w:val="da-DK"/>
        </w:rPr>
        <w:footnoteRef/>
      </w:r>
      <w:r w:rsidR="00B32C9D" w:rsidRPr="00B32C9D">
        <w:rPr>
          <w:sz w:val="24"/>
          <w:lang w:val="da-DK"/>
        </w:rPr>
        <w:t xml:space="preserve"> </w:t>
      </w:r>
      <w:r w:rsidR="00B32C9D" w:rsidRPr="00B32C9D">
        <w:rPr>
          <w:sz w:val="24"/>
          <w:lang w:val="da-DK"/>
        </w:rPr>
        <w:tab/>
      </w:r>
      <w:r w:rsidRPr="00B32C9D">
        <w:rPr>
          <w:sz w:val="24"/>
          <w:lang w:val="da-DK"/>
        </w:rPr>
        <w:t>Den Europæiske Unions Agentur for Grundlæggende Rettigheder, "Rapport for 2023 om grundlæggende rettigheder", s. 148, 8. juni 2023.</w:t>
      </w:r>
    </w:p>
  </w:footnote>
  <w:footnote w:id="44">
    <w:p w14:paraId="32B894A6" w14:textId="77777777" w:rsidR="00147154" w:rsidRPr="00B32C9D" w:rsidRDefault="00147154" w:rsidP="00B32C9D">
      <w:pPr>
        <w:pStyle w:val="FootnoteText"/>
        <w:ind w:left="567" w:hanging="567"/>
        <w:rPr>
          <w:sz w:val="24"/>
          <w:lang w:val="da-DK"/>
        </w:rPr>
      </w:pPr>
      <w:r w:rsidRPr="00B32C9D">
        <w:rPr>
          <w:rStyle w:val="FootnoteReference"/>
          <w:sz w:val="24"/>
          <w:lang w:val="da-DK"/>
        </w:rPr>
        <w:footnoteRef/>
      </w:r>
      <w:r w:rsidR="00B32C9D" w:rsidRPr="00B32C9D">
        <w:rPr>
          <w:sz w:val="24"/>
          <w:lang w:val="da-DK"/>
        </w:rPr>
        <w:t xml:space="preserve"> </w:t>
      </w:r>
      <w:r w:rsidR="00B32C9D" w:rsidRPr="00B32C9D">
        <w:rPr>
          <w:sz w:val="24"/>
          <w:lang w:val="da-DK"/>
        </w:rPr>
        <w:tab/>
      </w:r>
      <w:r w:rsidRPr="00B32C9D">
        <w:rPr>
          <w:sz w:val="24"/>
          <w:lang w:val="da-DK"/>
        </w:rPr>
        <w:t>Betegnelsen "romaer" omfatter forskellige grupper, herunder romaer, kaléer, manoucher, ashkalier, omrejsende, lovari, rissende, boyash, domare, kalderash, romanichaler og sintier. Der findes ingen generelt vedtaget terminologi, fordi nogle befolkningsgrupper foretrækker ordet "romaer".</w:t>
      </w:r>
    </w:p>
  </w:footnote>
  <w:footnote w:id="45">
    <w:p w14:paraId="6E2B620B" w14:textId="77777777" w:rsidR="00147154" w:rsidRPr="00B32C9D" w:rsidRDefault="00147154" w:rsidP="00B32C9D">
      <w:pPr>
        <w:pStyle w:val="FootnoteText"/>
        <w:ind w:left="567" w:hanging="567"/>
        <w:rPr>
          <w:sz w:val="24"/>
          <w:lang w:val="da-DK"/>
        </w:rPr>
      </w:pPr>
      <w:r w:rsidRPr="00B32C9D">
        <w:rPr>
          <w:rStyle w:val="FootnoteReference"/>
          <w:sz w:val="24"/>
          <w:lang w:val="da-DK"/>
        </w:rPr>
        <w:footnoteRef/>
      </w:r>
      <w:r w:rsidR="00B32C9D" w:rsidRPr="00B32C9D">
        <w:rPr>
          <w:sz w:val="24"/>
          <w:lang w:val="da-DK"/>
        </w:rPr>
        <w:t xml:space="preserve"> </w:t>
      </w:r>
      <w:r w:rsidR="00B32C9D" w:rsidRPr="00B32C9D">
        <w:rPr>
          <w:sz w:val="24"/>
          <w:lang w:val="da-DK"/>
        </w:rPr>
        <w:tab/>
      </w:r>
      <w:r w:rsidRPr="00B32C9D">
        <w:rPr>
          <w:sz w:val="24"/>
          <w:lang w:val="da-DK"/>
        </w:rPr>
        <w:t>Europa-Parlamentets Forskningstjeneste: Kort briefing om "bekæmpelse af hadefuld tale og hadforbrydelser i EU", juni 2022.</w:t>
      </w:r>
    </w:p>
  </w:footnote>
  <w:footnote w:id="46">
    <w:p w14:paraId="115D339D" w14:textId="77777777" w:rsidR="00147154" w:rsidRPr="00AE178D" w:rsidRDefault="00147154" w:rsidP="00B32C9D">
      <w:pPr>
        <w:pStyle w:val="FootnoteText"/>
        <w:ind w:left="567" w:hanging="567"/>
        <w:rPr>
          <w:sz w:val="24"/>
          <w:lang w:val="en-GB"/>
        </w:rPr>
      </w:pPr>
      <w:r w:rsidRPr="00B32C9D">
        <w:rPr>
          <w:rStyle w:val="FootnoteReference"/>
          <w:sz w:val="24"/>
          <w:lang w:val="da-DK"/>
        </w:rPr>
        <w:footnoteRef/>
      </w:r>
      <w:r w:rsidR="00B32C9D" w:rsidRPr="00AE178D">
        <w:rPr>
          <w:sz w:val="24"/>
          <w:lang w:val="en-GB"/>
        </w:rPr>
        <w:t xml:space="preserve"> </w:t>
      </w:r>
      <w:r w:rsidR="00B32C9D" w:rsidRPr="00AE178D">
        <w:rPr>
          <w:sz w:val="24"/>
          <w:lang w:val="en-GB"/>
        </w:rPr>
        <w:tab/>
      </w:r>
      <w:r w:rsidRPr="00AE178D">
        <w:rPr>
          <w:sz w:val="24"/>
          <w:lang w:val="en-GB"/>
        </w:rPr>
        <w:t>Den Europæiske Ombudsmand, "</w:t>
      </w:r>
      <w:hyperlink r:id="rId5" w:history="1">
        <w:r w:rsidRPr="00AE178D">
          <w:rPr>
            <w:rStyle w:val="Hyperlink"/>
            <w:sz w:val="24"/>
            <w:lang w:val="en-GB"/>
          </w:rPr>
          <w:t>Recommendation on the European Commission's refusal of public access to text messages exchanged between the Commission President and the CEO of a pharmaceutical company on the purchase of a COVID 19 vaccine (case 1316/2021/MIG)</w:t>
        </w:r>
      </w:hyperlink>
      <w:r w:rsidRPr="00AE178D">
        <w:rPr>
          <w:sz w:val="24"/>
          <w:lang w:val="en-GB"/>
        </w:rPr>
        <w:t>".</w:t>
      </w:r>
    </w:p>
  </w:footnote>
  <w:footnote w:id="47">
    <w:p w14:paraId="3F91CC00" w14:textId="77777777" w:rsidR="00147154" w:rsidRPr="00B32C9D" w:rsidRDefault="00147154" w:rsidP="00B32C9D">
      <w:pPr>
        <w:pStyle w:val="FootnoteText"/>
        <w:ind w:left="567" w:hanging="567"/>
        <w:rPr>
          <w:sz w:val="24"/>
          <w:lang w:val="da-DK"/>
        </w:rPr>
      </w:pPr>
      <w:r w:rsidRPr="00B32C9D">
        <w:rPr>
          <w:rStyle w:val="FootnoteReference"/>
          <w:sz w:val="24"/>
          <w:lang w:val="da-DK"/>
        </w:rPr>
        <w:footnoteRef/>
      </w:r>
      <w:r w:rsidR="00B32C9D" w:rsidRPr="00B32C9D">
        <w:rPr>
          <w:sz w:val="24"/>
          <w:lang w:val="da-DK"/>
        </w:rPr>
        <w:t xml:space="preserve"> </w:t>
      </w:r>
      <w:r w:rsidR="00B32C9D" w:rsidRPr="00B32C9D">
        <w:rPr>
          <w:sz w:val="24"/>
          <w:lang w:val="da-DK"/>
        </w:rPr>
        <w:tab/>
      </w:r>
      <w:r w:rsidRPr="00B32C9D">
        <w:rPr>
          <w:sz w:val="24"/>
          <w:lang w:val="da-DK"/>
        </w:rPr>
        <w:t>Europa-Parlamentets og Rådets direktiv (EU) 2019/1937 af 23. oktober 2019 om beskyttelse af personer, der indberetter overtrædelser af EU-retten (EUT L 305 af 26.11.2019, s. 17).</w:t>
      </w:r>
    </w:p>
  </w:footnote>
  <w:footnote w:id="48">
    <w:p w14:paraId="574BFE28" w14:textId="77777777" w:rsidR="00147154" w:rsidRPr="00B32C9D" w:rsidRDefault="00147154" w:rsidP="00B32C9D">
      <w:pPr>
        <w:pStyle w:val="FootnoteText"/>
        <w:ind w:left="567" w:hanging="567"/>
        <w:rPr>
          <w:sz w:val="24"/>
          <w:lang w:val="da-DK"/>
        </w:rPr>
      </w:pPr>
      <w:r w:rsidRPr="00B32C9D">
        <w:rPr>
          <w:rStyle w:val="FootnoteReference"/>
          <w:sz w:val="24"/>
          <w:lang w:val="da-DK"/>
        </w:rPr>
        <w:footnoteRef/>
      </w:r>
      <w:r w:rsidR="00B32C9D" w:rsidRPr="00B32C9D">
        <w:rPr>
          <w:sz w:val="24"/>
          <w:lang w:val="da-DK"/>
        </w:rPr>
        <w:t xml:space="preserve"> </w:t>
      </w:r>
      <w:r w:rsidR="00B32C9D" w:rsidRPr="00B32C9D">
        <w:rPr>
          <w:sz w:val="24"/>
          <w:lang w:val="da-DK"/>
        </w:rPr>
        <w:tab/>
      </w:r>
      <w:r w:rsidRPr="00B32C9D">
        <w:rPr>
          <w:sz w:val="24"/>
          <w:lang w:val="da-DK"/>
        </w:rPr>
        <w:t>Rådets direktiv 2001/55/EF af 20. juli 2001 om minimumsstandarder for midlertidig beskyttelse i tilfælde af massetilstrømning af fordrevne personer og om foranstaltninger, der skal fremme en ligelig fordeling mellem medlemsstaterne af indsatsen med hensyn til modtagelsen af disse personer og følgerne heraf (EFT L 212 af 7.8.2001, s. 12).</w:t>
      </w:r>
    </w:p>
  </w:footnote>
  <w:footnote w:id="49">
    <w:p w14:paraId="19621C6D" w14:textId="77777777" w:rsidR="00147154" w:rsidRPr="00AE178D" w:rsidRDefault="00147154" w:rsidP="00B32C9D">
      <w:pPr>
        <w:pStyle w:val="FootnoteText"/>
        <w:ind w:left="567" w:hanging="567"/>
        <w:rPr>
          <w:sz w:val="24"/>
          <w:lang w:val="en-GB"/>
        </w:rPr>
      </w:pPr>
      <w:r w:rsidRPr="00B32C9D">
        <w:rPr>
          <w:rStyle w:val="FootnoteReference"/>
          <w:sz w:val="24"/>
          <w:lang w:val="da-DK"/>
        </w:rPr>
        <w:footnoteRef/>
      </w:r>
      <w:r w:rsidR="00B32C9D" w:rsidRPr="00AE178D">
        <w:rPr>
          <w:sz w:val="24"/>
          <w:lang w:val="en-GB"/>
        </w:rPr>
        <w:t xml:space="preserve"> </w:t>
      </w:r>
      <w:r w:rsidR="00B32C9D" w:rsidRPr="00AE178D">
        <w:rPr>
          <w:sz w:val="24"/>
          <w:lang w:val="en-GB"/>
        </w:rPr>
        <w:tab/>
      </w:r>
      <w:r w:rsidRPr="00AE178D">
        <w:rPr>
          <w:sz w:val="24"/>
          <w:lang w:val="en-GB"/>
        </w:rPr>
        <w:t>Europarådet, "</w:t>
      </w:r>
      <w:hyperlink r:id="rId6" w:history="1">
        <w:r w:rsidRPr="00AE178D">
          <w:rPr>
            <w:rStyle w:val="Hyperlink"/>
            <w:sz w:val="24"/>
            <w:lang w:val="en-GB"/>
          </w:rPr>
          <w:t>Recommendation CM/Rec(2022)17 of the Committee of Ministers to member States on protecting the rights of migrant, refugee and asylum-seeking women and girls</w:t>
        </w:r>
      </w:hyperlink>
      <w:r w:rsidRPr="00AE178D">
        <w:rPr>
          <w:sz w:val="24"/>
          <w:lang w:val="en-GB"/>
        </w:rPr>
        <w:t>", 20. maj 2022.</w:t>
      </w:r>
    </w:p>
  </w:footnote>
  <w:footnote w:id="50">
    <w:p w14:paraId="63E9378B" w14:textId="77777777" w:rsidR="00147154" w:rsidRPr="00B32C9D" w:rsidRDefault="00147154" w:rsidP="00B32C9D">
      <w:pPr>
        <w:pStyle w:val="FootnoteText"/>
        <w:ind w:left="567" w:hanging="567"/>
        <w:rPr>
          <w:sz w:val="24"/>
          <w:lang w:val="da-DK"/>
        </w:rPr>
      </w:pPr>
      <w:r w:rsidRPr="00B32C9D">
        <w:rPr>
          <w:rStyle w:val="FootnoteReference"/>
          <w:sz w:val="24"/>
          <w:lang w:val="da-DK"/>
        </w:rPr>
        <w:footnoteRef/>
      </w:r>
      <w:r w:rsidR="00B32C9D" w:rsidRPr="00B32C9D">
        <w:rPr>
          <w:sz w:val="24"/>
          <w:lang w:val="da-DK"/>
        </w:rPr>
        <w:t xml:space="preserve"> </w:t>
      </w:r>
      <w:r w:rsidR="00B32C9D" w:rsidRPr="00B32C9D">
        <w:rPr>
          <w:sz w:val="24"/>
          <w:lang w:val="da-DK"/>
        </w:rPr>
        <w:tab/>
      </w:r>
      <w:r w:rsidRPr="00B32C9D">
        <w:rPr>
          <w:sz w:val="24"/>
          <w:lang w:val="da-DK"/>
        </w:rPr>
        <w:t>Rådets henstilling af 30. januar 2023 om en tilstrækkelig mindsteindkomst, som sikrer aktiv inklusion (EUT C 41 af 3.2.2023, s.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0F8CB3" w14:textId="77777777" w:rsidR="00064002" w:rsidRPr="00B32C9D"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2452B3" w14:textId="77777777" w:rsidR="00064002" w:rsidRPr="00B32C9D"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A737B5" w14:textId="77777777" w:rsidR="00064002" w:rsidRPr="00B32C9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76/2023"/>
    <w:docVar w:name="dvlangue" w:val="DA"/>
    <w:docVar w:name="dvnumam" w:val="0"/>
    <w:docVar w:name="dvpe" w:val="749.923"/>
    <w:docVar w:name="dvrapporteur" w:val="Ordfører: "/>
    <w:docVar w:name="dvtitre" w:val="Europa-Parlamentets beslutning af xx.xx 2024 om situationen vedrørende grundlæggende rettigheder i Den Europæiske Union – årsberetning 2022 og 2023(2023/2028(INI))"/>
  </w:docVars>
  <w:rsids>
    <w:rsidRoot w:val="000575A0"/>
    <w:rsid w:val="00002272"/>
    <w:rsid w:val="000575A0"/>
    <w:rsid w:val="00064002"/>
    <w:rsid w:val="000677B9"/>
    <w:rsid w:val="000831BA"/>
    <w:rsid w:val="000A42CC"/>
    <w:rsid w:val="000E7DD9"/>
    <w:rsid w:val="0010095E"/>
    <w:rsid w:val="00125B37"/>
    <w:rsid w:val="00147154"/>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E7993"/>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35875"/>
    <w:rsid w:val="00A43E52"/>
    <w:rsid w:val="00A4678D"/>
    <w:rsid w:val="00A778C7"/>
    <w:rsid w:val="00AB441E"/>
    <w:rsid w:val="00AB6293"/>
    <w:rsid w:val="00AE0928"/>
    <w:rsid w:val="00AE178D"/>
    <w:rsid w:val="00AF3B82"/>
    <w:rsid w:val="00B12E95"/>
    <w:rsid w:val="00B22876"/>
    <w:rsid w:val="00B32C9D"/>
    <w:rsid w:val="00B558F0"/>
    <w:rsid w:val="00B77988"/>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EF3DF7"/>
    <w:rsid w:val="00F04346"/>
    <w:rsid w:val="00F075DC"/>
    <w:rsid w:val="00F149E9"/>
    <w:rsid w:val="00F3366E"/>
    <w:rsid w:val="00F4181B"/>
    <w:rsid w:val="00F5134D"/>
    <w:rsid w:val="00F74202"/>
    <w:rsid w:val="00F87713"/>
    <w:rsid w:val="00FB4360"/>
    <w:rsid w:val="00FD0C70"/>
    <w:rsid w:val="00FE1DD8"/>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AB173AB"/>
  <w15:chartTrackingRefBased/>
  <w15:docId w15:val="{622A3417-F85A-4DC5-BCE5-645217BE9F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147154"/>
    <w:pPr>
      <w:spacing w:after="240"/>
      <w:ind w:left="567" w:hanging="567"/>
    </w:pPr>
  </w:style>
  <w:style w:type="paragraph" w:customStyle="1" w:styleId="EPComma">
    <w:name w:val="EPComma"/>
    <w:basedOn w:val="Normal"/>
    <w:rsid w:val="00147154"/>
    <w:pPr>
      <w:spacing w:before="480" w:after="240"/>
    </w:pPr>
  </w:style>
  <w:style w:type="character" w:styleId="Hyperlink">
    <w:name w:val="Hyperlink"/>
    <w:basedOn w:val="DefaultParagraphFont"/>
    <w:uiPriority w:val="99"/>
    <w:unhideWhenUsed/>
    <w:rsid w:val="00147154"/>
    <w:rPr>
      <w:color w:val="0563C1" w:themeColor="hyperlink"/>
      <w:u w:val="single"/>
    </w:rPr>
  </w:style>
  <w:style w:type="paragraph" w:customStyle="1" w:styleId="Normal12a24b">
    <w:name w:val="Normal12a24b"/>
    <w:basedOn w:val="Normal"/>
    <w:rsid w:val="00147154"/>
    <w:pPr>
      <w:snapToGrid w:val="0"/>
      <w:spacing w:before="360" w:after="240"/>
    </w:pPr>
    <w:rPr>
      <w:lang w:eastAsia="en-US"/>
    </w:rPr>
  </w:style>
  <w:style w:type="character" w:customStyle="1" w:styleId="Bold">
    <w:name w:val="Bold"/>
    <w:uiPriority w:val="1"/>
    <w:rsid w:val="00147154"/>
    <w:rPr>
      <w:b/>
      <w:bCs w:val="0"/>
    </w:rPr>
  </w:style>
  <w:style w:type="character" w:customStyle="1" w:styleId="Italic">
    <w:name w:val="Italic"/>
    <w:uiPriority w:val="1"/>
    <w:rsid w:val="00147154"/>
    <w:rPr>
      <w:i/>
      <w:iCs w:val="0"/>
    </w:rPr>
  </w:style>
  <w:style w:type="character" w:customStyle="1" w:styleId="NormalHanging12aChar">
    <w:name w:val="NormalHanging12a Char"/>
    <w:basedOn w:val="DefaultParagraphFont"/>
    <w:link w:val="NormalHanging12a"/>
    <w:rsid w:val="00147154"/>
    <w:rPr>
      <w:sz w:val="24"/>
      <w:lang w:val="da-DK"/>
    </w:rPr>
  </w:style>
  <w:style w:type="paragraph" w:styleId="BalloonText">
    <w:name w:val="Balloon Text"/>
    <w:basedOn w:val="Normal"/>
    <w:link w:val="BalloonTextChar"/>
    <w:rsid w:val="00F3366E"/>
    <w:rPr>
      <w:rFonts w:ascii="Segoe UI" w:hAnsi="Segoe UI" w:cs="Segoe UI"/>
      <w:sz w:val="18"/>
      <w:szCs w:val="18"/>
    </w:rPr>
  </w:style>
  <w:style w:type="character" w:customStyle="1" w:styleId="BalloonTextChar">
    <w:name w:val="Balloon Text Char"/>
    <w:basedOn w:val="DefaultParagraphFont"/>
    <w:link w:val="BalloonText"/>
    <w:rsid w:val="00F3366E"/>
    <w:rPr>
      <w:rFonts w:ascii="Segoe UI" w:hAnsi="Segoe UI" w:cs="Segoe UI"/>
      <w:sz w:val="18"/>
      <w:szCs w:val="18"/>
      <w:lang w:val="da-DK"/>
    </w:rPr>
  </w:style>
  <w:style w:type="character" w:styleId="CommentReference">
    <w:name w:val="annotation reference"/>
    <w:basedOn w:val="DefaultParagraphFont"/>
    <w:rsid w:val="00FE1DD8"/>
    <w:rPr>
      <w:sz w:val="16"/>
      <w:szCs w:val="16"/>
    </w:rPr>
  </w:style>
  <w:style w:type="paragraph" w:styleId="CommentText">
    <w:name w:val="annotation text"/>
    <w:basedOn w:val="Normal"/>
    <w:link w:val="CommentTextChar"/>
    <w:rsid w:val="00FE1DD8"/>
    <w:rPr>
      <w:sz w:val="20"/>
    </w:rPr>
  </w:style>
  <w:style w:type="character" w:customStyle="1" w:styleId="CommentTextChar">
    <w:name w:val="Comment Text Char"/>
    <w:basedOn w:val="DefaultParagraphFont"/>
    <w:link w:val="CommentText"/>
    <w:rsid w:val="00FE1DD8"/>
    <w:rPr>
      <w:lang w:val="da-DK"/>
    </w:rPr>
  </w:style>
  <w:style w:type="paragraph" w:styleId="CommentSubject">
    <w:name w:val="annotation subject"/>
    <w:basedOn w:val="CommentText"/>
    <w:next w:val="CommentText"/>
    <w:link w:val="CommentSubjectChar"/>
    <w:rsid w:val="00FE1DD8"/>
    <w:rPr>
      <w:b/>
      <w:bCs/>
    </w:rPr>
  </w:style>
  <w:style w:type="character" w:customStyle="1" w:styleId="CommentSubjectChar">
    <w:name w:val="Comment Subject Char"/>
    <w:basedOn w:val="CommentTextChar"/>
    <w:link w:val="CommentSubject"/>
    <w:rsid w:val="00FE1DD8"/>
    <w:rPr>
      <w:b/>
      <w:bCs/>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rm.coe.int/report-on-the-round-table-human-rights-defenders-in-the-council-of-eur/1680aaa813." TargetMode="External"/><Relationship Id="rId2" Type="http://schemas.openxmlformats.org/officeDocument/2006/relationships/hyperlink" Target="file:///\\ipolbrusncf01\userdocs$\Jnwokekilly\Documents\DocEP\TEMP\" TargetMode="External"/><Relationship Id="rId1" Type="http://schemas.openxmlformats.org/officeDocument/2006/relationships/hyperlink" Target="file:///\\ipolbrusncf01\userdocs$\Jnwokekilly\Documents\DocEP\TEMP\" TargetMode="External"/><Relationship Id="rId6" Type="http://schemas.openxmlformats.org/officeDocument/2006/relationships/hyperlink" Target="https://search.coe.int/cm/Pages/result_details.aspx?ObjectId=0900001680a69407" TargetMode="External"/><Relationship Id="rId5" Type="http://schemas.openxmlformats.org/officeDocument/2006/relationships/hyperlink" Target="https://www.ombudsman.europa.eu/en/recommendation/da/151678" TargetMode="External"/><Relationship Id="rId4" Type="http://schemas.openxmlformats.org/officeDocument/2006/relationships/hyperlink" Target="file:///\\ipolbrusncf01\userdocs$\Jnwokekilly\Documents\DocEP\TEM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B6912F-141C-48EF-9602-DBEACE222D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Pages>
  <Words>8793</Words>
  <Characters>55321</Characters>
  <Application>Microsoft Office Word</Application>
  <DocSecurity>0</DocSecurity>
  <Lines>461</Lines>
  <Paragraphs>127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63987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BENDIXEN Majbritt</cp:lastModifiedBy>
  <cp:revision>2</cp:revision>
  <cp:lastPrinted>2004-11-19T15:42:00Z</cp:lastPrinted>
  <dcterms:created xsi:type="dcterms:W3CDTF">2024-01-18T13:26:00Z</dcterms:created>
  <dcterms:modified xsi:type="dcterms:W3CDTF">2024-01-18T13:26:00Z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A9-0376/2023</vt:lpwstr>
  </property>
  <property fmtid="{D5CDD505-2E9C-101B-9397-08002B2CF9AE}" pid="4" name="&lt;Type&gt;">
    <vt:lpwstr>RR</vt:lpwstr>
  </property>
</Properties>
</file>