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1B8" w14:paraId="400E675C" w14:textId="77777777" w:rsidTr="0010095E">
        <w:trPr>
          <w:trHeight w:hRule="exact" w:val="1418"/>
        </w:trPr>
        <w:tc>
          <w:tcPr>
            <w:tcW w:w="6804" w:type="dxa"/>
            <w:shd w:val="clear" w:color="auto" w:fill="auto"/>
            <w:vAlign w:val="center"/>
          </w:tcPr>
          <w:p w14:paraId="49723448" w14:textId="77777777" w:rsidR="00751A4A" w:rsidRPr="00A751B8" w:rsidRDefault="007D476E" w:rsidP="0010095E">
            <w:pPr>
              <w:pStyle w:val="EPName"/>
            </w:pPr>
            <w:r w:rsidRPr="00A751B8">
              <w:t>Parlamento Europeo</w:t>
            </w:r>
          </w:p>
          <w:p w14:paraId="3D4C8EAA" w14:textId="77777777" w:rsidR="00751A4A" w:rsidRPr="00A751B8" w:rsidRDefault="00817416" w:rsidP="00756632">
            <w:pPr>
              <w:pStyle w:val="EPTerm"/>
              <w:rPr>
                <w:rStyle w:val="HideTWBExt"/>
                <w:noProof w:val="0"/>
                <w:vanish w:val="0"/>
                <w:color w:val="auto"/>
              </w:rPr>
            </w:pPr>
            <w:r w:rsidRPr="00A751B8">
              <w:t>2019-2024</w:t>
            </w:r>
          </w:p>
        </w:tc>
        <w:tc>
          <w:tcPr>
            <w:tcW w:w="2268" w:type="dxa"/>
            <w:shd w:val="clear" w:color="auto" w:fill="auto"/>
          </w:tcPr>
          <w:p w14:paraId="3D09E7CD" w14:textId="77777777" w:rsidR="00751A4A" w:rsidRPr="00A751B8" w:rsidRDefault="00187494" w:rsidP="0010095E">
            <w:pPr>
              <w:pStyle w:val="EPLogo"/>
            </w:pPr>
            <w:r w:rsidRPr="00A751B8">
              <w:rPr>
                <w:noProof/>
                <w:lang w:val="en-GB"/>
              </w:rPr>
              <w:drawing>
                <wp:inline distT="0" distB="0" distL="0" distR="0" wp14:anchorId="26F6EA3A" wp14:editId="698476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9FFDA1" w14:textId="77777777" w:rsidR="00D058B8" w:rsidRPr="00A751B8" w:rsidRDefault="00D058B8" w:rsidP="004C5D52">
      <w:pPr>
        <w:pStyle w:val="LineTop"/>
      </w:pPr>
    </w:p>
    <w:p w14:paraId="2BD1CEB9" w14:textId="77777777" w:rsidR="00680577" w:rsidRPr="00A751B8" w:rsidRDefault="007D476E" w:rsidP="00680577">
      <w:pPr>
        <w:pStyle w:val="EPBodyTA1"/>
      </w:pPr>
      <w:r w:rsidRPr="00A751B8">
        <w:t>TEXTOS APROBADOS</w:t>
      </w:r>
    </w:p>
    <w:p w14:paraId="2AF462C1" w14:textId="77777777" w:rsidR="00D058B8" w:rsidRPr="00A751B8" w:rsidRDefault="00D058B8" w:rsidP="00D058B8">
      <w:pPr>
        <w:pStyle w:val="LineBottom"/>
      </w:pPr>
    </w:p>
    <w:p w14:paraId="7C7D4DE4" w14:textId="545FF5EF" w:rsidR="007D476E" w:rsidRPr="00A751B8" w:rsidRDefault="007D476E" w:rsidP="007D476E">
      <w:pPr>
        <w:pStyle w:val="ATHeading1"/>
      </w:pPr>
      <w:bookmarkStart w:id="0" w:name="TANumber"/>
      <w:r w:rsidRPr="00A751B8">
        <w:t>P9_TA(2024)</w:t>
      </w:r>
      <w:bookmarkEnd w:id="0"/>
      <w:r w:rsidR="004D414C" w:rsidRPr="00A751B8">
        <w:t>00</w:t>
      </w:r>
      <w:r w:rsidR="004D414C">
        <w:t>50</w:t>
      </w:r>
    </w:p>
    <w:p w14:paraId="6E22247A" w14:textId="77777777" w:rsidR="007D476E" w:rsidRPr="00A751B8" w:rsidRDefault="007D476E" w:rsidP="007D476E">
      <w:pPr>
        <w:pStyle w:val="ATHeading2"/>
      </w:pPr>
      <w:bookmarkStart w:id="1" w:name="title"/>
      <w:r w:rsidRPr="00A751B8">
        <w:t>Situación de los derechos fundamentales en la Unión Europea en 2022 y 2023</w:t>
      </w:r>
      <w:bookmarkEnd w:id="1"/>
    </w:p>
    <w:p w14:paraId="2EDE57E1" w14:textId="77777777" w:rsidR="007D476E" w:rsidRPr="00A751B8" w:rsidRDefault="007D476E" w:rsidP="007D476E">
      <w:pPr>
        <w:rPr>
          <w:i/>
          <w:vanish/>
        </w:rPr>
      </w:pPr>
      <w:r w:rsidRPr="00A751B8">
        <w:rPr>
          <w:i/>
        </w:rPr>
        <w:fldChar w:fldCharType="begin"/>
      </w:r>
      <w:r w:rsidRPr="00A751B8">
        <w:rPr>
          <w:i/>
        </w:rPr>
        <w:instrText xml:space="preserve"> TC"(</w:instrText>
      </w:r>
      <w:bookmarkStart w:id="2" w:name="DocNumber"/>
      <w:r w:rsidRPr="00A751B8">
        <w:rPr>
          <w:i/>
        </w:rPr>
        <w:instrText>A9-0376/2023</w:instrText>
      </w:r>
      <w:bookmarkEnd w:id="2"/>
      <w:r w:rsidRPr="00A751B8">
        <w:rPr>
          <w:i/>
        </w:rPr>
        <w:instrText xml:space="preserve"> - Ponente: Katarina Barley)"\l3 \n&gt; \* MERGEFORMAT </w:instrText>
      </w:r>
      <w:r w:rsidRPr="00A751B8">
        <w:rPr>
          <w:i/>
        </w:rPr>
        <w:fldChar w:fldCharType="end"/>
      </w:r>
    </w:p>
    <w:p w14:paraId="22DE1A72" w14:textId="77777777" w:rsidR="007D476E" w:rsidRPr="00A751B8" w:rsidRDefault="007D476E" w:rsidP="007D476E">
      <w:pPr>
        <w:rPr>
          <w:vanish/>
        </w:rPr>
      </w:pPr>
      <w:bookmarkStart w:id="3" w:name="Commission"/>
      <w:r w:rsidRPr="00A751B8">
        <w:rPr>
          <w:vanish/>
        </w:rPr>
        <w:t>Comisión de Libertades Civiles, Justicia y Asuntos de Interior</w:t>
      </w:r>
      <w:bookmarkEnd w:id="3"/>
    </w:p>
    <w:p w14:paraId="3DA95ABC" w14:textId="77777777" w:rsidR="007D476E" w:rsidRPr="00A751B8" w:rsidRDefault="007D476E" w:rsidP="007D476E">
      <w:pPr>
        <w:rPr>
          <w:vanish/>
        </w:rPr>
      </w:pPr>
      <w:bookmarkStart w:id="4" w:name="PE"/>
      <w:r w:rsidRPr="00A751B8">
        <w:rPr>
          <w:vanish/>
        </w:rPr>
        <w:t>PE749.923</w:t>
      </w:r>
      <w:bookmarkEnd w:id="4"/>
    </w:p>
    <w:p w14:paraId="250AB78A" w14:textId="77777777" w:rsidR="007D476E" w:rsidRPr="00A751B8" w:rsidRDefault="007D476E" w:rsidP="007D476E">
      <w:pPr>
        <w:pStyle w:val="ATHeading3"/>
      </w:pPr>
      <w:bookmarkStart w:id="5" w:name="Sujet"/>
      <w:r w:rsidRPr="00A751B8">
        <w:t xml:space="preserve">Resolución del Parlamento Europeo, de </w:t>
      </w:r>
      <w:r w:rsidR="00A751B8" w:rsidRPr="00A751B8">
        <w:t xml:space="preserve">18 </w:t>
      </w:r>
      <w:r w:rsidRPr="00A751B8">
        <w:t>de enero de 2024, sobre la situación de los derechos fundamentales en la Unión Europea: informe anual 2022 y 2023</w:t>
      </w:r>
      <w:bookmarkEnd w:id="5"/>
      <w:r w:rsidRPr="00A751B8">
        <w:t xml:space="preserve"> </w:t>
      </w:r>
      <w:bookmarkStart w:id="6" w:name="References"/>
      <w:r w:rsidRPr="00A751B8">
        <w:t>(2023/2028(INI))</w:t>
      </w:r>
      <w:bookmarkEnd w:id="6"/>
    </w:p>
    <w:p w14:paraId="272FE96C" w14:textId="77777777" w:rsidR="007D476E" w:rsidRPr="00A751B8" w:rsidRDefault="007D476E" w:rsidP="007D476E"/>
    <w:p w14:paraId="741AA83A" w14:textId="77777777" w:rsidR="00697A02" w:rsidRPr="00A751B8" w:rsidRDefault="00697A02" w:rsidP="007408E7">
      <w:pPr>
        <w:pStyle w:val="EPComma"/>
        <w:spacing w:before="120"/>
      </w:pPr>
      <w:bookmarkStart w:id="7" w:name="TextBodyBegin"/>
      <w:bookmarkEnd w:id="7"/>
      <w:r w:rsidRPr="00A751B8">
        <w:rPr>
          <w:rStyle w:val="Italic"/>
        </w:rPr>
        <w:t>El Parlamento Europeo</w:t>
      </w:r>
      <w:r w:rsidRPr="00A751B8">
        <w:t>,</w:t>
      </w:r>
    </w:p>
    <w:p w14:paraId="3DB4AAA9" w14:textId="77777777" w:rsidR="00697A02" w:rsidRPr="00A751B8" w:rsidRDefault="00697A02" w:rsidP="007408E7">
      <w:pPr>
        <w:pStyle w:val="NormalHanging12a"/>
      </w:pPr>
      <w:r w:rsidRPr="00A751B8">
        <w:t>–</w:t>
      </w:r>
      <w:r w:rsidRPr="00A751B8">
        <w:tab/>
        <w:t>Vistos el Tratado de la Unión Europea (TUE) y el Tratado de Funcionamiento de la Unión Europea (TFUE),</w:t>
      </w:r>
    </w:p>
    <w:p w14:paraId="5703FD52" w14:textId="77777777" w:rsidR="00697A02" w:rsidRPr="00A751B8" w:rsidRDefault="00697A02" w:rsidP="007408E7">
      <w:pPr>
        <w:pStyle w:val="NormalHanging12a"/>
      </w:pPr>
      <w:r w:rsidRPr="00A751B8">
        <w:t>–</w:t>
      </w:r>
      <w:r w:rsidRPr="00A751B8">
        <w:tab/>
        <w:t>Vista la Carta de los Derechos Fundamentales de la Unión Europea (en lo sucesivo, «Carta»),</w:t>
      </w:r>
    </w:p>
    <w:p w14:paraId="4F1A0A28" w14:textId="77777777" w:rsidR="00697A02" w:rsidRPr="00A751B8" w:rsidRDefault="00697A02" w:rsidP="007408E7">
      <w:pPr>
        <w:pStyle w:val="NormalHanging12a"/>
      </w:pPr>
      <w:r w:rsidRPr="00A751B8">
        <w:t>–</w:t>
      </w:r>
      <w:r w:rsidRPr="00A751B8">
        <w:tab/>
        <w:t>Vista la jurisprudencia del Tribunal de Justicia de la Unión Europea</w:t>
      </w:r>
      <w:r w:rsidRPr="00A751B8">
        <w:rPr>
          <w:rStyle w:val="FootnoteReference"/>
        </w:rPr>
        <w:footnoteReference w:id="1"/>
      </w:r>
      <w:r w:rsidRPr="00A751B8">
        <w:t>,</w:t>
      </w:r>
    </w:p>
    <w:p w14:paraId="3504726E" w14:textId="77777777" w:rsidR="00697A02" w:rsidRPr="00A751B8" w:rsidRDefault="00697A02" w:rsidP="007408E7">
      <w:pPr>
        <w:pStyle w:val="NormalHanging12a"/>
      </w:pPr>
      <w:r w:rsidRPr="00A751B8">
        <w:t>–</w:t>
      </w:r>
      <w:r w:rsidRPr="00A751B8">
        <w:tab/>
        <w:t>Visto el Reglamento (UE, Euratom) 2020/2092 del Parlamento Europeo y del Consejo, de 16 de diciembre de 2020, sobre un régimen general de condicionalidad para la protección del presupuesto de la Unión</w:t>
      </w:r>
      <w:r w:rsidRPr="00A751B8">
        <w:rPr>
          <w:rStyle w:val="FootnoteReference"/>
        </w:rPr>
        <w:footnoteReference w:id="2"/>
      </w:r>
      <w:r w:rsidRPr="00A751B8">
        <w:t xml:space="preserve"> (Reglamento relativo a la condicionalidad del Estado de Derecho),</w:t>
      </w:r>
    </w:p>
    <w:p w14:paraId="06A6ADE5" w14:textId="77777777" w:rsidR="00697A02" w:rsidRPr="00A751B8" w:rsidRDefault="00697A02" w:rsidP="007408E7">
      <w:pPr>
        <w:pStyle w:val="NormalHanging12a"/>
      </w:pPr>
      <w:r w:rsidRPr="00A751B8">
        <w:t>–</w:t>
      </w:r>
      <w:r w:rsidRPr="00A751B8">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A751B8">
        <w:rPr>
          <w:rStyle w:val="FootnoteReference"/>
        </w:rPr>
        <w:footnoteReference w:id="3"/>
      </w:r>
      <w:r w:rsidRPr="00A751B8">
        <w:t>,</w:t>
      </w:r>
    </w:p>
    <w:p w14:paraId="4369EC0E" w14:textId="77777777" w:rsidR="00697A02" w:rsidRPr="00A751B8" w:rsidRDefault="00697A02" w:rsidP="007408E7">
      <w:pPr>
        <w:pStyle w:val="NormalHanging12a"/>
      </w:pPr>
      <w:r w:rsidRPr="00A751B8">
        <w:t>–</w:t>
      </w:r>
      <w:r w:rsidRPr="00A751B8">
        <w:tab/>
        <w:t>Visto el Reglamento (UE) 2017/1939 del Consejo, de 12 de octubre de 2017, por el que se establece una cooperación reforzada para la creación de la Fiscalía Europea</w:t>
      </w:r>
      <w:r w:rsidRPr="00A751B8">
        <w:rPr>
          <w:rStyle w:val="FootnoteReference"/>
        </w:rPr>
        <w:footnoteReference w:id="4"/>
      </w:r>
      <w:r w:rsidRPr="00A751B8">
        <w:t>,</w:t>
      </w:r>
    </w:p>
    <w:p w14:paraId="5191A1F6" w14:textId="77777777" w:rsidR="00697A02" w:rsidRPr="00A751B8" w:rsidRDefault="00697A02" w:rsidP="007408E7">
      <w:pPr>
        <w:pStyle w:val="NormalHanging12a"/>
      </w:pPr>
      <w:r w:rsidRPr="00A751B8">
        <w:t>–</w:t>
      </w:r>
      <w:r w:rsidRPr="00A751B8">
        <w:tab/>
        <w:t xml:space="preserve">Visto el Reglamento (UE) 2016/679 del Parlamento Europeo y del Consejo, de 27 de abril de 2016, relativo a la protección de las personas físicas en lo que respecta al </w:t>
      </w:r>
      <w:r w:rsidRPr="00A751B8">
        <w:lastRenderedPageBreak/>
        <w:t>tratamiento de datos personales y a la libre circulación de estos datos y por el que se deroga la Directiva 95/46/CE (Reglamento general de protección de datos)</w:t>
      </w:r>
      <w:r w:rsidRPr="00A751B8">
        <w:rPr>
          <w:rStyle w:val="FootnoteReference"/>
        </w:rPr>
        <w:footnoteReference w:id="5"/>
      </w:r>
      <w:r w:rsidRPr="00A751B8">
        <w:t>,</w:t>
      </w:r>
    </w:p>
    <w:p w14:paraId="5AFF4224" w14:textId="77777777" w:rsidR="00697A02" w:rsidRPr="00A751B8" w:rsidRDefault="00697A02" w:rsidP="007408E7">
      <w:pPr>
        <w:pStyle w:val="NormalHanging12a"/>
      </w:pPr>
      <w:r w:rsidRPr="00A751B8">
        <w:t>–</w:t>
      </w:r>
      <w:r w:rsidRPr="00A751B8">
        <w:tab/>
        <w:t>Vista la Directiva (UE) 2017/1371 del Parlamento Europeo y del Consejo, de 5 de julio de 2017, sobre la lucha contra el fraude que afecta a los intereses financieros de la Unión a través del Derecho penal</w:t>
      </w:r>
      <w:r w:rsidRPr="00A751B8">
        <w:rPr>
          <w:rStyle w:val="FootnoteReference"/>
        </w:rPr>
        <w:footnoteReference w:id="6"/>
      </w:r>
      <w:r w:rsidRPr="00A751B8">
        <w:t>,</w:t>
      </w:r>
    </w:p>
    <w:p w14:paraId="0D994EE0" w14:textId="77777777" w:rsidR="00697A02" w:rsidRPr="00A751B8" w:rsidRDefault="00697A02" w:rsidP="007408E7">
      <w:pPr>
        <w:pStyle w:val="NormalHanging12a"/>
      </w:pPr>
      <w:r w:rsidRPr="00A751B8">
        <w:t>–</w:t>
      </w:r>
      <w:r w:rsidRPr="00A751B8">
        <w:tab/>
        <w:t>Vista la Decisión Marco 2008/913/JAI del Consejo, de 28 de noviembre de 2008, relativa a la lucha contra determinadas formas y manifestaciones de racismo y xenofobia mediante el Derecho penal</w:t>
      </w:r>
      <w:r w:rsidRPr="00A751B8">
        <w:rPr>
          <w:rStyle w:val="FootnoteReference"/>
        </w:rPr>
        <w:footnoteReference w:id="7"/>
      </w:r>
      <w:r w:rsidRPr="00A751B8">
        <w:t xml:space="preserve">, </w:t>
      </w:r>
    </w:p>
    <w:p w14:paraId="4D739B26" w14:textId="77777777" w:rsidR="00697A02" w:rsidRPr="00A751B8" w:rsidRDefault="00697A02" w:rsidP="007408E7">
      <w:pPr>
        <w:pStyle w:val="NormalHanging12a"/>
        <w:rPr>
          <w:szCs w:val="24"/>
        </w:rPr>
      </w:pPr>
      <w:r w:rsidRPr="00A751B8">
        <w:t>–</w:t>
      </w:r>
      <w:r w:rsidRPr="00A751B8">
        <w:tab/>
        <w:t>Vista la Directiva 2000/43/CE del Consejo, de 29 de junio de 2000, relativa a la aplicación del principio de igualdad de trato delas personas independientemente de su origen racial o étnico</w:t>
      </w:r>
      <w:r w:rsidRPr="00A751B8">
        <w:rPr>
          <w:rStyle w:val="FootnoteReference"/>
        </w:rPr>
        <w:footnoteReference w:id="8"/>
      </w:r>
      <w:r w:rsidRPr="00A751B8">
        <w:t xml:space="preserve"> y los procedimientos de infracción en curso incoados por la Comisión sobre la base de esta Directiva contra varios Estados miembros, de los cuales la Comisión ha remitido uno al Tribunal de Justicia,</w:t>
      </w:r>
    </w:p>
    <w:p w14:paraId="6713EE59" w14:textId="77777777" w:rsidR="00697A02" w:rsidRPr="00A751B8" w:rsidRDefault="00697A02" w:rsidP="007408E7">
      <w:pPr>
        <w:pStyle w:val="NormalHanging12a"/>
        <w:rPr>
          <w:szCs w:val="24"/>
        </w:rPr>
      </w:pPr>
      <w:r w:rsidRPr="00A751B8">
        <w:t>–</w:t>
      </w:r>
      <w:r w:rsidRPr="00A751B8">
        <w:tab/>
        <w:t>Vista la Recomendación del Consejo, de 12 de marzo de 2021, sobre la igualdad, la inclusión y la participación de la población gitana (2021/C 93/01)</w:t>
      </w:r>
      <w:r w:rsidRPr="00A751B8">
        <w:rPr>
          <w:rStyle w:val="FootnoteReference"/>
        </w:rPr>
        <w:footnoteReference w:id="9"/>
      </w:r>
      <w:r w:rsidRPr="00A751B8">
        <w:t xml:space="preserve">, </w:t>
      </w:r>
    </w:p>
    <w:p w14:paraId="02ABBB9B" w14:textId="77777777" w:rsidR="00697A02" w:rsidRPr="00A751B8" w:rsidRDefault="00697A02" w:rsidP="007408E7">
      <w:pPr>
        <w:pStyle w:val="NormalHanging12a"/>
        <w:rPr>
          <w:szCs w:val="24"/>
        </w:rPr>
      </w:pPr>
      <w:r w:rsidRPr="00A751B8">
        <w:t>–</w:t>
      </w:r>
      <w:r w:rsidRPr="00A751B8">
        <w:tab/>
        <w:t>Vista la Comunicación de la Comisión de 9 de enero de 2023 relativa al informe sobre la evaluación de los marcos estratégicos nacionales de los Estados miembros para la inclusión de los gitanos (COM(2023)</w:t>
      </w:r>
      <w:r w:rsidR="007408E7" w:rsidRPr="00A751B8">
        <w:t>0</w:t>
      </w:r>
      <w:r w:rsidRPr="00A751B8">
        <w:t>007),</w:t>
      </w:r>
    </w:p>
    <w:p w14:paraId="1148D2AC" w14:textId="77777777" w:rsidR="00697A02" w:rsidRPr="00A751B8" w:rsidRDefault="00697A02" w:rsidP="00F04ABD">
      <w:pPr>
        <w:pStyle w:val="NormalHanging12a"/>
      </w:pPr>
      <w:r w:rsidRPr="00A751B8">
        <w:t>–</w:t>
      </w:r>
      <w:r w:rsidRPr="00A751B8">
        <w:tab/>
        <w:t>Vista la Recomendación (UE) 2021/1534 de la Comisión, de 16 de septiembre de 2021, sobre la garantía de la protección, la seguridad y el empoderamiento de los periodistas y los otros profesionales de los medios de comunicación en la Unión Europea</w:t>
      </w:r>
      <w:r w:rsidRPr="00A751B8">
        <w:rPr>
          <w:rStyle w:val="FootnoteReference"/>
        </w:rPr>
        <w:footnoteReference w:id="10"/>
      </w:r>
      <w:r w:rsidRPr="00A751B8">
        <w:t>,</w:t>
      </w:r>
    </w:p>
    <w:p w14:paraId="31C6CE27" w14:textId="77777777" w:rsidR="00697A02" w:rsidRPr="00A751B8" w:rsidRDefault="00697A02">
      <w:pPr>
        <w:pStyle w:val="NormalHanging12a"/>
      </w:pPr>
      <w:r w:rsidRPr="00A751B8">
        <w:t>–</w:t>
      </w:r>
      <w:r w:rsidRPr="00A751B8">
        <w:tab/>
        <w:t>Vista la Comunicación de la Comisión de 9 de diciembre de 2021 titulada «Una Europa más inclusiva y protectora: ampliación de la lista de delitos de la UE a la incitación al odio y a los delitos de odio» (COM(2021)0777),</w:t>
      </w:r>
    </w:p>
    <w:p w14:paraId="32DF8B74" w14:textId="77777777" w:rsidR="00697A02" w:rsidRPr="00A751B8" w:rsidRDefault="00697A02">
      <w:pPr>
        <w:pStyle w:val="NormalHanging12a"/>
      </w:pPr>
      <w:r w:rsidRPr="00A751B8">
        <w:t>–</w:t>
      </w:r>
      <w:r w:rsidRPr="00A751B8">
        <w:tab/>
        <w:t>Vista la Comunicación de la Comisión, de 5 de marzo de 2020, titulada «Una Unión de la Igualdad: Estrategia para la Igualdad de Género 2020</w:t>
      </w:r>
      <w:r w:rsidRPr="00A751B8">
        <w:noBreakHyphen/>
        <w:t>2025» (COM(2020)0152),</w:t>
      </w:r>
    </w:p>
    <w:p w14:paraId="44F5C073" w14:textId="77777777" w:rsidR="00697A02" w:rsidRPr="00A751B8" w:rsidRDefault="00697A02">
      <w:pPr>
        <w:pStyle w:val="NormalHanging12a"/>
      </w:pPr>
      <w:r w:rsidRPr="00A751B8">
        <w:t>–</w:t>
      </w:r>
      <w:r w:rsidRPr="00A751B8">
        <w:tab/>
        <w:t>Vista la Comunicación de la Comisión, de 24 de junio de 2020, titulada «Estrategia de la UE sobre los derechos de las víctimas (2020</w:t>
      </w:r>
      <w:r w:rsidRPr="00A751B8">
        <w:noBreakHyphen/>
        <w:t>2025)» (COM(2020)0258),</w:t>
      </w:r>
    </w:p>
    <w:p w14:paraId="22E4D76B" w14:textId="77777777" w:rsidR="00697A02" w:rsidRPr="00A751B8" w:rsidRDefault="00697A02">
      <w:pPr>
        <w:pStyle w:val="NormalHanging12a"/>
      </w:pPr>
      <w:r w:rsidRPr="00A751B8">
        <w:t>–</w:t>
      </w:r>
      <w:r w:rsidRPr="00A751B8">
        <w:tab/>
        <w:t>Vista la Comunicación de la Comisión, de 12 de noviembre de 2020, titulada «Unión de la Igualdad: Estrategia para la Igualdad de las Personas LGBTIQ 2020</w:t>
      </w:r>
      <w:r w:rsidRPr="00A751B8">
        <w:noBreakHyphen/>
        <w:t>2025» (COM(2020)0698),</w:t>
      </w:r>
    </w:p>
    <w:p w14:paraId="4028DCF7" w14:textId="77777777" w:rsidR="00697A02" w:rsidRPr="00A751B8" w:rsidRDefault="00697A02">
      <w:pPr>
        <w:pStyle w:val="NormalHanging12a"/>
      </w:pPr>
      <w:r w:rsidRPr="00A751B8">
        <w:t>–</w:t>
      </w:r>
      <w:r w:rsidRPr="00A751B8">
        <w:tab/>
        <w:t>Vistas las Conclusiones del Consejo de 2 de marzo de 2022 relativas a la lucha contra el racismo y el antisemitismo,</w:t>
      </w:r>
    </w:p>
    <w:p w14:paraId="7AB1D94D" w14:textId="77777777" w:rsidR="00697A02" w:rsidRPr="00A751B8" w:rsidRDefault="00697A02">
      <w:pPr>
        <w:pStyle w:val="NormalHanging12a"/>
      </w:pPr>
      <w:r w:rsidRPr="00A751B8">
        <w:lastRenderedPageBreak/>
        <w:t>–</w:t>
      </w:r>
      <w:r w:rsidRPr="00A751B8">
        <w:tab/>
        <w:t>Vista la Comunicación de la Comisión, de 2 de diciembre de 2020, titulada «Estrategia para reforzar la aplicación de la Carta de los Derechos Fundamentales en la UE» (COM(2020)0711),</w:t>
      </w:r>
    </w:p>
    <w:p w14:paraId="13EA5C8E" w14:textId="77777777" w:rsidR="00697A02" w:rsidRPr="00A751B8" w:rsidRDefault="00697A02">
      <w:pPr>
        <w:pStyle w:val="NormalHanging12a"/>
      </w:pPr>
      <w:r w:rsidRPr="00A751B8">
        <w:t>–</w:t>
      </w:r>
      <w:r w:rsidRPr="00A751B8">
        <w:tab/>
        <w:t>Visto el Informe de la Comisión, de 6 de diciembre de 2022, titulado «Un espacio cívico próspero para la defensa de los derechos fundamentales en la UE — Informe anual de 2022 sobre la aplicación de la Carta de los Derechos Fundamentales de la Unión Europea» (COM(2022)0716),</w:t>
      </w:r>
    </w:p>
    <w:p w14:paraId="20ED778C" w14:textId="77777777" w:rsidR="00697A02" w:rsidRPr="00A751B8" w:rsidRDefault="00697A02">
      <w:pPr>
        <w:pStyle w:val="NormalHanging12a"/>
      </w:pPr>
      <w:r w:rsidRPr="00A751B8">
        <w:t>–</w:t>
      </w:r>
      <w:r w:rsidRPr="00A751B8">
        <w:tab/>
        <w:t>Vista la Recomendación (UE) 2023/681 de la Comisión, de 8 de diciembre de 2022, sobre los derechos procesales de las personas sospechosas o acusadas sometidas a prisión provisional y sobre las condiciones materiales de reclusión</w:t>
      </w:r>
      <w:r w:rsidRPr="00A751B8">
        <w:rPr>
          <w:rStyle w:val="FootnoteReference"/>
        </w:rPr>
        <w:footnoteReference w:id="11"/>
      </w:r>
      <w:r w:rsidRPr="00A751B8">
        <w:t>,</w:t>
      </w:r>
    </w:p>
    <w:p w14:paraId="51100608" w14:textId="77777777" w:rsidR="00697A02" w:rsidRPr="00A751B8" w:rsidRDefault="00697A02">
      <w:pPr>
        <w:pStyle w:val="NormalHanging12a"/>
        <w:rPr>
          <w:szCs w:val="24"/>
        </w:rPr>
      </w:pPr>
      <w:r w:rsidRPr="00A751B8">
        <w:t>–</w:t>
      </w:r>
      <w:r w:rsidRPr="00A751B8">
        <w:tab/>
        <w:t xml:space="preserve">Vista la Comunicación de la Comisión, de 5 de julio de 2023, titulada «Informe sobre el Estado de Derecho en 2023 – La situación del Estado de Derecho en la Unión Europea» (COM(2023)0800), los veintisiete capítulos por países y las recomendaciones a los Estados miembros que la acompañan, </w:t>
      </w:r>
    </w:p>
    <w:p w14:paraId="6EC44861" w14:textId="77777777" w:rsidR="00697A02" w:rsidRPr="00A751B8" w:rsidRDefault="00697A02">
      <w:pPr>
        <w:pStyle w:val="NormalHanging12a"/>
        <w:rPr>
          <w:szCs w:val="24"/>
        </w:rPr>
      </w:pPr>
      <w:r w:rsidRPr="00A751B8">
        <w:t>–</w:t>
      </w:r>
      <w:r w:rsidRPr="00A751B8">
        <w:tab/>
        <w:t>Vistos el pilar europeo de derechos sociales, incluido el tercer principio de igualdad de oportunidades, y la Comunicación de la Comisión, de 4 de marzo de 2021, titulada «Plan de Acción del Pilar Europeo de Derechos Sociales» (COM(2021)0102),</w:t>
      </w:r>
    </w:p>
    <w:p w14:paraId="7B19AB85" w14:textId="77777777" w:rsidR="00697A02" w:rsidRPr="00A751B8" w:rsidRDefault="00697A02">
      <w:pPr>
        <w:pStyle w:val="NormalHanging12a"/>
      </w:pPr>
      <w:r w:rsidRPr="00A751B8">
        <w:t>–</w:t>
      </w:r>
      <w:r w:rsidRPr="00A751B8">
        <w:tab/>
        <w:t>Vista la propuesta de la Comisión de Directiva del Parlamento Europeo y del Consejo, de 27 de abril de 2022, relativa a la protección de las personas que realizan actos de participación pública frente a las demandas judiciales manifiestamente infundadas o abusivas («demandas estratégicas contra la participación pública») (COM(2022)0177), y la Recomendación que la acompaña,</w:t>
      </w:r>
    </w:p>
    <w:p w14:paraId="22D5F7F1" w14:textId="77777777" w:rsidR="00697A02" w:rsidRPr="00A751B8" w:rsidRDefault="00697A02">
      <w:pPr>
        <w:pStyle w:val="NormalHanging12a"/>
        <w:rPr>
          <w:szCs w:val="24"/>
        </w:rPr>
      </w:pPr>
      <w:r w:rsidRPr="00A751B8">
        <w:t>–</w:t>
      </w:r>
      <w:r w:rsidRPr="00A751B8">
        <w:tab/>
        <w:t>Vista la propuesta de la Comisión de Reglamento del Parlamento Europeo y del Consejo, de 16 de septiembre de 2022, por el que se establece un marco común para los servicios de medios de comunicación en el mercado interior (Ley Europea de Libertad de los Medios de Comunicación) (COM(2022)0457) y se modifica la Directiva 2010/13/UE, y la Recomendación que la acompaña sobre salvaguardias internas para la independencia editorial y la transparencia de la propiedad en el sector de los medios de comunicación</w:t>
      </w:r>
      <w:r w:rsidRPr="00A751B8">
        <w:rPr>
          <w:rStyle w:val="FootnoteReference"/>
        </w:rPr>
        <w:footnoteReference w:id="12"/>
      </w:r>
      <w:r w:rsidRPr="00A751B8">
        <w:t>,</w:t>
      </w:r>
    </w:p>
    <w:p w14:paraId="05959E50" w14:textId="77777777" w:rsidR="00697A02" w:rsidRPr="00A751B8" w:rsidRDefault="00697A02">
      <w:pPr>
        <w:pStyle w:val="NormalHanging12a"/>
      </w:pPr>
      <w:r w:rsidRPr="00A751B8">
        <w:t>–</w:t>
      </w:r>
      <w:r w:rsidRPr="00A751B8">
        <w:tab/>
        <w:t>Vista la propuesta de la Comisión de Directiva del Consejo, de 7 de diciembre de 2022, sobre las normas relativas a los organismos de igualdad en el ámbito de la igualdad de trato entre las personas con independencia de su origen racial o étnico, la igualdad de trato entre las personas en asuntos de empleo y ocupación con independencia de su religión o convicciones, discapacidad, edad u orientación sexual y la igualdad de trato entre mujeres y hombres en materia de seguridad social y en el acceso a bienes y servicios y su suministro, y por la que se suprimen el artículo 13 de la Directiva 2000/43/CE y el artículo 12 de la Directiva 2004/113/CE (COM(2022)0689),</w:t>
      </w:r>
    </w:p>
    <w:p w14:paraId="57E71AA8" w14:textId="77777777" w:rsidR="00697A02" w:rsidRPr="00A751B8" w:rsidRDefault="00697A02">
      <w:pPr>
        <w:pStyle w:val="NormalHanging12a"/>
        <w:rPr>
          <w:szCs w:val="24"/>
        </w:rPr>
      </w:pPr>
      <w:r w:rsidRPr="00A751B8">
        <w:t>–</w:t>
      </w:r>
      <w:r w:rsidRPr="00A751B8">
        <w:tab/>
        <w:t xml:space="preserve">Vista la propuesta de la Comisión de Reglamento del Consejo, de 7 de diciembre de 2022, relativo a la competencia, al Derecho aplicable, al reconocimiento de las resoluciones y a la aceptación de los documentos públicos en materia de filiación y a la </w:t>
      </w:r>
      <w:r w:rsidRPr="00A751B8">
        <w:lastRenderedPageBreak/>
        <w:t>creación de un certificado de filiación europeo (COM(2022)0695),</w:t>
      </w:r>
    </w:p>
    <w:p w14:paraId="57F696B1" w14:textId="77777777" w:rsidR="00697A02" w:rsidRPr="00A751B8" w:rsidRDefault="00697A02">
      <w:pPr>
        <w:pStyle w:val="NormalHanging12a"/>
      </w:pPr>
      <w:r w:rsidRPr="00A751B8">
        <w:t>–</w:t>
      </w:r>
      <w:r w:rsidRPr="00A751B8">
        <w:tab/>
        <w:t>Vista la propuesta de la Comisión de Directiva del Parlamento Europeo y del Consejo, de 7 de diciembre de 2022, sobre las normas relativas a los organismos de igualdad en el ámbito de la igualdad de trato y la igualdad de oportunidades entre mujeres y hombres en asuntos de empleo y ocupación, y por la que se suprimen el artículo 20 de la Directiva 2006/54/CE y el artículo 11 de la Directiva 2010/41/UE (COM(2022)0688),</w:t>
      </w:r>
    </w:p>
    <w:p w14:paraId="29FFE137" w14:textId="77777777" w:rsidR="00697A02" w:rsidRPr="00A751B8" w:rsidRDefault="00697A02">
      <w:pPr>
        <w:pStyle w:val="NormalHanging12a"/>
      </w:pPr>
      <w:r w:rsidRPr="00A751B8">
        <w:t>–</w:t>
      </w:r>
      <w:r w:rsidRPr="00A751B8">
        <w:tab/>
        <w:t>Vistos los Informes de la Agencia de los Derechos Fundamentales de la Unión Europea (FRA), en particular sus Informes sobre los derechos fundamentales correspondientes a los años 2022 y 2023, incluidos los informes FRANET por países,</w:t>
      </w:r>
    </w:p>
    <w:p w14:paraId="586FB772" w14:textId="77777777" w:rsidR="00697A02" w:rsidRPr="00A751B8" w:rsidRDefault="00697A02">
      <w:pPr>
        <w:pStyle w:val="NormalHanging12a"/>
      </w:pPr>
      <w:r w:rsidRPr="00A751B8">
        <w:t>–</w:t>
      </w:r>
      <w:r w:rsidRPr="00A751B8">
        <w:tab/>
        <w:t>Vista la Declaración Universal de Derechos Humanos,</w:t>
      </w:r>
    </w:p>
    <w:p w14:paraId="50DD80A8" w14:textId="77777777" w:rsidR="00697A02" w:rsidRPr="00A751B8" w:rsidRDefault="00697A02">
      <w:pPr>
        <w:pStyle w:val="NormalHanging12a"/>
      </w:pPr>
      <w:r w:rsidRPr="00A751B8">
        <w:t>–</w:t>
      </w:r>
      <w:r w:rsidRPr="00A751B8">
        <w:tab/>
        <w:t>Vistos los instrumentos de las Naciones Unidas para la protección de los derechos humanos y las libertades fundamentales, incluidos el Pacto Internacional de Derechos Civiles y Políticos, la Convención Internacional sobre la Eliminación de Todas las Formas de Discriminación Racial, la Convención sobre la Eliminación de Todas las Formas de Discriminación contra la Mujer y la Convención sobre los Derechos de las Personas con Discapacidad, las recomendaciones e informes del examen periódico universal de las Naciones Unidas, la jurisprudencia de los órganos de las Naciones Unidas creados en virtud de tratados y los procedimientos especiales del Consejo de Derechos Humanos de las Naciones Unidas,</w:t>
      </w:r>
    </w:p>
    <w:p w14:paraId="5C9D8A9E" w14:textId="77777777" w:rsidR="00697A02" w:rsidRPr="00A751B8" w:rsidRDefault="00697A02">
      <w:pPr>
        <w:pStyle w:val="NormalHanging12a"/>
      </w:pPr>
      <w:r w:rsidRPr="00A751B8">
        <w:t>–</w:t>
      </w:r>
      <w:r w:rsidRPr="00A751B8">
        <w:tab/>
        <w:t xml:space="preserve">Vista la Agenda 2030 para el Desarrollo Sostenible de las Naciones Unidas, </w:t>
      </w:r>
    </w:p>
    <w:p w14:paraId="22DBA438" w14:textId="77777777" w:rsidR="00697A02" w:rsidRPr="00A751B8" w:rsidRDefault="00697A02">
      <w:pPr>
        <w:pStyle w:val="NormalHanging12a"/>
        <w:rPr>
          <w:szCs w:val="24"/>
        </w:rPr>
      </w:pPr>
      <w:r w:rsidRPr="00A751B8">
        <w:t>–</w:t>
      </w:r>
      <w:r w:rsidRPr="00A751B8">
        <w:tab/>
        <w:t xml:space="preserve">Vistos el Convenio Europeo para la Protección de los Derechos Humanos y de las Libertades Fundamentales (CEDH) y la jurisprudencia del Tribunal Europeo de Derechos Humanos (TEDH), </w:t>
      </w:r>
    </w:p>
    <w:p w14:paraId="5F37C37F" w14:textId="77777777" w:rsidR="00697A02" w:rsidRPr="00A751B8" w:rsidRDefault="00697A02">
      <w:pPr>
        <w:pStyle w:val="NormalHanging12a"/>
      </w:pPr>
      <w:r w:rsidRPr="00A751B8">
        <w:t>–</w:t>
      </w:r>
      <w:r w:rsidRPr="00A751B8">
        <w:tab/>
        <w:t xml:space="preserve">Visto el Convenio del Consejo de Europa sobre prevención y lucha contra la violencia contra las mujeres y la violencia doméstica, que quedó abierto a la firma el 11 de mayo de 2011 en Estambul («Convenio de Estambul») y fue ratificado por la Unión el 28 de junio de 2023, </w:t>
      </w:r>
    </w:p>
    <w:p w14:paraId="7953C017" w14:textId="77777777" w:rsidR="00697A02" w:rsidRPr="00A751B8" w:rsidRDefault="00697A02">
      <w:pPr>
        <w:pStyle w:val="NormalHanging12a"/>
        <w:rPr>
          <w:szCs w:val="24"/>
        </w:rPr>
      </w:pPr>
      <w:r w:rsidRPr="00A751B8">
        <w:t>–</w:t>
      </w:r>
      <w:r w:rsidRPr="00A751B8">
        <w:tab/>
        <w:t>Vistas las recomendaciones e informes de la Oficina de Instituciones Democráticas y Derechos Humanos, el Alto Comisionado para las Minorías Nacionales y otros órganos de la Organización para la Seguridad y la Cooperación en Europa (OSCE),</w:t>
      </w:r>
    </w:p>
    <w:p w14:paraId="1CFD3435" w14:textId="77777777" w:rsidR="00697A02" w:rsidRPr="00A751B8" w:rsidRDefault="00697A02">
      <w:pPr>
        <w:pStyle w:val="NormalHanging12a"/>
      </w:pPr>
      <w:r w:rsidRPr="00A751B8">
        <w:t>–</w:t>
      </w:r>
      <w:r w:rsidRPr="00A751B8">
        <w:tab/>
        <w:t>Visto el informe del Consejo de Europa de 23 de marzo de 2023 titulado «Human Rights Defenders in the Council of Europe Area in Times of Crisis» (Defensores de los derechos humanos en tiempos de crisis en el área del Consejo de Europa), tras la mesa redonda sobre derechos humanos organizada por la Oficina del Comisario de Derechos Humanos del Consejo de Europa celebrada en Dublín los días 24 y 25 de octubre de 2022</w:t>
      </w:r>
      <w:r w:rsidRPr="00A751B8">
        <w:rPr>
          <w:rStyle w:val="FootnoteReference"/>
        </w:rPr>
        <w:footnoteReference w:id="13"/>
      </w:r>
      <w:r w:rsidRPr="00A751B8">
        <w:t>,</w:t>
      </w:r>
    </w:p>
    <w:p w14:paraId="38C8A6DA" w14:textId="77777777" w:rsidR="00697A02" w:rsidRPr="00A751B8" w:rsidRDefault="00697A02">
      <w:pPr>
        <w:pStyle w:val="NormalHanging12a"/>
        <w:rPr>
          <w:szCs w:val="24"/>
        </w:rPr>
      </w:pPr>
      <w:r w:rsidRPr="00A751B8">
        <w:t>–</w:t>
      </w:r>
      <w:r w:rsidRPr="00A751B8">
        <w:tab/>
        <w:t xml:space="preserve">Vistos el Convenio Marco para la Protección de las Minorías Nacionales del Consejo de </w:t>
      </w:r>
      <w:r w:rsidRPr="00A751B8">
        <w:lastRenderedPageBreak/>
        <w:t xml:space="preserve">Europa y la Carta Europea de las Lenguas Regionales o Minoritarias, </w:t>
      </w:r>
    </w:p>
    <w:p w14:paraId="04B5CB9F" w14:textId="77777777" w:rsidR="00697A02" w:rsidRPr="00A751B8" w:rsidRDefault="00697A02">
      <w:pPr>
        <w:pStyle w:val="NormalHanging12a"/>
        <w:rPr>
          <w:szCs w:val="24"/>
        </w:rPr>
      </w:pPr>
      <w:r w:rsidRPr="00A751B8">
        <w:t>–</w:t>
      </w:r>
      <w:r w:rsidRPr="00A751B8">
        <w:tab/>
        <w:t>Vista la Carta Social Europea del Consejo de Europa,</w:t>
      </w:r>
    </w:p>
    <w:p w14:paraId="4D513EBF" w14:textId="77777777" w:rsidR="00697A02" w:rsidRPr="00A751B8" w:rsidRDefault="00697A02">
      <w:pPr>
        <w:pStyle w:val="NormalHanging12a"/>
        <w:rPr>
          <w:szCs w:val="24"/>
        </w:rPr>
      </w:pPr>
      <w:r w:rsidRPr="00A751B8">
        <w:t>–</w:t>
      </w:r>
      <w:r w:rsidRPr="00A751B8">
        <w:tab/>
        <w:t>Vistas las declaraciones, recomendaciones e informes del comisario para los Derechos Humanos del Consejo de Europa,</w:t>
      </w:r>
    </w:p>
    <w:p w14:paraId="40E0F0C4" w14:textId="77777777" w:rsidR="00697A02" w:rsidRPr="00A751B8" w:rsidRDefault="00697A02">
      <w:pPr>
        <w:pStyle w:val="NormalHanging12a"/>
        <w:rPr>
          <w:szCs w:val="24"/>
        </w:rPr>
      </w:pPr>
      <w:r w:rsidRPr="00A751B8">
        <w:t>–</w:t>
      </w:r>
      <w:r w:rsidRPr="00A751B8">
        <w:tab/>
        <w:t>Vistas las recomendaciones e informes del Consejo de Europa, en particular de la Comisión de Venecia, la Comisión Europea contra el Racismo y la Intolerancia (ECRI), el Grupo de Expertos en la lucha contra la violencia contra las mujeres y la violencia doméstica (GREVIO) y el Grupo de Estados contra la Corrupción (GRECO),</w:t>
      </w:r>
    </w:p>
    <w:p w14:paraId="10815EB5" w14:textId="77777777" w:rsidR="00697A02" w:rsidRPr="00A751B8" w:rsidRDefault="00697A02">
      <w:pPr>
        <w:pStyle w:val="NormalHanging12a"/>
        <w:rPr>
          <w:szCs w:val="24"/>
        </w:rPr>
      </w:pPr>
      <w:r w:rsidRPr="00A751B8">
        <w:t>–</w:t>
      </w:r>
      <w:r w:rsidRPr="00A751B8">
        <w:tab/>
        <w:t>Vista su Resolución, de 13 de noviembre de 2018, sobre las normas mínimas para las minorías en la Unión Europea</w:t>
      </w:r>
      <w:r w:rsidRPr="00A751B8">
        <w:rPr>
          <w:rStyle w:val="FootnoteReference"/>
        </w:rPr>
        <w:footnoteReference w:id="14"/>
      </w:r>
      <w:r w:rsidRPr="00A751B8">
        <w:t>,</w:t>
      </w:r>
    </w:p>
    <w:p w14:paraId="4E1AEE84" w14:textId="77777777" w:rsidR="00697A02" w:rsidRPr="00A751B8" w:rsidRDefault="00697A02">
      <w:pPr>
        <w:pStyle w:val="NormalHanging12a"/>
        <w:rPr>
          <w:szCs w:val="24"/>
        </w:rPr>
      </w:pPr>
      <w:r w:rsidRPr="00A751B8">
        <w:t>–</w:t>
      </w:r>
      <w:r w:rsidRPr="00A751B8">
        <w:tab/>
        <w:t>Vista su Resolución, de 15 de enero de 2019, sobre igualdad de género y políticas fiscales en la Unión</w:t>
      </w:r>
      <w:r w:rsidRPr="00A751B8">
        <w:rPr>
          <w:rStyle w:val="FootnoteReference"/>
        </w:rPr>
        <w:footnoteReference w:id="15"/>
      </w:r>
      <w:r w:rsidRPr="00A751B8">
        <w:t>,</w:t>
      </w:r>
    </w:p>
    <w:p w14:paraId="7A3D1099" w14:textId="77777777" w:rsidR="00697A02" w:rsidRPr="00A751B8" w:rsidRDefault="00697A02">
      <w:pPr>
        <w:pStyle w:val="NormalHanging12a"/>
      </w:pPr>
      <w:r w:rsidRPr="00A751B8">
        <w:t>–</w:t>
      </w:r>
      <w:r w:rsidRPr="00A751B8">
        <w:tab/>
        <w:t>Vista su Resolución, de 11 de noviembre de 2021, sobre el refuerzo de la democracia y la libertad y el pluralismo de los medios de comunicación en la Unión: recurso indebido a acciones en el marco del Derecho civil y penal para silenciar a periodistas, ONG y a la sociedad civil</w:t>
      </w:r>
      <w:r w:rsidRPr="00A751B8">
        <w:rPr>
          <w:rStyle w:val="FootnoteReference"/>
        </w:rPr>
        <w:footnoteReference w:id="16"/>
      </w:r>
      <w:r w:rsidRPr="00A751B8">
        <w:t>,</w:t>
      </w:r>
    </w:p>
    <w:p w14:paraId="13B2A4D6" w14:textId="77777777" w:rsidR="00697A02" w:rsidRPr="00A751B8" w:rsidRDefault="00697A02">
      <w:pPr>
        <w:pStyle w:val="NormalHanging12a"/>
      </w:pPr>
      <w:r w:rsidRPr="00A751B8">
        <w:t>–</w:t>
      </w:r>
      <w:r w:rsidRPr="00A751B8">
        <w:tab/>
        <w:t>Vista su Resolución, de 15 de diciembre de 2021, sobre la evaluación de las medidas preventivas para evitar la corrupción, las irregularidades en el gasto y el uso indebido de los fondos de la UE y de los fondos nacionales en el caso de los fondos de emergencia y los ámbitos de gasto relacionados con las crisis</w:t>
      </w:r>
      <w:r w:rsidRPr="00A751B8">
        <w:rPr>
          <w:rStyle w:val="FootnoteReference"/>
        </w:rPr>
        <w:footnoteReference w:id="17"/>
      </w:r>
      <w:r w:rsidRPr="00A751B8">
        <w:t>,</w:t>
      </w:r>
    </w:p>
    <w:p w14:paraId="476A64E8" w14:textId="77777777" w:rsidR="00697A02" w:rsidRPr="00A751B8" w:rsidRDefault="00697A02">
      <w:pPr>
        <w:pStyle w:val="NormalHanging12a"/>
      </w:pPr>
      <w:r w:rsidRPr="00A751B8">
        <w:t>–</w:t>
      </w:r>
      <w:r w:rsidRPr="00A751B8">
        <w:tab/>
        <w:t>Vista su Resolución, de 17 de febrero de 2022, con recomendaciones destinadas a la Comisión sobre un estatuto para las asociaciones y organizaciones sin ánimo de lucro transfronterizas europeas</w:t>
      </w:r>
      <w:r w:rsidRPr="00A751B8">
        <w:rPr>
          <w:rStyle w:val="FootnoteReference"/>
        </w:rPr>
        <w:footnoteReference w:id="18"/>
      </w:r>
      <w:r w:rsidRPr="00A751B8">
        <w:t>,</w:t>
      </w:r>
    </w:p>
    <w:p w14:paraId="57ADF6D7" w14:textId="77777777" w:rsidR="00697A02" w:rsidRPr="00A751B8" w:rsidRDefault="00697A02">
      <w:pPr>
        <w:pStyle w:val="NormalHanging12a"/>
      </w:pPr>
      <w:r w:rsidRPr="00A751B8">
        <w:t>–</w:t>
      </w:r>
      <w:r w:rsidRPr="00A751B8">
        <w:tab/>
        <w:t>Vista su Resolución, de 8 de marzo de 2022, sobre la reducción del espacio de acción de la sociedad civil en Europa</w:t>
      </w:r>
      <w:r w:rsidRPr="00A751B8">
        <w:rPr>
          <w:rStyle w:val="FootnoteReference"/>
        </w:rPr>
        <w:footnoteReference w:id="19"/>
      </w:r>
      <w:r w:rsidRPr="00A751B8">
        <w:t>,</w:t>
      </w:r>
    </w:p>
    <w:p w14:paraId="47E378C9" w14:textId="77777777" w:rsidR="00697A02" w:rsidRPr="00A751B8" w:rsidRDefault="00697A02">
      <w:pPr>
        <w:pStyle w:val="NormalHanging12a"/>
      </w:pPr>
      <w:r w:rsidRPr="00A751B8">
        <w:t>–</w:t>
      </w:r>
      <w:r w:rsidRPr="00A751B8">
        <w:tab/>
        <w:t>Vista su Resolución, de 10 de marzo de 2022, sobre el Estado de Derecho y las consecuencias de las resoluciones del TJUE</w:t>
      </w:r>
      <w:r w:rsidRPr="00A751B8">
        <w:rPr>
          <w:rStyle w:val="FootnoteReference"/>
        </w:rPr>
        <w:footnoteReference w:id="20"/>
      </w:r>
      <w:r w:rsidRPr="00A751B8">
        <w:t>,</w:t>
      </w:r>
    </w:p>
    <w:p w14:paraId="7C9D9952" w14:textId="77777777" w:rsidR="00697A02" w:rsidRPr="00A751B8" w:rsidRDefault="00697A02">
      <w:pPr>
        <w:pStyle w:val="NormalHanging12a"/>
      </w:pPr>
      <w:r w:rsidRPr="00A751B8">
        <w:t>–</w:t>
      </w:r>
      <w:r w:rsidRPr="00A751B8">
        <w:tab/>
        <w:t>Vista su Resolución, de 9 de junio de 2022, sobre el Estado de Derecho y la posible aprobación del plan nacional de recuperación polaco (MRR)</w:t>
      </w:r>
      <w:r w:rsidRPr="00A751B8">
        <w:rPr>
          <w:rStyle w:val="FootnoteReference"/>
        </w:rPr>
        <w:footnoteReference w:id="21"/>
      </w:r>
      <w:r w:rsidRPr="00A751B8">
        <w:t>,</w:t>
      </w:r>
    </w:p>
    <w:p w14:paraId="450FEAFB" w14:textId="77777777" w:rsidR="00697A02" w:rsidRPr="00A751B8" w:rsidRDefault="00697A02">
      <w:pPr>
        <w:pStyle w:val="NormalHanging12a"/>
      </w:pPr>
      <w:r w:rsidRPr="00A751B8">
        <w:t>–</w:t>
      </w:r>
      <w:r w:rsidRPr="00A751B8">
        <w:tab/>
        <w:t xml:space="preserve">Vista su Resolución, de 6 de julio de 2022, sobre la discriminación interseccional en la Unión Europea: situación socioeconómica de las mujeres de origen africano, de Oriente </w:t>
      </w:r>
      <w:r w:rsidRPr="00A751B8">
        <w:lastRenderedPageBreak/>
        <w:t>Próximo, latinoamericano y asiático</w:t>
      </w:r>
      <w:r w:rsidRPr="00A751B8">
        <w:rPr>
          <w:rStyle w:val="FootnoteReference"/>
        </w:rPr>
        <w:footnoteReference w:id="22"/>
      </w:r>
      <w:r w:rsidRPr="00A751B8">
        <w:t>,</w:t>
      </w:r>
    </w:p>
    <w:p w14:paraId="0EB67355" w14:textId="77777777" w:rsidR="00697A02" w:rsidRPr="00A751B8" w:rsidRDefault="00697A02">
      <w:pPr>
        <w:pStyle w:val="NormalHanging12a"/>
      </w:pPr>
      <w:r w:rsidRPr="00A751B8">
        <w:t>–</w:t>
      </w:r>
      <w:r w:rsidRPr="00A751B8">
        <w:tab/>
        <w:t>Vista su Resolución, de 15 de septiembre de 2022, sobre la propuesta de Decisión del Consejo relativa a la constatación, de conformidad con el artículo 7, apartado 1, del Tratado de la Unión Europea, de la existencia de un riesgo claro de violación grave por parte de Hungría de los valores en los que se fundamenta la Unión</w:t>
      </w:r>
      <w:r w:rsidRPr="00A751B8">
        <w:rPr>
          <w:rStyle w:val="FootnoteReference"/>
        </w:rPr>
        <w:footnoteReference w:id="23"/>
      </w:r>
      <w:r w:rsidRPr="00A751B8">
        <w:t>,</w:t>
      </w:r>
    </w:p>
    <w:p w14:paraId="087336AF" w14:textId="77777777" w:rsidR="00697A02" w:rsidRPr="00A751B8" w:rsidRDefault="00697A02">
      <w:pPr>
        <w:pStyle w:val="NormalHanging12a"/>
      </w:pPr>
      <w:r w:rsidRPr="00A751B8">
        <w:t>–</w:t>
      </w:r>
      <w:r w:rsidRPr="00A751B8">
        <w:tab/>
        <w:t>Vista su Resolución, de 5 de octubre de 2022, sobre la situación de la población romaní que vive en asentamientos en la Unión</w:t>
      </w:r>
      <w:r w:rsidRPr="00A751B8">
        <w:rPr>
          <w:rStyle w:val="FootnoteReference"/>
        </w:rPr>
        <w:footnoteReference w:id="24"/>
      </w:r>
      <w:r w:rsidRPr="00A751B8">
        <w:t>,</w:t>
      </w:r>
    </w:p>
    <w:p w14:paraId="470590E5" w14:textId="77777777" w:rsidR="00697A02" w:rsidRPr="00A751B8" w:rsidRDefault="00697A02">
      <w:pPr>
        <w:pStyle w:val="NormalHanging12a"/>
      </w:pPr>
      <w:r w:rsidRPr="00A751B8">
        <w:t>–</w:t>
      </w:r>
      <w:r w:rsidRPr="00A751B8">
        <w:tab/>
        <w:t>Vista su Resolución, de 15 de diciembre de 2022, sobre las sospechas de corrupción en relación con Qatar y la necesidad de aumentar la transparencia y la rendición de cuentas en las instituciones europeas</w:t>
      </w:r>
      <w:r w:rsidRPr="00A751B8">
        <w:rPr>
          <w:rStyle w:val="FootnoteReference"/>
        </w:rPr>
        <w:footnoteReference w:id="25"/>
      </w:r>
      <w:r w:rsidRPr="00A751B8">
        <w:t>,</w:t>
      </w:r>
    </w:p>
    <w:p w14:paraId="3B94794F" w14:textId="77777777" w:rsidR="00697A02" w:rsidRPr="00A751B8" w:rsidRDefault="00697A02">
      <w:pPr>
        <w:pStyle w:val="NormalHanging12a"/>
      </w:pPr>
      <w:r w:rsidRPr="00A751B8">
        <w:t>–</w:t>
      </w:r>
      <w:r w:rsidRPr="00A751B8">
        <w:tab/>
        <w:t>Vista su Resolución, de 7 de julio de 2022, sobre la decisión del Tribunal Supremo de los Estados Unidos de revocar el derecho al aborto en los Estados Unidos y la necesidad de garantizar el derecho al aborto y la salud de las mujeres en la Unión</w:t>
      </w:r>
      <w:r w:rsidRPr="00A751B8">
        <w:rPr>
          <w:rStyle w:val="FootnoteReference"/>
        </w:rPr>
        <w:footnoteReference w:id="26"/>
      </w:r>
      <w:r w:rsidRPr="00A751B8">
        <w:t>,</w:t>
      </w:r>
    </w:p>
    <w:p w14:paraId="49FE968D" w14:textId="77777777" w:rsidR="00697A02" w:rsidRPr="00A751B8" w:rsidRDefault="00697A02">
      <w:pPr>
        <w:pStyle w:val="NormalHanging12a"/>
      </w:pPr>
      <w:r w:rsidRPr="00A751B8">
        <w:t>–</w:t>
      </w:r>
      <w:r w:rsidRPr="00A751B8">
        <w:tab/>
        <w:t>Vista su Resolución, de 3 de mayo de 2022, sobre la persecución de las minorías por motivos de creencias o de religión</w:t>
      </w:r>
      <w:r w:rsidRPr="00A751B8">
        <w:rPr>
          <w:rStyle w:val="FootnoteReference"/>
        </w:rPr>
        <w:footnoteReference w:id="27"/>
      </w:r>
      <w:r w:rsidRPr="00A751B8">
        <w:t>,</w:t>
      </w:r>
    </w:p>
    <w:p w14:paraId="46E28AAB" w14:textId="77777777" w:rsidR="00697A02" w:rsidRPr="00A751B8" w:rsidRDefault="00697A02">
      <w:pPr>
        <w:pStyle w:val="NormalHanging12a"/>
      </w:pPr>
      <w:r w:rsidRPr="00A751B8">
        <w:t>–</w:t>
      </w:r>
      <w:r w:rsidRPr="00A751B8">
        <w:tab/>
        <w:t>Vista su Resolución, de 5 de mayo de 2022, sobre las audiencias en curso en virtud del artículo 7, apartado 1, del TUE relativas a Polonia y Hungría</w:t>
      </w:r>
      <w:r w:rsidRPr="00A751B8">
        <w:rPr>
          <w:rStyle w:val="FootnoteReference"/>
        </w:rPr>
        <w:footnoteReference w:id="28"/>
      </w:r>
      <w:r w:rsidRPr="00A751B8">
        <w:t>,</w:t>
      </w:r>
    </w:p>
    <w:p w14:paraId="7BEEAE17" w14:textId="77777777" w:rsidR="00697A02" w:rsidRPr="00A751B8" w:rsidRDefault="00697A02">
      <w:pPr>
        <w:pStyle w:val="NormalHanging12a"/>
        <w:rPr>
          <w:szCs w:val="24"/>
        </w:rPr>
      </w:pPr>
      <w:r w:rsidRPr="00A751B8">
        <w:t>–</w:t>
      </w:r>
      <w:r w:rsidRPr="00A751B8">
        <w:tab/>
        <w:t>Vista su Decisión (UE) 2023/325, de 18 de octubre de 2022, sobre la aprobación de la gestión en la ejecución del presupuesto de la Agencia Europea de la Guardia de Fronteras y Costas (Frontex) para el ejercicio 2020</w:t>
      </w:r>
      <w:r w:rsidRPr="00A751B8">
        <w:rPr>
          <w:vertAlign w:val="superscript"/>
        </w:rPr>
        <w:footnoteReference w:id="29"/>
      </w:r>
      <w:r w:rsidRPr="00A751B8">
        <w:t>,</w:t>
      </w:r>
    </w:p>
    <w:p w14:paraId="0E999EBF" w14:textId="77777777" w:rsidR="00697A02" w:rsidRPr="00A751B8" w:rsidRDefault="00697A02">
      <w:pPr>
        <w:pStyle w:val="NormalHanging12a"/>
        <w:rPr>
          <w:szCs w:val="24"/>
        </w:rPr>
      </w:pPr>
      <w:r w:rsidRPr="00A751B8">
        <w:t>–</w:t>
      </w:r>
      <w:r w:rsidRPr="00A751B8">
        <w:tab/>
        <w:t>Vista su resolución de 20 de octubre de 2022 sobre el aumento de los delitos de odio contra las personas LGBTIQ+ en Europa en vista del reciente asesinato homófobo en Eslovaquia</w:t>
      </w:r>
      <w:r w:rsidRPr="00A751B8">
        <w:rPr>
          <w:vertAlign w:val="superscript"/>
        </w:rPr>
        <w:footnoteReference w:id="30"/>
      </w:r>
      <w:r w:rsidRPr="00A751B8">
        <w:t>,</w:t>
      </w:r>
    </w:p>
    <w:p w14:paraId="366BB890" w14:textId="77777777" w:rsidR="00697A02" w:rsidRPr="00A751B8" w:rsidRDefault="00697A02">
      <w:pPr>
        <w:pStyle w:val="NormalHanging12a"/>
        <w:rPr>
          <w:szCs w:val="24"/>
        </w:rPr>
      </w:pPr>
      <w:r w:rsidRPr="00A751B8">
        <w:t>–</w:t>
      </w:r>
      <w:r w:rsidRPr="00A751B8">
        <w:tab/>
        <w:t>Vista su Resolución, de 10 de noviembre de 2022, sobre justicia racial, no discriminación y antirracismo en la Unión</w:t>
      </w:r>
      <w:r w:rsidRPr="00A751B8">
        <w:rPr>
          <w:rStyle w:val="FootnoteReference"/>
        </w:rPr>
        <w:footnoteReference w:id="31"/>
      </w:r>
      <w:r w:rsidRPr="00A751B8">
        <w:t>,</w:t>
      </w:r>
    </w:p>
    <w:p w14:paraId="5D944879" w14:textId="77777777" w:rsidR="00697A02" w:rsidRPr="00A751B8" w:rsidRDefault="00697A02">
      <w:pPr>
        <w:pStyle w:val="NormalHanging12a"/>
        <w:rPr>
          <w:szCs w:val="24"/>
        </w:rPr>
      </w:pPr>
      <w:r w:rsidRPr="00A751B8">
        <w:t>–</w:t>
      </w:r>
      <w:r w:rsidRPr="00A751B8">
        <w:tab/>
        <w:t>Vista su resolución, de 13 de diciembre de 2022, sobre la igualdad de derechos para las personas con discapacidad</w:t>
      </w:r>
      <w:r w:rsidRPr="00A751B8">
        <w:rPr>
          <w:vertAlign w:val="superscript"/>
        </w:rPr>
        <w:footnoteReference w:id="32"/>
      </w:r>
      <w:r w:rsidRPr="00A751B8">
        <w:t>,</w:t>
      </w:r>
    </w:p>
    <w:p w14:paraId="1CAD33D5" w14:textId="77777777" w:rsidR="00697A02" w:rsidRPr="00A751B8" w:rsidRDefault="00697A02">
      <w:pPr>
        <w:pStyle w:val="NormalHanging12a"/>
      </w:pPr>
      <w:r w:rsidRPr="00A751B8">
        <w:t>–</w:t>
      </w:r>
      <w:r w:rsidRPr="00A751B8">
        <w:tab/>
        <w:t xml:space="preserve">Vista su Resolución, de 19 de abril de 2023, sobre la lucha contra la discriminación en </w:t>
      </w:r>
      <w:r w:rsidRPr="00A751B8">
        <w:lastRenderedPageBreak/>
        <w:t>la Unión: la esperada Directiva horizontal contra la discriminación</w:t>
      </w:r>
      <w:r w:rsidRPr="00A751B8">
        <w:rPr>
          <w:rStyle w:val="FootnoteReference"/>
        </w:rPr>
        <w:footnoteReference w:id="33"/>
      </w:r>
      <w:r w:rsidRPr="00A751B8">
        <w:t>,</w:t>
      </w:r>
    </w:p>
    <w:p w14:paraId="3BAA3F1B" w14:textId="77777777" w:rsidR="00697A02" w:rsidRPr="00A751B8" w:rsidRDefault="00697A02">
      <w:pPr>
        <w:pStyle w:val="NormalHanging12a"/>
        <w:rPr>
          <w:szCs w:val="24"/>
        </w:rPr>
      </w:pPr>
      <w:r w:rsidRPr="00A751B8">
        <w:t>–</w:t>
      </w:r>
      <w:r w:rsidRPr="00A751B8">
        <w:tab/>
        <w:t>Vista su Posición, de 10 de mayo de 2023, sobre el proyecto de Decisiones del Consejo relativa a la celebración, en nombre de la Unión, del Convenio del Consejo de Europa sobre prevención y lucha contra la violencia contra las mujeres y la violencia doméstica, en lo que respecta a las instituciones y administración pública de la Unión</w:t>
      </w:r>
      <w:r w:rsidRPr="00A751B8">
        <w:rPr>
          <w:rStyle w:val="FootnoteReference"/>
        </w:rPr>
        <w:footnoteReference w:id="34"/>
      </w:r>
      <w:r w:rsidRPr="00A751B8">
        <w:t>, así como a asuntos relacionados con la cooperación judicial en materia penal, asilo y no devolución,</w:t>
      </w:r>
    </w:p>
    <w:p w14:paraId="0D43C8A7" w14:textId="77777777" w:rsidR="00697A02" w:rsidRPr="00A751B8" w:rsidRDefault="00697A02">
      <w:pPr>
        <w:pStyle w:val="NormalHanging12a"/>
      </w:pPr>
      <w:r w:rsidRPr="00A751B8">
        <w:t>–</w:t>
      </w:r>
      <w:r w:rsidRPr="00A751B8">
        <w:tab/>
        <w:t>Vista su Resolución, de 11 de mayo de 2023, sobre la adecuación de la protección conferida por el marco de privacidad de datos UE</w:t>
      </w:r>
      <w:r w:rsidRPr="00A751B8">
        <w:noBreakHyphen/>
        <w:t>EE. UU</w:t>
      </w:r>
      <w:r w:rsidRPr="00A751B8">
        <w:rPr>
          <w:rStyle w:val="FootnoteReference"/>
          <w:szCs w:val="24"/>
        </w:rPr>
        <w:footnoteReference w:id="35"/>
      </w:r>
      <w:r w:rsidRPr="00A751B8">
        <w:t>,</w:t>
      </w:r>
    </w:p>
    <w:p w14:paraId="7C7559F9" w14:textId="77777777" w:rsidR="00697A02" w:rsidRPr="00A751B8" w:rsidRDefault="00697A02">
      <w:pPr>
        <w:pStyle w:val="NormalHanging12a"/>
        <w:rPr>
          <w:szCs w:val="24"/>
        </w:rPr>
      </w:pPr>
      <w:r w:rsidRPr="00A751B8">
        <w:t>–</w:t>
      </w:r>
      <w:r w:rsidRPr="00A751B8">
        <w:tab/>
        <w:t xml:space="preserve">Vistos su informe y su Recomendación, de 22 de mayo de 2023, a raíz del examen de las alegaciones de infracción y de mala administración en la aplicación del Derecho de la Unión en relación con el uso del programa espía de vigilancia Pegasus y otros programas equivalentes, </w:t>
      </w:r>
    </w:p>
    <w:p w14:paraId="3D09A536" w14:textId="77777777" w:rsidR="00697A02" w:rsidRPr="00A751B8" w:rsidRDefault="00697A02">
      <w:pPr>
        <w:pStyle w:val="NormalHanging12a"/>
        <w:rPr>
          <w:szCs w:val="24"/>
        </w:rPr>
      </w:pPr>
      <w:r w:rsidRPr="00A751B8">
        <w:t>–</w:t>
      </w:r>
      <w:r w:rsidRPr="00A751B8">
        <w:tab/>
        <w:t>Vista su Resolución, de 1 de junio de 2023, sobre la vulneración del Estado de Derecho y de los derechos fundamentales en Hungría y la inmovilización de fondos de la UE</w:t>
      </w:r>
      <w:r w:rsidRPr="00A751B8">
        <w:rPr>
          <w:rStyle w:val="FootnoteReference"/>
        </w:rPr>
        <w:footnoteReference w:id="36"/>
      </w:r>
      <w:r w:rsidRPr="00A751B8">
        <w:t>,</w:t>
      </w:r>
    </w:p>
    <w:p w14:paraId="3613D6EB" w14:textId="77777777" w:rsidR="00697A02" w:rsidRPr="00A751B8" w:rsidRDefault="00697A02">
      <w:pPr>
        <w:pStyle w:val="NormalHanging12a"/>
        <w:rPr>
          <w:szCs w:val="24"/>
        </w:rPr>
      </w:pPr>
      <w:r w:rsidRPr="00A751B8">
        <w:t>–</w:t>
      </w:r>
      <w:r w:rsidRPr="00A751B8">
        <w:tab/>
        <w:t>Vista su Resolución, de 13 de julio de 2023, sobre el acceso público a los documentos: informe anual para los años 2019 a 2021</w:t>
      </w:r>
      <w:r w:rsidRPr="00A751B8">
        <w:rPr>
          <w:rStyle w:val="FootnoteReference"/>
        </w:rPr>
        <w:footnoteReference w:id="37"/>
      </w:r>
      <w:r w:rsidRPr="00A751B8">
        <w:t xml:space="preserve">, </w:t>
      </w:r>
    </w:p>
    <w:p w14:paraId="3228C818" w14:textId="367122EA" w:rsidR="00697A02" w:rsidRPr="00A751B8" w:rsidRDefault="00697A02">
      <w:pPr>
        <w:pStyle w:val="NormalHanging12a"/>
        <w:rPr>
          <w:szCs w:val="24"/>
        </w:rPr>
      </w:pPr>
      <w:r w:rsidRPr="00A751B8">
        <w:t>–</w:t>
      </w:r>
      <w:r w:rsidRPr="00A751B8">
        <w:tab/>
        <w:t>Vista su Resolución, de 4 de octubre </w:t>
      </w:r>
      <w:r w:rsidR="00DA7F6F">
        <w:t xml:space="preserve">de </w:t>
      </w:r>
      <w:bookmarkStart w:id="8" w:name="_GoBack"/>
      <w:bookmarkEnd w:id="8"/>
      <w:r w:rsidRPr="00A751B8">
        <w:t>2023, sobre la segregación y discriminación de los niños romaníes en la educación</w:t>
      </w:r>
      <w:r w:rsidRPr="00A751B8">
        <w:rPr>
          <w:rStyle w:val="FootnoteReference"/>
        </w:rPr>
        <w:footnoteReference w:id="38"/>
      </w:r>
      <w:r w:rsidRPr="00A751B8">
        <w:t>,</w:t>
      </w:r>
    </w:p>
    <w:p w14:paraId="61910893" w14:textId="77777777" w:rsidR="00697A02" w:rsidRPr="00A751B8" w:rsidRDefault="00697A02">
      <w:pPr>
        <w:pStyle w:val="NormalHanging12a"/>
      </w:pPr>
      <w:r w:rsidRPr="00A751B8">
        <w:t>–</w:t>
      </w:r>
      <w:r w:rsidRPr="00A751B8">
        <w:tab/>
        <w:t>Visto el artículo 54 de su Reglamento interno,</w:t>
      </w:r>
    </w:p>
    <w:p w14:paraId="1402D0AA" w14:textId="77777777" w:rsidR="00697A02" w:rsidRPr="00A751B8" w:rsidRDefault="00697A02">
      <w:pPr>
        <w:pStyle w:val="NormalHanging12a"/>
      </w:pPr>
      <w:r w:rsidRPr="00A751B8">
        <w:t>–</w:t>
      </w:r>
      <w:r w:rsidRPr="00A751B8">
        <w:tab/>
        <w:t>Vista la opinión de la Comisión de Asuntos Constitucionales,</w:t>
      </w:r>
    </w:p>
    <w:p w14:paraId="4B0BB464" w14:textId="77777777" w:rsidR="00697A02" w:rsidRPr="00A751B8" w:rsidRDefault="00697A02">
      <w:pPr>
        <w:pStyle w:val="NormalHanging12a"/>
      </w:pPr>
      <w:r w:rsidRPr="00A751B8">
        <w:t>–</w:t>
      </w:r>
      <w:r w:rsidRPr="00A751B8">
        <w:tab/>
        <w:t>Visto el informe de la Comisión de Libertades Civiles, Justicia y Asuntos de Interior (A9</w:t>
      </w:r>
      <w:r w:rsidRPr="00A751B8">
        <w:noBreakHyphen/>
        <w:t>0376/2023),</w:t>
      </w:r>
    </w:p>
    <w:p w14:paraId="1B1447BB" w14:textId="77777777" w:rsidR="00697A02" w:rsidRPr="00A751B8" w:rsidRDefault="00697A02" w:rsidP="00F04ABD">
      <w:pPr>
        <w:pStyle w:val="NormalHanging12a"/>
      </w:pPr>
      <w:r w:rsidRPr="00A751B8">
        <w:t>A.</w:t>
      </w:r>
      <w:r w:rsidRPr="00A751B8">
        <w:tab/>
        <w:t>Considerando que la Unión se fundamenta en los valores de respeto de la dignidad humana, libertad, democracia, igualdad, Estado de Derecho y derechos humanos, incluidos los derechos de las personas pertenecientes a minorías, tal como se establece en el artículo 2 del TUE y la Carta y se contempla en los tratados internacionales de derechos humanos; que la Unión y los Estados miembros deben compartir estos valores, y defenderlos y fomentarlos activamente en su acción interior y exterior; que en los últimos años algunos Estados miembros han mostrado un preocupante declive en el respeto de dichos valores;</w:t>
      </w:r>
    </w:p>
    <w:p w14:paraId="74109DE2" w14:textId="77777777" w:rsidR="00697A02" w:rsidRPr="00A751B8" w:rsidRDefault="00697A02" w:rsidP="00F04ABD">
      <w:pPr>
        <w:pStyle w:val="NormalHanging12a"/>
        <w:rPr>
          <w:szCs w:val="24"/>
        </w:rPr>
      </w:pPr>
      <w:r w:rsidRPr="00A751B8">
        <w:t>B.</w:t>
      </w:r>
      <w:r w:rsidRPr="00A751B8">
        <w:tab/>
        <w:t xml:space="preserve">Considerando que la democracia, el Estado de Derecho y los derechos fundamentales son valores que se refuerzan mutuamente y que, si se socavan, pueden suponer una amenaza sistémica para la Unión y los derechos y las libertades de todas las personas en </w:t>
      </w:r>
      <w:r w:rsidRPr="00A751B8">
        <w:lastRenderedPageBreak/>
        <w:t>la Unión; que el respeto del Estado de Derecho vincula a la Unión en su conjunto y a sus Estados miembros a todos los niveles de gobernanza;</w:t>
      </w:r>
    </w:p>
    <w:p w14:paraId="3C85D5D9" w14:textId="77777777" w:rsidR="00697A02" w:rsidRPr="00A751B8" w:rsidRDefault="00697A02">
      <w:pPr>
        <w:pStyle w:val="NormalHanging12a"/>
        <w:rPr>
          <w:szCs w:val="24"/>
        </w:rPr>
      </w:pPr>
      <w:r w:rsidRPr="00A751B8">
        <w:t>C.</w:t>
      </w:r>
      <w:r w:rsidRPr="00A751B8">
        <w:tab/>
        <w:t>Considerando que unas elecciones libres, independientes y transparentes son un pilar de la democracia;</w:t>
      </w:r>
    </w:p>
    <w:p w14:paraId="7569AB4A" w14:textId="77777777" w:rsidR="00697A02" w:rsidRPr="00A751B8" w:rsidRDefault="00697A02">
      <w:pPr>
        <w:pStyle w:val="NormalHanging12a"/>
        <w:rPr>
          <w:szCs w:val="24"/>
        </w:rPr>
      </w:pPr>
      <w:r w:rsidRPr="00A751B8">
        <w:t xml:space="preserve">D. </w:t>
      </w:r>
      <w:r w:rsidR="007408E7" w:rsidRPr="00A751B8">
        <w:tab/>
      </w:r>
      <w:r w:rsidRPr="00A751B8">
        <w:t>Considerando que la creciente difusión de desinformación representa una amenaza al funcionamiento democrático de la Unión; que reducir la manipulación de la información es una cuestión de interés público; que la desinformación reduce la capacidad de los ciudadanos y residentes para tomar decisiones basadas en hechos y participar libremente en los procesos democráticos; que unos medios de comunicación independientes y pluralistas representan una poderosa herramienta para combatir la desinformación;</w:t>
      </w:r>
    </w:p>
    <w:p w14:paraId="71DD1E55" w14:textId="77777777" w:rsidR="00697A02" w:rsidRPr="00A751B8" w:rsidRDefault="00697A02">
      <w:pPr>
        <w:pStyle w:val="NormalHanging12a"/>
      </w:pPr>
      <w:r w:rsidRPr="00A751B8">
        <w:t>E.</w:t>
      </w:r>
      <w:r w:rsidRPr="00A751B8">
        <w:tab/>
        <w:t>Considerando que la libertad, el pluralismo de los medios de comunicación y la independencia y la seguridad de los periodistas constituyen elementos fundamentales del derecho a la libertad de expresión y de información y que son esenciales para el funcionamiento democrático de la Unión y de sus Estados miembros; que, en los últimos años, periodistas y otros agentes de medios de comunicación en muchos Estados miembros y en el extranjero son objeto cada vez más de amenazas, presiones, intimidación, violencia y otras formas de injerencia en su trabajo, en particular cuando se centran en el abuso de poder, la corrupción, violaciones de los derechos fundamentales y actividades delictivas; que las demandas estratégicas contra la participación pública siguen siendo un problema acuciante en toda la Unión; que la alarmante situación en cuanto a amenazas y ataques no se limita exclusivamente a los periodistas profesionales y otros agentes tradicionales de los medios de comunicación; que la definición de agentes de los medios de comunicación se ha ampliado como consecuencia de las nuevas formas de medios de comunicación de la era digital e incluye, por tanto, a otros agentes que contribuyen al debate público y ejercen actividades periodísticas o desempeñan funciones de vigilancia pública;</w:t>
      </w:r>
    </w:p>
    <w:p w14:paraId="4AE184CF" w14:textId="77777777" w:rsidR="00697A02" w:rsidRPr="00A751B8" w:rsidRDefault="00697A02" w:rsidP="00A751B8">
      <w:pPr>
        <w:spacing w:after="240"/>
        <w:ind w:left="567" w:hanging="567"/>
        <w:rPr>
          <w:szCs w:val="24"/>
        </w:rPr>
      </w:pPr>
      <w:r w:rsidRPr="00A751B8">
        <w:t>F.</w:t>
      </w:r>
      <w:r w:rsidRPr="00A751B8">
        <w:tab/>
        <w:t xml:space="preserve">Considerando que los organismos gubernamentales de algunos Estados miembros y países no pertenecientes a la Unión han utilizado Pegasus y otros programas espía de vigilancia contra periodistas, políticos, funcionarios policiales, diplomáticos, abogados, empresarios, agentes de la sociedad civil y otros agentes, con fines políticos e incluso delictivos; que dichas prácticas son extremadamente alarmantes y ponen de relieve el riesgo de que se abuse de las tecnologías de vigilancia para socavar los derechos humanos fundamentales, la democracia y los procesos electorales; </w:t>
      </w:r>
    </w:p>
    <w:p w14:paraId="48B0E2A0" w14:textId="77777777" w:rsidR="00697A02" w:rsidRPr="00A751B8" w:rsidRDefault="00697A02" w:rsidP="007408E7">
      <w:pPr>
        <w:pStyle w:val="NormalHanging12a"/>
      </w:pPr>
      <w:r w:rsidRPr="00A751B8">
        <w:t>G.</w:t>
      </w:r>
      <w:r w:rsidRPr="00A751B8">
        <w:tab/>
        <w:t>Considerando que la corrupción constituye una grave amenaza para la democracia y el Estado de Derecho; que la lucha contra la corrupción en algunos Estados miembros suscita preocupaciones persistentes y graves; que en varios Estados miembros los mecanismos para combatir la corrupción son débiles y la falta de protección de los denunciantes sigue siendo una deficiencia generalizada; que el Reglamento sobre condicionalidad del Estado de Derecho tiene por objeto proteger el presupuesto de la Unión frente a las infracciones de los principios del Estado de Derecho;</w:t>
      </w:r>
    </w:p>
    <w:p w14:paraId="44F2DD68" w14:textId="77777777" w:rsidR="00697A02" w:rsidRPr="00A751B8" w:rsidRDefault="00697A02" w:rsidP="00F04ABD">
      <w:pPr>
        <w:pStyle w:val="NormalHanging12a"/>
        <w:rPr>
          <w:szCs w:val="24"/>
        </w:rPr>
      </w:pPr>
      <w:r w:rsidRPr="00A751B8">
        <w:t>H.</w:t>
      </w:r>
      <w:r w:rsidRPr="00A751B8">
        <w:tab/>
        <w:t>Considerando que los periodistas, los medios de comunicación y los blogueros, los defensores de los derechos humanos, las organizaciones de la sociedad civil, los activistas, los sindicatos, los artistas, los investigadores, los denunciantes y los políticos cada vez se enfrentan a más amenazas, acosos, demandas judiciales abusivas y otras formas de intimidación por de su compromiso con la participación pública;</w:t>
      </w:r>
    </w:p>
    <w:p w14:paraId="3424AAFC" w14:textId="77777777" w:rsidR="00697A02" w:rsidRPr="00A751B8" w:rsidRDefault="00697A02" w:rsidP="00F04ABD">
      <w:pPr>
        <w:pStyle w:val="NormalHanging12a"/>
      </w:pPr>
      <w:r w:rsidRPr="00A751B8">
        <w:lastRenderedPageBreak/>
        <w:t>I.</w:t>
      </w:r>
      <w:r w:rsidRPr="00A751B8">
        <w:tab/>
        <w:t>Considerando que la independencia del poder judicial —requisito esencial para el principio democrático de separación de poderes y fundamental para garantizar el respeto de los derechos fundamentales— se enfrenta a graves amenazas y está siendo incluso socavada estructuralmente en un número creciente de Estados miembros;</w:t>
      </w:r>
    </w:p>
    <w:p w14:paraId="7DC054F8" w14:textId="77777777" w:rsidR="00697A02" w:rsidRPr="00A751B8" w:rsidRDefault="00697A02">
      <w:pPr>
        <w:pStyle w:val="NormalHanging12a"/>
        <w:rPr>
          <w:szCs w:val="24"/>
        </w:rPr>
      </w:pPr>
      <w:r w:rsidRPr="00A751B8">
        <w:t>J.</w:t>
      </w:r>
      <w:r w:rsidRPr="00A751B8">
        <w:tab/>
        <w:t>Considerando que el Tribunal de Justicia ha recordado</w:t>
      </w:r>
      <w:r w:rsidRPr="00A751B8">
        <w:rPr>
          <w:vertAlign w:val="superscript"/>
        </w:rPr>
        <w:footnoteReference w:id="39"/>
      </w:r>
      <w:r w:rsidRPr="00A751B8">
        <w:t xml:space="preserve"> que el derecho a la libertad de asociación consagrado en el artículo 12, apartado 1, de la Carta constituye uno de los fundamentos esenciales de una sociedad democrática y pluralista, ya que permite a los ciudadanos actuar colectivamente en ámbitos de interés común y contribuir, de ese modo, al buen funcionamiento de la vida pública; que se ha informado de un creciente número de ataques contra el derecho de reunión y asociación mediante el uso desproporcionado de la fuerza contra manifestantes pacíficos, incluso llegando a propinarles palizas, en algunos Estados miembros; </w:t>
      </w:r>
    </w:p>
    <w:p w14:paraId="56889C9D" w14:textId="77777777" w:rsidR="00697A02" w:rsidRPr="00A751B8" w:rsidRDefault="00697A02">
      <w:pPr>
        <w:pStyle w:val="NormalHanging12a"/>
        <w:rPr>
          <w:szCs w:val="24"/>
        </w:rPr>
      </w:pPr>
      <w:r w:rsidRPr="00A751B8">
        <w:t>K.</w:t>
      </w:r>
      <w:r w:rsidRPr="00A751B8">
        <w:tab/>
        <w:t>Considerando que algunos Estados miembros han impuesto restricciones con el propósito deliberado de limitar el espacio civil; que el espacio civil se enfrenta en muchos Estados miembros al acoso legal, administrativo y fiscal, la criminalización y un discurso negativo tendente a estigmatizar y deslegitimar a las organizaciones de la sociedad civil, los activistas y los defensores de los derechos humanos y disminuir su capacidad para desempeñar su trabajo;</w:t>
      </w:r>
    </w:p>
    <w:p w14:paraId="51ED09E0" w14:textId="77777777" w:rsidR="00697A02" w:rsidRPr="00A751B8" w:rsidRDefault="00697A02">
      <w:pPr>
        <w:pStyle w:val="NormalHanging12a"/>
        <w:rPr>
          <w:szCs w:val="24"/>
        </w:rPr>
      </w:pPr>
      <w:r w:rsidRPr="00A751B8">
        <w:t>L.</w:t>
      </w:r>
      <w:r w:rsidRPr="00A751B8">
        <w:tab/>
        <w:t>Considerando que, en marzo de 2023, la comisaria para los Derechos Humanos del Consejo de Europa consideró que la situación de los defensores de los derechos humanos en Europa se había deteriorado de manera alarmante, que los Gobiernos tendían cada vez más a pasar por alto sus compromisos en materia de derechos humanos, dando prioridad a la seguridad nacional y las preocupaciones de protección pública sobre los derechos humanos; que la comisaria informó de que los defensores de los derechos humanos se enfrentaban a cada vez más restricciones para trabajar con libertad y seguridad, así como a varias formas de represalias, incluidos el acoso judicial, el enjuiciamiento, los controles y la vigilancia abusivos, las campañas de desprestigio, las amenazas y la intimidación en los Estados miembros y países vecinos; que la ausencia de investigaciones eficaces sobre las violaciones cometidas por agentes estatales y no estatales contra los defensores de los derechos humanos sigue siendo motivo de gran preocupación; que esta situación mina la democracia y se inscribe en el problema más amplio de la polarización de la sociedad, caracterizada por crecientes expresiones de odio y violencia contra distintos grupos sociales o minoritarios;</w:t>
      </w:r>
    </w:p>
    <w:p w14:paraId="0DA0C439" w14:textId="77777777" w:rsidR="00697A02" w:rsidRPr="00A751B8" w:rsidRDefault="00697A02">
      <w:pPr>
        <w:pStyle w:val="NormalHanging12a"/>
      </w:pPr>
      <w:r w:rsidRPr="00A751B8">
        <w:t>M.</w:t>
      </w:r>
      <w:r w:rsidRPr="00A751B8">
        <w:tab/>
        <w:t>Considerando que se han producido numerosos incidentes de muertes de migrantes y violaciones de los derechos humanos en las fronteras europeas debido a una gestión ineficaz y al uso desproporcionado de la fuerza por parte de las autoridades; que se utiliza una cantidad creciente de tecnología, incluida la inteligencia artificial, para el control de los migrantes en las fronteras exteriores e interiores de la Unión; que la criminalización de las organizaciones no gubernamentales o de cualquier otro agente no estatal que lleve a cabo operaciones de búsqueda y salvamento en cumplimiento del marco jurídico pertinente constituye una infracción del Derecho internacional</w:t>
      </w:r>
      <w:r w:rsidRPr="00A751B8">
        <w:rPr>
          <w:vertAlign w:val="superscript"/>
        </w:rPr>
        <w:footnoteReference w:id="40"/>
      </w:r>
      <w:r w:rsidRPr="00A751B8">
        <w:t xml:space="preserve"> y, por lo tanto, no está permitida por el Derecho de la Unión; que el Tribunal de Justicia ha recordado que los nacionales de terceros países solo pueden ser internados si existe una base legal específica para restringir su derecho a la libertad, y no sobre la base de un criterio general</w:t>
      </w:r>
      <w:r w:rsidRPr="00A751B8">
        <w:rPr>
          <w:vertAlign w:val="superscript"/>
        </w:rPr>
        <w:footnoteReference w:id="41"/>
      </w:r>
      <w:r w:rsidRPr="00A751B8">
        <w:t>;</w:t>
      </w:r>
    </w:p>
    <w:p w14:paraId="6B947D1F" w14:textId="77777777" w:rsidR="00697A02" w:rsidRPr="00A751B8" w:rsidRDefault="00697A02">
      <w:pPr>
        <w:pStyle w:val="NormalHanging12a"/>
        <w:rPr>
          <w:szCs w:val="24"/>
        </w:rPr>
      </w:pPr>
      <w:r w:rsidRPr="00A751B8">
        <w:t>N.</w:t>
      </w:r>
      <w:r w:rsidRPr="00A751B8">
        <w:tab/>
        <w:t>Considerando que las víctimas mortales en las fronteras marítimas de la Unión disminuyeron ligeramente en 2022 en comparación con 2021, pero su número sigue siendo superior al de los tres años previos a 2021</w:t>
      </w:r>
      <w:r w:rsidRPr="00A751B8">
        <w:rPr>
          <w:vertAlign w:val="superscript"/>
        </w:rPr>
        <w:footnoteReference w:id="42"/>
      </w:r>
      <w:r w:rsidRPr="00A751B8">
        <w:t>; que la mayoría de las muertes se produjeron en el Mediterráneo central, lejos de las costes del norte de África</w:t>
      </w:r>
      <w:r w:rsidRPr="00A751B8">
        <w:rPr>
          <w:vertAlign w:val="superscript"/>
        </w:rPr>
        <w:footnoteReference w:id="43"/>
      </w:r>
      <w:r w:rsidRPr="00A751B8">
        <w:t xml:space="preserve">; </w:t>
      </w:r>
    </w:p>
    <w:p w14:paraId="3A90F3DD" w14:textId="77777777" w:rsidR="00697A02" w:rsidRPr="00A751B8" w:rsidRDefault="00697A02">
      <w:pPr>
        <w:pStyle w:val="NormalHanging12a"/>
        <w:rPr>
          <w:szCs w:val="24"/>
        </w:rPr>
      </w:pPr>
      <w:r w:rsidRPr="00A751B8">
        <w:t>O.</w:t>
      </w:r>
      <w:r w:rsidRPr="00A751B8">
        <w:tab/>
        <w:t>Considerando que se han llevado a cabo varios informes e investigaciones sobre Frontex sobre cuestiones relacionadas con los derechos fundamentales, en particular por parte de la Oficina Europea de Lucha contra el Fraude (OLAF) y el Defensor del Pueblo Europeo; que el antiguo director de Frontex dimitió de su cargo en abril de 2022; que todas las agencias de la Unión deben respetar los derechos fundamentales y rendir cuentas cuando se producen casos de violación de estos;</w:t>
      </w:r>
    </w:p>
    <w:p w14:paraId="65E84AD0" w14:textId="77777777" w:rsidR="00697A02" w:rsidRPr="00A751B8" w:rsidRDefault="00697A02">
      <w:pPr>
        <w:pStyle w:val="NormalHanging12a"/>
      </w:pPr>
      <w:r w:rsidRPr="00A751B8">
        <w:t>P.</w:t>
      </w:r>
      <w:r w:rsidRPr="00A751B8">
        <w:tab/>
        <w:t>Considerando que en los últimos años se ha producido una involución en materia de derechos de las mujeres y las niñas; que, en algunos Estados miembros, se ha intentado reducir aún más la salud sexual y reproductiva y los derechos conexos, por ejemplo, las protecciones jurídicas existentes para el acceso de las mujeres a la asistencia en caso de aborto; que, en los últimos años, la denegación del acceso al aborto seguro y legal en algunos Estados miembros ha provocado la muerte de varias mujeres; que la prevalencia de la violencia de género, incluida la violencia sexual y la violación, sigue siendo elevada en toda la Unión; que algunos Estados miembros todavía no han ratificado el Convenio del Consejo de Europa sobre prevención y lucha contra la violencia contra las mujeres y la violencia doméstica (Convenio de Estambul); que los movimientos contra la promoción y la oferta de educación sexual están aumentando en la Unión;</w:t>
      </w:r>
    </w:p>
    <w:p w14:paraId="1B8AEC20" w14:textId="77777777" w:rsidR="00697A02" w:rsidRPr="00A751B8" w:rsidRDefault="00697A02">
      <w:pPr>
        <w:pStyle w:val="NormalHanging12a"/>
        <w:rPr>
          <w:szCs w:val="24"/>
        </w:rPr>
      </w:pPr>
      <w:r w:rsidRPr="00A751B8">
        <w:t>Q.</w:t>
      </w:r>
      <w:r w:rsidRPr="00A751B8">
        <w:tab/>
        <w:t>Considerando que la violencia de género es a la vez una causa y una consecuencia de las desigualdades estructurales arraigadas en estereotipos de género y asimetrías de poder, incluidas las de los ámbitos privado, social, público y económico;</w:t>
      </w:r>
    </w:p>
    <w:p w14:paraId="3B9143F1" w14:textId="77777777" w:rsidR="00697A02" w:rsidRPr="00A751B8" w:rsidRDefault="00697A02">
      <w:pPr>
        <w:pStyle w:val="NormalHanging12a"/>
      </w:pPr>
      <w:r w:rsidRPr="00A751B8">
        <w:t>R.</w:t>
      </w:r>
      <w:r w:rsidRPr="00A751B8">
        <w:tab/>
        <w:t>Considerando que datos de una encuesta de la FRA demuestran que la prevalencia de la discriminación por motivos de origen racial o étnico o de creencia religiosa (gitano, musulmán, judío o ascendencia africana) sigue siendo alta de forma sistemática, tanto en el tiempo como en los distintos grupos de población en los diferentes Estados miembros; que las minorías raciales y étnicas se enfrentan a un racismo sistémico, delitos y discursos de odio, falta de acceso a la justicia y desigualdades socioeconómicas constantes en ámbitos como la vivienda, la asistencia sanitaria, el empleo y la educación, que deben reconocerse como barreras importantes al pleno disfrute de sus derechos fundamentales y barreras clave a la inclusión y la igualdad; que el antisemitismo, el antigitanismo, la islamofobia y el racismo son formas persistentes de odio y discriminación; que el extremismo de extrema derecha representa una amenaza especial para las personas afectadas por la discriminación y para la sociedad en su conjunto; que, según la FRA, hay indicios de racismo sistémico en la Unión, también entre las fuerzas del orden; que la discriminación interseccional debe tenerse en cuenta en las políticas y medidas contra el racismo y la discriminación;</w:t>
      </w:r>
    </w:p>
    <w:p w14:paraId="4EE856DB" w14:textId="77777777" w:rsidR="00697A02" w:rsidRPr="00A751B8" w:rsidRDefault="00697A02">
      <w:pPr>
        <w:pStyle w:val="NormalHanging12a"/>
        <w:rPr>
          <w:szCs w:val="24"/>
        </w:rPr>
      </w:pPr>
      <w:r w:rsidRPr="00A751B8">
        <w:t>S.</w:t>
      </w:r>
      <w:r w:rsidRPr="00A751B8">
        <w:tab/>
        <w:t>Considerando que las personas con discapacidad que viven en la Unión siguen sufriendo discriminación, entre otras cosas, denegación de adaptaciones razonables, acoso y formas de discriminación múltiple e interseccional en todos los ámbitos de su vida, en particular desventajas socioeconómicas, aislamiento social, maltrato y violencia, incluida violencia de género, esterilización y abortos forzados, falta de acceso a servicios comunitarios, viviendas de baja calidad, institucionalización, asistencia sanitaria inadecuada y denegación de la oportunidad de contribuir y participar activamente en la sociedad;</w:t>
      </w:r>
    </w:p>
    <w:p w14:paraId="4258F563" w14:textId="77777777" w:rsidR="00697A02" w:rsidRPr="00A751B8" w:rsidRDefault="00697A02">
      <w:pPr>
        <w:pStyle w:val="NormalHanging12a"/>
        <w:rPr>
          <w:szCs w:val="24"/>
        </w:rPr>
      </w:pPr>
      <w:r w:rsidRPr="00A751B8">
        <w:t>T.</w:t>
      </w:r>
      <w:r w:rsidRPr="00A751B8">
        <w:tab/>
        <w:t>Considerando que una parte significativa de la población gitana</w:t>
      </w:r>
      <w:r w:rsidRPr="00A751B8">
        <w:rPr>
          <w:vertAlign w:val="superscript"/>
        </w:rPr>
        <w:footnoteReference w:id="44"/>
      </w:r>
      <w:r w:rsidRPr="00A751B8">
        <w:t xml:space="preserve"> de Europa vive en condiciones extremadamente precarias, tanto en zonas rurales como urbanas, y en una situación socioeconómica de gran pobreza; que la mayor parte de la población gitana se ve privada de sus derechos fundamentales en todos los ámbitos de la vida; que la escolarización de niños en centros segregados y la práctica discriminatoria de escolarizar a los niños de minorías étnicas y raciales en escuelas para niños con discapacidades mentales persiste en algunos Estados miembros;</w:t>
      </w:r>
    </w:p>
    <w:p w14:paraId="69CAAB08" w14:textId="77777777" w:rsidR="00697A02" w:rsidRPr="00A751B8" w:rsidRDefault="00697A02">
      <w:pPr>
        <w:pStyle w:val="NormalHanging12a"/>
        <w:rPr>
          <w:szCs w:val="24"/>
        </w:rPr>
      </w:pPr>
      <w:r w:rsidRPr="00A751B8">
        <w:t>U.</w:t>
      </w:r>
      <w:r w:rsidRPr="00A751B8">
        <w:tab/>
        <w:t>Considerando que persiste la tendencia constante al aumento de la discriminación, el discurso de odio y la violencia contra las personas LGBTIQ+ y los defensores de los derechos de las personas LGTBIQ+ en toda la Unión; que las personas LGBTIQ+ siguen siendo objeto de discriminación y exclusión en varios Estados miembros en lo que atañe a la protección social, la seguridad social, el acceso a la asistencia sanitaria y a la educación, la protección jurídica y el acceso a bienes y servicios disponibles para el público, como la vivienda; que no se está aplicando la jurisprudencia del Tribunal de Justicia que protege los derechos sociales y la vida privada de las parejas del mismo sexo y los niños nacidos de padres del mismo sexo, como los asuntos Coman (C</w:t>
      </w:r>
      <w:r w:rsidRPr="00A751B8">
        <w:noBreakHyphen/>
        <w:t>673/16) y Baby Sara (C</w:t>
      </w:r>
      <w:r w:rsidRPr="00A751B8">
        <w:noBreakHyphen/>
        <w:t>490/20); que se están practicando intervenciones quirúrgicas y tratamientos médicos y quirúrgicos en niños intersexuales sin su consentimiento previo, personal, pleno e informado; que las mutilaciones genitales de las personas intersexuales pueden dejar secuelas de por vida, como por ejemplo traumas psicológicos o deficiencias físicas;</w:t>
      </w:r>
    </w:p>
    <w:p w14:paraId="1F104A78" w14:textId="77777777" w:rsidR="00697A02" w:rsidRPr="00A751B8" w:rsidRDefault="00697A02">
      <w:pPr>
        <w:pStyle w:val="NormalHanging12a"/>
      </w:pPr>
      <w:r w:rsidRPr="00A751B8">
        <w:t>V.</w:t>
      </w:r>
      <w:r w:rsidRPr="00A751B8">
        <w:tab/>
        <w:t>Considerando que los delitos de odio y los episodios de discurso de odio han aumentado de manera constante en la Unión en los últimos años</w:t>
      </w:r>
      <w:r w:rsidRPr="00A751B8">
        <w:rPr>
          <w:vertAlign w:val="superscript"/>
        </w:rPr>
        <w:footnoteReference w:id="45"/>
      </w:r>
      <w:r w:rsidRPr="00A751B8">
        <w:t>, debido en gran medida al creciente número de usuarios de las redes sociales y al hecho de que los discursos de odio prosperan en internet; que el modelo de negocio de la plataformas de redes sociales, basado en la publicidad microdirigida, contribuye a la difusión y la amplificación del discurso de odio, incitando a la discriminación y la violencia; que los sistemas educativos son esenciales para proporcionar una educación, una alfabetización y capacidades digitales para todos, fomentar la comprensión de las tecnologías digitales por los usuarios, superar las desigualdades, mejorar la inclusión digital, empoderar y proteger a las personas y sus derechos, subrayando al mismo tiempo sus responsabilidades; que los discursos de odio pueden dar lugar a delitos de odio; que, según la FRA, hasta nueve de cada diez delitos de odio y ataques motivados por el odio en la Unión no se denunciaron, por lo que no se sancionaron;</w:t>
      </w:r>
    </w:p>
    <w:p w14:paraId="4F059B09" w14:textId="77777777" w:rsidR="00697A02" w:rsidRPr="00A751B8" w:rsidRDefault="00697A02">
      <w:pPr>
        <w:pStyle w:val="NormalHanging12a"/>
        <w:rPr>
          <w:szCs w:val="24"/>
        </w:rPr>
      </w:pPr>
      <w:r w:rsidRPr="00A751B8">
        <w:t>W.</w:t>
      </w:r>
      <w:r w:rsidRPr="00A751B8">
        <w:tab/>
        <w:t>Considerando que el artículo 21 de la Carta prohíbe toda discriminación basada en la lengua o la pertenencia a una minoría nacional; que su artículo 22 garantiza el respeto de la diversidad lingüística;</w:t>
      </w:r>
    </w:p>
    <w:p w14:paraId="25198003" w14:textId="77777777" w:rsidR="00697A02" w:rsidRPr="00A751B8" w:rsidRDefault="00697A02">
      <w:pPr>
        <w:pStyle w:val="NormalHanging12a"/>
        <w:rPr>
          <w:szCs w:val="24"/>
        </w:rPr>
      </w:pPr>
      <w:r w:rsidRPr="00A751B8">
        <w:t>X.</w:t>
      </w:r>
      <w:r w:rsidRPr="00A751B8">
        <w:tab/>
        <w:t>Considerando que la Unión se basa en la promoción de los derechos sociales, culturales y económicos; que el número de personas que viven en la pobreza en la Unión sigue siendo alto, con más de un niño de cada cinco en riesgo de pobreza y casi un ciudadano europeo de cada cuatro en riesgo de pobreza o exclusión social; que el ciclo de la pobreza exacerba otras desigualdades, como el acceso de a la educación, a la vivienda asequible, la sanidad y el empleo; que la crisis energética y la inflación han incrementado el número de personas afectadas por la inseguridad, la pobreza y la exclusión social; que el artículo 151 del TFUE hace referencia a derechos sociales fundamentales como los que contempla la Carta Social Europea; que el pilar europeo de derechos sociales y la aplicación de su plan de acción son instrumentos clave para la incorporación de las prioridades sociales en todas las políticas de la Unión y una guía para la aplicación práctica de sus veinte principios;</w:t>
      </w:r>
    </w:p>
    <w:p w14:paraId="5E50C177" w14:textId="77777777" w:rsidR="00697A02" w:rsidRPr="00A751B8" w:rsidRDefault="00697A02">
      <w:pPr>
        <w:pStyle w:val="NormalHanging12a"/>
      </w:pPr>
      <w:r w:rsidRPr="00A751B8">
        <w:t>Y.</w:t>
      </w:r>
      <w:r w:rsidRPr="00A751B8">
        <w:tab/>
        <w:t>Considerando que la adhesión de la Unión al Convenio Europeo de Derechos Humanos (CEDH) es una obligación con arreglo al artículo 6, apartado 2, del TUE y sigue siendo una prioridad importante;</w:t>
      </w:r>
    </w:p>
    <w:p w14:paraId="5B1ACBEB" w14:textId="77777777" w:rsidR="00697A02" w:rsidRPr="00A751B8" w:rsidRDefault="00697A02">
      <w:pPr>
        <w:pStyle w:val="NormalHanging12a"/>
        <w:rPr>
          <w:szCs w:val="24"/>
        </w:rPr>
      </w:pPr>
      <w:r w:rsidRPr="00A751B8">
        <w:t>Z.</w:t>
      </w:r>
      <w:r w:rsidRPr="00A751B8">
        <w:tab/>
        <w:t>Considerando que los Estados miembros y las instituciones y organismos de la Unión, incluidos el Tribunal de Justicia, la Agencia de los Derechos Fundamentales de la Unión Europea (FRA) y la Fiscalía Europea, deben contribuir de manera esencial a defender los valores de la Unión y los derechos fundamentales;</w:t>
      </w:r>
    </w:p>
    <w:p w14:paraId="2E0DE079" w14:textId="77777777" w:rsidR="00697A02" w:rsidRPr="00A751B8" w:rsidRDefault="00697A02">
      <w:pPr>
        <w:pStyle w:val="NormalHanging12a"/>
        <w:rPr>
          <w:szCs w:val="24"/>
        </w:rPr>
      </w:pPr>
      <w:r w:rsidRPr="00A751B8">
        <w:t>AA.</w:t>
      </w:r>
      <w:r w:rsidRPr="00A751B8">
        <w:tab/>
        <w:t>Considerando que la Defensora del Pueblo Europeo llevó a cabo una investigación sobre el intercambio de mensajes personales y llamadas relacionadas con la adquisición de vacunas contra la COVID</w:t>
      </w:r>
      <w:r w:rsidRPr="00A751B8">
        <w:noBreakHyphen/>
        <w:t>19 entre la presidenta de la Comisión y el director ejecutivo de Pfizer, que la Comisión se ha negado a divulgar posteriormente; que, en julio de 2022, la Defensora del Pueblo consideró que esta negativa constituía un caso de mala administración</w:t>
      </w:r>
      <w:r w:rsidRPr="00A751B8">
        <w:rPr>
          <w:vertAlign w:val="superscript"/>
        </w:rPr>
        <w:footnoteReference w:id="46"/>
      </w:r>
      <w:r w:rsidRPr="00A751B8">
        <w:t>;</w:t>
      </w:r>
    </w:p>
    <w:p w14:paraId="65693D39" w14:textId="77777777" w:rsidR="00697A02" w:rsidRPr="00A751B8" w:rsidRDefault="00697A02">
      <w:pPr>
        <w:pStyle w:val="NormalHanging12a"/>
        <w:rPr>
          <w:szCs w:val="24"/>
        </w:rPr>
      </w:pPr>
      <w:r w:rsidRPr="00A751B8">
        <w:t>AB.</w:t>
      </w:r>
      <w:r w:rsidRPr="00A751B8">
        <w:tab/>
        <w:t>Considerando que, durante varios años, el Estado de Derecho se ha ido deteriorando en varios Estados miembros como consecuencia de las acciones sistemáticas de sus Gobiernos, en particular en Hungría y Polonia, que tienen procedimientos en curso con arreglo al artículo 7, apartado 1, del TUE contra ellos; que la preocupación por el Estado de Derecho y los derechos fundamentales va en rápido aumento en otros Estados miembros; que es crucial garantizar que los Estados miembros cumplan los compromisos de la OSCE y otras obligaciones y normas internacionales en materia de elecciones democráticas, incluida la Comisión de Venecia;</w:t>
      </w:r>
    </w:p>
    <w:p w14:paraId="115EA78D" w14:textId="77777777" w:rsidR="00697A02" w:rsidRPr="00A751B8" w:rsidRDefault="00697A02">
      <w:pPr>
        <w:pStyle w:val="NormalHanging12a"/>
        <w:rPr>
          <w:szCs w:val="24"/>
        </w:rPr>
      </w:pPr>
      <w:r w:rsidRPr="00A751B8">
        <w:t>AC.</w:t>
      </w:r>
      <w:r w:rsidRPr="00A751B8">
        <w:tab/>
        <w:t>Considerando que la pobreza es una forma de injusticia estructural y social, basada en las desigualdades de género, de discriminación y de desigualdad de oportunidades en el acceso a bienes y servicios, y que da lugar a la vulneración de derechos fundamentales; que la lucha contra la pobreza exige tener en cuenta un enfoque interseccional y prestar especial atención a las personas en situaciones vulnerables, como los niños, las mujeres, las comunidades racializadas y étnicas, las personas LGBTIQ +, los migrantes y solicitantes de asilo y las personas con discapacidad, así como a las personas procedentes de entornos desfavorecidos desde el punto de vista socioeconómico;</w:t>
      </w:r>
    </w:p>
    <w:p w14:paraId="774E78A7" w14:textId="77777777" w:rsidR="00697A02" w:rsidRPr="00A751B8" w:rsidRDefault="00697A02">
      <w:pPr>
        <w:pStyle w:val="NormalHanging12a"/>
        <w:rPr>
          <w:szCs w:val="24"/>
        </w:rPr>
      </w:pPr>
      <w:r w:rsidRPr="00A751B8">
        <w:t>AD.</w:t>
      </w:r>
      <w:r w:rsidRPr="00A751B8">
        <w:tab/>
        <w:t>Considerando que, según el informe de la Agencia Europea de Medio Ambiente sobre la calidad del aire en Europa en 2022, solo en 2020 se produjeron en la Unión 238 000 muertes prematuras debido a la exposición a la contaminación atmosférica de partículas finas;</w:t>
      </w:r>
    </w:p>
    <w:p w14:paraId="187793DC" w14:textId="77777777" w:rsidR="00697A02" w:rsidRPr="00A751B8" w:rsidRDefault="00697A02" w:rsidP="00A751B8">
      <w:pPr>
        <w:pStyle w:val="Normal12a24b"/>
        <w:spacing w:before="0"/>
        <w:rPr>
          <w:i/>
        </w:rPr>
      </w:pPr>
      <w:r w:rsidRPr="00A751B8">
        <w:rPr>
          <w:rStyle w:val="Bold"/>
          <w:i/>
        </w:rPr>
        <w:t>El Estado de Derecho y el acceso a la justicia</w:t>
      </w:r>
    </w:p>
    <w:p w14:paraId="3E7015B2" w14:textId="77777777" w:rsidR="00697A02" w:rsidRPr="00A751B8" w:rsidRDefault="00697A02" w:rsidP="007408E7">
      <w:pPr>
        <w:pStyle w:val="NormalHanging12a"/>
      </w:pPr>
      <w:r w:rsidRPr="00A751B8">
        <w:t>1.</w:t>
      </w:r>
      <w:r w:rsidRPr="00A751B8">
        <w:tab/>
        <w:t>Recuerda la importancia de la libertad de los medios de comunicación para defender la democracia, exigir responsabilidades a las instituciones públicas y privadas y permitir a los ciudadanos acceder a información basada en hechos; subraya la importancia del pluralismo de los medios de comunicación y la libertad de prensa; condena enérgicamente el hecho de que en 2022 se alcanzara un nuevo récord mundial del número de periodistas encarcelados, y pide que se haga justicia en relación con el asesinato de periodistas de investigación en la Unión;</w:t>
      </w:r>
    </w:p>
    <w:p w14:paraId="6CFD1F09" w14:textId="3849C449" w:rsidR="00697A02" w:rsidRPr="00A751B8" w:rsidRDefault="00697A02" w:rsidP="00F04ABD">
      <w:pPr>
        <w:pStyle w:val="NormalHanging12a"/>
        <w:rPr>
          <w:szCs w:val="24"/>
        </w:rPr>
      </w:pPr>
      <w:r w:rsidRPr="00A751B8">
        <w:t>2.</w:t>
      </w:r>
      <w:r w:rsidRPr="00A751B8">
        <w:tab/>
      </w:r>
      <w:r w:rsidR="00A751B8">
        <w:t>P</w:t>
      </w:r>
      <w:r w:rsidR="00A751B8" w:rsidRPr="00A751B8">
        <w:t xml:space="preserve">ide </w:t>
      </w:r>
      <w:r w:rsidRPr="00A751B8">
        <w:t>a los Estados miembros que apliquen la Recomendación de la Comisión sobre la protección de periodistas y defensores de los derechos humanos que participan en la esfera pública frente a procedimientos judiciales manifiestamente infundados o abusivos y, en particular, que eliminen las penas de prisión por difamación, despenalicen la difamación y, en su lugar, favorezcan los procedimientos civiles o administrativos; insta a la Comisión a que aborde la gravedad de la cuestión de las DECPP incoadas por procedimientos penales mediante la presentación de una propuesta de medidas que garanticen que la difamación, la injuria y la calumnia, que constituyen delitos penales en la mayoría de los Estados miembros, no puedan utilizarse en las DECPP mediante la acusación pública o particular; subraya que las DECPP son tan solo un método utilizado para silenciar a los periodistas, y pide a la Comisión que siga investigando otras prácticas e intervenga al respecto; pide a los políticos que condenen públicamente las amenazas y los ataques contra periodistas;</w:t>
      </w:r>
    </w:p>
    <w:p w14:paraId="459C8026" w14:textId="77777777" w:rsidR="00697A02" w:rsidRPr="00A751B8" w:rsidRDefault="00697A02">
      <w:pPr>
        <w:pStyle w:val="NormalHanging12a"/>
        <w:rPr>
          <w:szCs w:val="24"/>
        </w:rPr>
      </w:pPr>
      <w:r w:rsidRPr="00A751B8">
        <w:t>3.</w:t>
      </w:r>
      <w:r w:rsidRPr="00A751B8">
        <w:tab/>
        <w:t>Reitera su preocupación por la violación de los derechos fundamentales en relación con el uso de Pegasus y programas espía equivalentes para atacar a personas y personalidades de alto nivel, como periodistas, blogueros, defensores de los derechos humanos, políticos u otros agentes; destaca que el uso ilegítimo de programas espía por los gobiernos nacionales afecta de forma directa e indirecta a la integridad del proceso de toma de decisiones, socavando así la democracia de la Unión y resaltando la urgente necesidad de una mayor transparencia y responsabilidad jurídica del sector de la vigilancia;</w:t>
      </w:r>
    </w:p>
    <w:p w14:paraId="1FED1097" w14:textId="77777777" w:rsidR="00697A02" w:rsidRPr="00A751B8" w:rsidRDefault="00697A02">
      <w:pPr>
        <w:pStyle w:val="NormalHanging12a"/>
        <w:rPr>
          <w:szCs w:val="24"/>
        </w:rPr>
      </w:pPr>
      <w:r w:rsidRPr="00A751B8">
        <w:t>4.</w:t>
      </w:r>
      <w:r w:rsidRPr="00A751B8">
        <w:tab/>
        <w:t>Pide a los Estados miembros, en particular a Grecia, Hungría, Polonia, España y Chipre, que sigan sus respectivas recomendaciones del informe sobre el uso de Pegasus y programas espía de vigilancia equivalentes; recuerda sus recomendaciones de que se respeten las normas comunes de la Unión, ya que los derechos individuales no pueden ponerse en peligro permitiendo un acceso sin restricciones a la vigilancia;</w:t>
      </w:r>
    </w:p>
    <w:p w14:paraId="64A24213" w14:textId="77777777" w:rsidR="00697A02" w:rsidRPr="00A751B8" w:rsidRDefault="00697A02">
      <w:pPr>
        <w:pStyle w:val="NormalHanging12a"/>
        <w:rPr>
          <w:szCs w:val="24"/>
        </w:rPr>
      </w:pPr>
      <w:r w:rsidRPr="00A751B8">
        <w:t>5.</w:t>
      </w:r>
      <w:r w:rsidRPr="00A751B8">
        <w:tab/>
        <w:t>Insta a los Estados miembros a que elaboren planes de acción nacionales para la seguridad de los periodistas, creen un entorno favorable para que prosperen los medios de comunicación plurales e independientes y desempeñen su papel esencial de vigilancia para responsabilizar a los Gobiernos y otros agentes;</w:t>
      </w:r>
    </w:p>
    <w:p w14:paraId="3FCDCF35" w14:textId="77777777" w:rsidR="00697A02" w:rsidRPr="00A751B8" w:rsidRDefault="00697A02">
      <w:pPr>
        <w:pStyle w:val="NormalHanging12a"/>
        <w:rPr>
          <w:szCs w:val="24"/>
        </w:rPr>
      </w:pPr>
      <w:r w:rsidRPr="00A751B8">
        <w:t>6.</w:t>
      </w:r>
      <w:r w:rsidRPr="00A751B8">
        <w:tab/>
        <w:t xml:space="preserve">Recuerda que el comercio y el uso de programas espía deben regularse estrictamente; subraya que el uso de programas espía solo debe autorizarse en casos excepcionales y específicos con respecto a las investigaciones sobre una lista limitada y cerrada de delitos graves definidos de forma clara y precisa, debe justificarse caso por caso, cumplir la Carta y otros actos pertinentes del Derecho de la Unión, y ser ordenado </w:t>
      </w:r>
      <w:r w:rsidRPr="00A751B8">
        <w:rPr>
          <w:i/>
          <w:iCs/>
        </w:rPr>
        <w:t>ex ante</w:t>
      </w:r>
      <w:r w:rsidRPr="00A751B8">
        <w:t xml:space="preserve"> por una autoridad judicial independiente e imparcial con medidas correctoras eficaces, conocidas y accesibles; destaca que toda vigilancia con programas espía debe ser examinada por una autoridad de supervisión independiente </w:t>
      </w:r>
      <w:r w:rsidRPr="00A751B8">
        <w:rPr>
          <w:i/>
          <w:iCs/>
        </w:rPr>
        <w:t>ex post</w:t>
      </w:r>
      <w:r w:rsidRPr="00A751B8">
        <w:t>, que debe garantizar que toda vigilancia autorizada se lleve a cabo respetando los derechos fundamentales y de conformidad con las condiciones establecidas por el Tribunal de Justicia, el TEDH y la Comisión de Venecia; insiste en que las personas contra las que se dirigen programas espía tengan acceso a vías de recurso reales y significativas;</w:t>
      </w:r>
    </w:p>
    <w:p w14:paraId="55930B34" w14:textId="77777777" w:rsidR="00697A02" w:rsidRPr="00A751B8" w:rsidRDefault="00697A02">
      <w:pPr>
        <w:pStyle w:val="NormalHanging12a"/>
        <w:rPr>
          <w:szCs w:val="24"/>
        </w:rPr>
      </w:pPr>
      <w:r w:rsidRPr="00A751B8">
        <w:t>7.</w:t>
      </w:r>
      <w:r w:rsidRPr="00A751B8">
        <w:tab/>
        <w:t>Resalta que la corrupción es incompatible con los valores de la democracia y el Estado de Derecho, ya que ahonda las desigualdades y erosiona la confianza de los ciudadanos en la buena gobernanza; expresa su profunda preocupación por el creciente nivel de corrupción en varios Estados miembros, en particular de los casos en los que se ven involucrados funcionarios y políticos de alto nivel; reitera su condena de los supuestos casos de corrupción en los que están implicados diputados y antiguos diputados al Parlamento Europeo; subraya, en este sentido, la aprobación de modificaciones de su Reglamento interno para reforzar su integridad, independencia y rendición de cuentas; expresa su preocupación por los niveles dispares de aplicación del marco de lucha contra la corrupción de la Unión en los Estados miembros; pide que la regla sea la tolerancia cero con la corrupción; pide que se cree un órgano independiente de la Unión encargado de las cuestiones de ética; pide a los Estados miembros que garanticen la plena aplicación de la Directiva sobre la protección de los denunciantes</w:t>
      </w:r>
      <w:r w:rsidRPr="00A751B8">
        <w:rPr>
          <w:rStyle w:val="FootnoteReference"/>
        </w:rPr>
        <w:footnoteReference w:id="47"/>
      </w:r>
      <w:r w:rsidRPr="00A751B8">
        <w:t>;</w:t>
      </w:r>
    </w:p>
    <w:p w14:paraId="0521B9C3" w14:textId="77777777" w:rsidR="00697A02" w:rsidRPr="00A751B8" w:rsidRDefault="00697A02">
      <w:pPr>
        <w:pStyle w:val="NormalHanging12a"/>
      </w:pPr>
      <w:r w:rsidRPr="00A751B8">
        <w:t>8.</w:t>
      </w:r>
      <w:r w:rsidRPr="00A751B8">
        <w:tab/>
        <w:t>Subraya que la independencia judicial y los controles y equilibrios efectivos, que pueden variar de un Estado miembro a otro, son elementos clave del Estado de Derecho; resalta que subsisten serias preocupaciones en cuanto al Estado de Derecho y la independencia del poder judicial en varios Estados miembros; condena cualquier intento de los Gobiernos de los Estados miembros de ejercer influencia política o control sobre la toma de decisiones independiente del poder judicial, ya sea de forma directa o por medios organizativos;</w:t>
      </w:r>
    </w:p>
    <w:p w14:paraId="79E02895" w14:textId="77777777" w:rsidR="00697A02" w:rsidRPr="00A751B8" w:rsidRDefault="00697A02">
      <w:pPr>
        <w:pStyle w:val="NormalHanging12a"/>
        <w:rPr>
          <w:szCs w:val="24"/>
        </w:rPr>
      </w:pPr>
      <w:r w:rsidRPr="00A751B8">
        <w:t>9.</w:t>
      </w:r>
      <w:r w:rsidRPr="00A751B8">
        <w:tab/>
        <w:t>Respalda la creación de una estrategia de la Unión para garantizar una acción concreta y coordinada a escala de la Unión, entre otras cosas mediante la creación de un mecanismo de protección de los defensores de los derechos humanos en Europa, basándose en los ejemplos de la política exterior de la Unión, a fin de garantizar la prevención, la asistencia directa y la rendición de cuentas;</w:t>
      </w:r>
    </w:p>
    <w:p w14:paraId="2781C58E" w14:textId="77777777" w:rsidR="00697A02" w:rsidRPr="00A751B8" w:rsidRDefault="00697A02">
      <w:pPr>
        <w:pStyle w:val="NormalHanging12a"/>
      </w:pPr>
      <w:r w:rsidRPr="00A751B8">
        <w:t>10.</w:t>
      </w:r>
      <w:r w:rsidRPr="00A751B8">
        <w:tab/>
        <w:t>Apoya el uso del Mecanismo de Recuperación y Resiliencia y las condiciones horizontales que permiten la congelación de la financiación de la Unión para luchar contra la corrupción y el retroceso del Estado de Derecho en los Estados miembros; destaca que los fondos restringidos a través de diferentes medidas de condicionalidad solo deben desbloquearse una vez que se cumplan las condiciones facilitadoras esenciales; insta a los Estados miembros a que completen las medidas adecuadas para alcanzar los hitos establecidos en sus respectivos planes de recuperación y resiliencia; pide al Consejo Europeo que actúe y que determine si Hungría ha cometido infracciones graves y persistentes de los valores de la Unión con arreglo al artículo 7, apartado 2, del TUE; lamenta profundamente el uso sistemático de las personas LGBTIQ+ como chivos expiatorios; por parte de las autoridades húngaras; subraya que el Consejo comparte la responsabilidad de proteger los valores consagrados en el artículo 2 del TUE y que, de no hacerlo, las consecuencias serían duraderas y potencialmente perjudiciales; insiste en que se respete el papel y las competencias del Parlamento;</w:t>
      </w:r>
    </w:p>
    <w:p w14:paraId="3884A1F1" w14:textId="77777777" w:rsidR="00697A02" w:rsidRPr="00A751B8" w:rsidRDefault="00697A02">
      <w:pPr>
        <w:pStyle w:val="NormalHanging12a"/>
        <w:rPr>
          <w:szCs w:val="24"/>
        </w:rPr>
      </w:pPr>
      <w:r w:rsidRPr="00A751B8">
        <w:t>11.</w:t>
      </w:r>
      <w:r w:rsidRPr="00A751B8">
        <w:tab/>
        <w:t>Lamenta que algunos Estados miembros estén prolongando las medidas del estado de excepción más allá de lo necesario y proporcionado, y adoptando rápidamente normas sin una consulta previa adecuada;</w:t>
      </w:r>
    </w:p>
    <w:p w14:paraId="53456DB8" w14:textId="77777777" w:rsidR="00697A02" w:rsidRPr="00A751B8" w:rsidRDefault="00697A02">
      <w:pPr>
        <w:pStyle w:val="NormalHanging12a"/>
        <w:rPr>
          <w:szCs w:val="24"/>
        </w:rPr>
      </w:pPr>
      <w:r w:rsidRPr="00A751B8">
        <w:t>12.</w:t>
      </w:r>
      <w:r w:rsidRPr="00A751B8">
        <w:tab/>
        <w:t>Reitera la acuciante necesidad de establecer un mecanismo de la Unión para la democracia, el Estado de Derecho y los derechos fundamentales, e insta a la Comisión y al Consejo a que inicien de inmediato las negociaciones con el Parlamento de un acuerdo en este sentido;</w:t>
      </w:r>
    </w:p>
    <w:p w14:paraId="298F1D83" w14:textId="77777777" w:rsidR="00697A02" w:rsidRPr="00A751B8" w:rsidRDefault="00697A02">
      <w:pPr>
        <w:pStyle w:val="NormalHanging12a"/>
        <w:rPr>
          <w:szCs w:val="24"/>
        </w:rPr>
      </w:pPr>
      <w:r w:rsidRPr="00A751B8">
        <w:t>13.</w:t>
      </w:r>
      <w:r w:rsidRPr="00A751B8">
        <w:tab/>
        <w:t>Acoge con satisfacción la introducción de la radiodifusión y la retransmisión en directo en 2022 por parte del Tribunal de Justicia para facilitar el acceso parcial del público a su actividad judicial;</w:t>
      </w:r>
    </w:p>
    <w:p w14:paraId="726BF31E" w14:textId="77777777" w:rsidR="00697A02" w:rsidRPr="00A751B8" w:rsidRDefault="00697A02" w:rsidP="00A751B8">
      <w:pPr>
        <w:pStyle w:val="Normal12a24b"/>
        <w:spacing w:before="0"/>
        <w:rPr>
          <w:i/>
        </w:rPr>
      </w:pPr>
      <w:r w:rsidRPr="00A751B8">
        <w:rPr>
          <w:rStyle w:val="Bold"/>
          <w:i/>
        </w:rPr>
        <w:t>Libertades</w:t>
      </w:r>
    </w:p>
    <w:p w14:paraId="325ABF82" w14:textId="77777777" w:rsidR="00697A02" w:rsidRPr="00A751B8" w:rsidRDefault="00697A02" w:rsidP="007408E7">
      <w:pPr>
        <w:pStyle w:val="NormalHanging12a"/>
        <w:rPr>
          <w:szCs w:val="24"/>
        </w:rPr>
      </w:pPr>
      <w:r w:rsidRPr="00A751B8">
        <w:t>14.</w:t>
      </w:r>
      <w:r w:rsidRPr="00A751B8">
        <w:tab/>
        <w:t>Manifiesta su profunda preocupación por las crecientes amenazas a las libertades de asociación, expresión y reunión; reitera que el derecho a la reunión pacífica solo puede restringirse cuando así lo disponga la ley y cuando sea necesario y proporcionado para proteger un interés general reconocido por la Unión o los derechos y libertades de otros; condena el uso, en algunos casos, de una intervención violenta y desproporcionada de las autoridades policiales durante protestas pacíficas y condena los casos de detenciones masivas arbitrarias de posibles manifestantes; anima a las autoridades nacionales competentes a que garanticen una investigación transparente, imparcial, independiente y eficaz cuando se sospeche o se haya alegado el uso de una fuerza desproporcionada; pide a los Estados miembros que utilicen prácticas alternativas para mantener el orden público que ya han demostrado su eficacia en otros Estados miembros;</w:t>
      </w:r>
    </w:p>
    <w:p w14:paraId="5E71B092" w14:textId="77777777" w:rsidR="00697A02" w:rsidRPr="00A751B8" w:rsidRDefault="00697A02" w:rsidP="007408E7">
      <w:pPr>
        <w:pStyle w:val="NormalHanging12a"/>
      </w:pPr>
      <w:r w:rsidRPr="00A751B8">
        <w:t>15.</w:t>
      </w:r>
      <w:r w:rsidRPr="00A751B8">
        <w:tab/>
        <w:t>Hace hincapié en que, para garantizar el derecho a la libertad de expresión e información, que constituye la base de toda democracia, la información debe ser accesible y diversa a escala universal; subraya que debe garantizarse la libertad artística; resalta que la desinformación puede perturbar en gran medida el funcionamiento de las sociedades, economías y sistemas políticos democráticos; reitera la necesidad de incluir la alfabetización digital y sobre medios de comunicación en la educación cívica, a fin de combatir la difusión de desinformación; reitera su recomendación de tomar medidas efectivas para combatir la desinformación procedente de potencias extranjeras maliciosas, en particular a la vista de las próximas elecciones europeas; resalta que un panorama de medios de comunicación independientes y pluralistas, tanto en línea como fuera de línea es indispensable para contrarrestar de forma efectiva la desinformación y la propaganda, por lo que debe promoverse, entre otras cosas mediante medidas eficaces contra la concentración de los medios de comunicación;</w:t>
      </w:r>
    </w:p>
    <w:p w14:paraId="4A8FC2C8" w14:textId="77777777" w:rsidR="00697A02" w:rsidRPr="00A751B8" w:rsidRDefault="00697A02" w:rsidP="00F04ABD">
      <w:pPr>
        <w:pStyle w:val="NormalHanging12a"/>
        <w:rPr>
          <w:szCs w:val="24"/>
        </w:rPr>
      </w:pPr>
      <w:r w:rsidRPr="00A751B8">
        <w:t>16.</w:t>
      </w:r>
      <w:r w:rsidRPr="00A751B8">
        <w:tab/>
        <w:t xml:space="preserve"> Destaca que, con arreglo al Derecho de la Unión, las autoridades u organismos reguladores nacionales deben ser funcionalmente independientes de sus gobiernos y no pedir ni aceptar instrucciones de ningún otro organismo; observa que la independencia política de la regulación de los medios de comunicación y la supervisión por los Estados miembros y la Comisión, la protección de la independencia editorial en toda la Unión, la protección de los periodistas frente a la vigilancia y la protección de las fuentes periodísticas revisten una importancia fundamental; pide, a este respecto, que se adopte una Ley Europea de Libertad de los Medios de Comunicación sólida para garantizar la independencia, la pluralidad y la libertad de los medios de comunicación en toda la Unión, asegurando la transparencia sobre la propiedad de dichos medios y la financiación;</w:t>
      </w:r>
    </w:p>
    <w:p w14:paraId="08304229" w14:textId="77777777" w:rsidR="00697A02" w:rsidRPr="00A751B8" w:rsidRDefault="00697A02">
      <w:pPr>
        <w:pStyle w:val="NormalHanging12a"/>
        <w:rPr>
          <w:szCs w:val="24"/>
        </w:rPr>
      </w:pPr>
      <w:r w:rsidRPr="00A751B8">
        <w:t>17.</w:t>
      </w:r>
      <w:r w:rsidRPr="00A751B8">
        <w:tab/>
        <w:t>Subraya el papel esencial de las organizaciones de la sociedad civil en la promoción de la ciudadanía activa, los derechos fundamentales y la participación democrática en Europa; insta a la Comisión a presentar una estrategia y a establecer unas normas comunes para proteger a las organizaciones de la sociedad civil en todos los Estados miembros para promover un entorno normativo y político sin efectos intimidatorios, amenazas y ataques, y para proporcionar a las dichas organizaciones un acceso sostenible y no discriminatorio a recursos y apoyar su participación en el diálogo civil y en la elaboración de políticas; lamenta que la situación de los defensores de los derechos humanos en la Unión se haya deteriorado de forma alarmante en los últimos años; insta a la Comisión y a los Estados miembros a que adopten las medidas necesarias para garantizar que los defensores de los derechos humanos puedan trabajar sin obstáculos ni inseguridad;</w:t>
      </w:r>
    </w:p>
    <w:p w14:paraId="3E66C7A8" w14:textId="77777777" w:rsidR="00697A02" w:rsidRPr="00A751B8" w:rsidRDefault="00697A02">
      <w:pPr>
        <w:pStyle w:val="NormalHanging12a"/>
        <w:rPr>
          <w:szCs w:val="24"/>
        </w:rPr>
      </w:pPr>
      <w:r w:rsidRPr="00A751B8">
        <w:t>18.</w:t>
      </w:r>
      <w:r w:rsidRPr="00A751B8">
        <w:tab/>
        <w:t>Recuerda que, de conformidad con el artículo 6 de la Carta, toda persona tiene derecho a la libertad y a la seguridad en la Unión, lo que significa que todas las personas deben estar protegidas en la Unión frente a detenciones ilegales y arbitrarias; pide a los Estados miembros que sigan la Recomendación de la Comisión sobre los derechos procesales de las personas sospechosas o acusadas, a fin de mejorar las condiciones de reclusión y garantizar así una alta protección del derecho a la libertad y a la seguridad;</w:t>
      </w:r>
    </w:p>
    <w:p w14:paraId="08064AAE" w14:textId="77777777" w:rsidR="00697A02" w:rsidRPr="00A751B8" w:rsidRDefault="00697A02">
      <w:pPr>
        <w:pStyle w:val="NormalHanging12a"/>
      </w:pPr>
      <w:r w:rsidRPr="00A751B8">
        <w:t>19.</w:t>
      </w:r>
      <w:r w:rsidRPr="00A751B8">
        <w:tab/>
        <w:t xml:space="preserve">Condena el aumento de la discriminación por motivos de religión o creencia y los incidentes racistas en la Unión; pide a la Comisión y a los Estados miembros que adopten medidas decisivas al respecto, también a escala internacional; recuerda asimismo que, de conformidad con el artículo 10 de la Carta, toda persona tiene derecho a la libertad de pensamiento, de conciencia y de religión; lamenta que los incidentes de discriminación y los delitos racistas y xenófobos no se denuncien a menudo a las autoridades, lo que da lugar a una impunidad </w:t>
      </w:r>
      <w:r w:rsidRPr="00A751B8">
        <w:rPr>
          <w:i/>
          <w:iCs/>
        </w:rPr>
        <w:t>de facto</w:t>
      </w:r>
      <w:r w:rsidRPr="00A751B8">
        <w:t>; lamenta el hecho de que no todos los Estados miembros han transpuesto adecuadamente la Decisión Marco relativa a la lucha contra determinadas formas y manifestaciones de racismo y xenofobia mediante el Derecho penal;</w:t>
      </w:r>
    </w:p>
    <w:p w14:paraId="746BB619" w14:textId="77777777" w:rsidR="00697A02" w:rsidRPr="00A751B8" w:rsidRDefault="00697A02">
      <w:pPr>
        <w:pStyle w:val="NormalHanging12a"/>
        <w:rPr>
          <w:szCs w:val="24"/>
        </w:rPr>
      </w:pPr>
      <w:r w:rsidRPr="00A751B8">
        <w:t>20.</w:t>
      </w:r>
      <w:r w:rsidRPr="00A751B8">
        <w:tab/>
        <w:t>Considera con preocupación el creciente número de incidentes de violencia policial contra la población gitana; pide a los Estados miembros que investiguen rigurosamente estos incidentes para garantizar que la creación o aplicación de medidas represivas y violentas contra las personas o comunidades gitanas no genere impunidad; pide asimismo a los Estados miembros que aborden la cuestión de las grabaciones policiales sesgadas, las denuncias, el enjuiciamiento y las sentencias judiciales, así como el acceso inadecuado de la población gitana a la justicia;</w:t>
      </w:r>
    </w:p>
    <w:p w14:paraId="6335C275" w14:textId="77777777" w:rsidR="00697A02" w:rsidRPr="00A751B8" w:rsidRDefault="00697A02">
      <w:pPr>
        <w:pStyle w:val="NormalHanging12a"/>
        <w:rPr>
          <w:szCs w:val="24"/>
        </w:rPr>
      </w:pPr>
      <w:r w:rsidRPr="00A751B8">
        <w:t>21.</w:t>
      </w:r>
      <w:r w:rsidRPr="00A751B8">
        <w:tab/>
        <w:t>Señala que, debido a la «datificación» de la vida cotidiana y los escándalos relacionados con los datos, el derecho a la protección de los datos personales está adquiriendo cada vez más importancia; reitera su preocupación por la disparidad en la aplicación del Reglamento General de Protección de Datos; apoya las iniciativas para reforzar el proceso legislativo sobre un marco regulador de la Unión en materia de inteligencia artificial que ofrezca garantías sólidas para los derechos fundamentales;</w:t>
      </w:r>
    </w:p>
    <w:p w14:paraId="2071F991" w14:textId="77777777" w:rsidR="00697A02" w:rsidRPr="00A751B8" w:rsidRDefault="00697A02">
      <w:pPr>
        <w:pStyle w:val="NormalHanging12a"/>
      </w:pPr>
      <w:r w:rsidRPr="00A751B8">
        <w:t>22.</w:t>
      </w:r>
      <w:r w:rsidRPr="00A751B8">
        <w:tab/>
        <w:t>Condena enérgicamente las violaciones generalizadas de los derechos fundamentales y el uso de una violencia desproporcionada contra migrantes, también contra refugiados, en las fronteras de la Unión, como detenciones arbitrarias, condiciones de vida inhumanas y falta de acceso a la asistencia sanitaria, retornos ilegales y devoluciones en caliente violentas; manifiesta su gran preocupación por el hecho de que Estados miembros codifiquen el recurso a las devoluciones en caliente en su Derecho nacional; condena todas las leyes de los Estados miembros que minan la protección efectiva de los derechos humanos de los refugiados, solicitantes de asilo y migrantes en tierra y en el mar, así como la criminalización de los trabajadores y activistas humanitarios; resalta que casi una tercera parte de los solicitantes de asilo son niños, y reitera que no se debe permitir el internamiento de menores migrantes;</w:t>
      </w:r>
    </w:p>
    <w:p w14:paraId="4F7FFB34" w14:textId="77777777" w:rsidR="00697A02" w:rsidRPr="00A751B8" w:rsidRDefault="00697A02">
      <w:pPr>
        <w:pStyle w:val="NormalHanging12a"/>
        <w:rPr>
          <w:szCs w:val="24"/>
        </w:rPr>
      </w:pPr>
      <w:r w:rsidRPr="00A751B8">
        <w:t>23.</w:t>
      </w:r>
      <w:r w:rsidRPr="00A751B8">
        <w:tab/>
        <w:t>Pide a la Unión y a los Estados miembros que garanticen el establecimiento de mecanismos de supervisión eficaces para garantizar el respeto de los derechos fundamentales en sus fronteras exteriores, que se apliquen también a la supervisión de las actividades de vigilancia en las fronteras; pide asimismo a la Comisión y a los Estados miembros que garanticen que las personas cuyos datos estén almacenados en las bases de datos de los sistemas de información a gran escala de la Unión sean informadas de sus derechos y tengan acceso a las vías de recurso disponibles;</w:t>
      </w:r>
    </w:p>
    <w:p w14:paraId="7BD4D753" w14:textId="77777777" w:rsidR="00697A02" w:rsidRPr="00A751B8" w:rsidRDefault="00697A02">
      <w:pPr>
        <w:pStyle w:val="NormalHanging12a"/>
        <w:rPr>
          <w:szCs w:val="24"/>
        </w:rPr>
      </w:pPr>
      <w:r w:rsidRPr="00A751B8">
        <w:t>24.</w:t>
      </w:r>
      <w:r w:rsidRPr="00A751B8">
        <w:tab/>
        <w:t>Lamenta profundamente las numerosas muertes de refugiados y migrantes en el mar, que a menudo son víctimas de la trata de seres humanos y tienen que hacer frente a tratos inhumanos y degradantes sin consideración alguna por su seguridad; reitera la obligación, en virtud del Derecho internacional del mar, de ayudar a las personas en peligro y pide urgentemente que se lleven a cabo operaciones de búsqueda y salvamento coordinadas y permanentes con desembarcos rápidos, y de que los Estados miembros adopten todas las medidas posibles para salvar las vidas de las personas en situación de riesgo en el mar; pide que se respete el derecho de asilo de todas las personas rescatadas en el mar, evaluando las circunstancias individuales de cada caso;</w:t>
      </w:r>
    </w:p>
    <w:p w14:paraId="2F557866" w14:textId="77777777" w:rsidR="00697A02" w:rsidRPr="00A751B8" w:rsidRDefault="00697A02">
      <w:pPr>
        <w:pStyle w:val="NormalHanging12a"/>
        <w:rPr>
          <w:szCs w:val="24"/>
        </w:rPr>
      </w:pPr>
      <w:r w:rsidRPr="00A751B8">
        <w:t>25.</w:t>
      </w:r>
      <w:r w:rsidRPr="00A751B8">
        <w:tab/>
        <w:t>Observa que varios Estados miembros utilizan la seguridad nacional como factor determinante de sus políticas interiores, como la política migratoria; resalta que toda medida adoptada sobre la base de la seguridad nacional debe ser necesaria y proporcionada y no socavar los derechos garantizados por la Carta; recuerda que el artículo 19 de la Carta prevé protección en caso de devolución, expulsión o extradición prohibiendo las expulsiones colectivas y, por lo tanto, exige evaluaciones individuales y prohíbe la denegación de solicitudes de protección internacional basadas únicamente en una nacionalidad determinada;</w:t>
      </w:r>
    </w:p>
    <w:p w14:paraId="7CF8B499" w14:textId="77777777" w:rsidR="00697A02" w:rsidRPr="00A751B8" w:rsidRDefault="00697A02">
      <w:pPr>
        <w:pStyle w:val="NormalHanging12a"/>
        <w:rPr>
          <w:szCs w:val="24"/>
        </w:rPr>
      </w:pPr>
      <w:r w:rsidRPr="00A751B8">
        <w:t>26.</w:t>
      </w:r>
      <w:r w:rsidRPr="00A751B8">
        <w:tab/>
        <w:t>Celebra la activación de la Directiva de protección temporal</w:t>
      </w:r>
      <w:r w:rsidRPr="00A751B8">
        <w:rPr>
          <w:rStyle w:val="FootnoteReference"/>
        </w:rPr>
        <w:footnoteReference w:id="48"/>
      </w:r>
      <w:r w:rsidRPr="00A751B8">
        <w:t xml:space="preserve"> de la Unión a raíz de la guerra en Ucrania, que tiene por objetivo garantizar el acceso a la protección para los refugiados y los solicitantes de asilo de cualquier procedencia; recuerda que el acceso al alojamiento, el empleo, la educación, la asistencia sanitaria y los servicios de bienestar social con arreglo a esta Directiva debe tener en cuenta el enfoque de género; deplora la desigualdad de trato, la discriminación racial y la violencia a que se enfrentan los nacionales no ucranianos que huyen del conflicto, en particular las personas de color y las personas LGBTIQ+; lamenta que se apliquen en la Unión dos varas de medir a los migrantes y los refugiados, y pide que se ponga fin a esta situación;</w:t>
      </w:r>
    </w:p>
    <w:p w14:paraId="6C353FB9" w14:textId="77777777" w:rsidR="00697A02" w:rsidRPr="00A751B8" w:rsidRDefault="00697A02">
      <w:pPr>
        <w:pStyle w:val="NormalHanging12a"/>
        <w:rPr>
          <w:szCs w:val="24"/>
        </w:rPr>
      </w:pPr>
      <w:r w:rsidRPr="00A751B8">
        <w:t>27.</w:t>
      </w:r>
      <w:r w:rsidRPr="00A751B8">
        <w:tab/>
        <w:t>Celebra la Recomendación del Comité de Ministros del Consejo de Europa sobre la protección de los derechos de las mujeres y niñas migrantes, refugiadas y solicitantes de asilo, que pide a los Estados miembros que adopten medidas para prevenir la discriminación contra esas mujeres, entre otras cosas, fomentando el acceso al empleo y a la asistencia sanitaria sexual y reproductiva y facilitando el acceso a los servicios y a la justicia para las supervivientes de la violencia de género</w:t>
      </w:r>
      <w:r w:rsidRPr="00A751B8">
        <w:rPr>
          <w:vertAlign w:val="superscript"/>
        </w:rPr>
        <w:footnoteReference w:id="49"/>
      </w:r>
      <w:r w:rsidRPr="00A751B8">
        <w:t>;</w:t>
      </w:r>
    </w:p>
    <w:p w14:paraId="51DA9D02" w14:textId="77777777" w:rsidR="00697A02" w:rsidRPr="00A751B8" w:rsidRDefault="00697A02">
      <w:pPr>
        <w:pStyle w:val="NormalHanging12a"/>
        <w:rPr>
          <w:szCs w:val="24"/>
        </w:rPr>
      </w:pPr>
      <w:r w:rsidRPr="00A751B8">
        <w:t>28.</w:t>
      </w:r>
      <w:r w:rsidRPr="00A751B8">
        <w:tab/>
        <w:t>Observa con preocupación la gran población de personas apátridas que hay en la Unión, en especial de niños nacidos apátridas; pide a la Comisión que desarrolle una estrategia y un plan de acción globales para abordar la apatridia en la Unión y proteger a estas personas de la expulsión; pide a los Estados miembros que identifiquen, reconozcan y protejan adecuadamente a las personas apátridas, abordando las vulnerabilidades específicas de los apátridas;</w:t>
      </w:r>
    </w:p>
    <w:p w14:paraId="4AC638DB" w14:textId="77777777" w:rsidR="00697A02" w:rsidRPr="00A751B8" w:rsidRDefault="00697A02" w:rsidP="00A751B8">
      <w:pPr>
        <w:pStyle w:val="Normal12a24b"/>
        <w:spacing w:before="0"/>
        <w:rPr>
          <w:i/>
        </w:rPr>
      </w:pPr>
      <w:r w:rsidRPr="00A751B8">
        <w:rPr>
          <w:rStyle w:val="Bold"/>
          <w:i/>
        </w:rPr>
        <w:t>Igualdad y dignidad</w:t>
      </w:r>
    </w:p>
    <w:p w14:paraId="31800F50" w14:textId="77777777" w:rsidR="00697A02" w:rsidRPr="00A751B8" w:rsidRDefault="00697A02" w:rsidP="007408E7">
      <w:pPr>
        <w:pStyle w:val="NormalHanging12a"/>
      </w:pPr>
      <w:r w:rsidRPr="00A751B8">
        <w:t>29.</w:t>
      </w:r>
      <w:r w:rsidRPr="00A751B8">
        <w:tab/>
        <w:t>Pide a la Comisión que garantice el respeto del derecho a la no discriminación y la igualdad de trato en toda la Unión; lamenta el hecho de que la propuesta de Directiva horizontal contra la discriminación siga bloqueada en el Consejo desde 2008; considera que cualquier actualización de esta propuesta por parte de la Comisión debe basarse en la posición del Parlamento, abordar la discriminación interseccional y prohibir explícitamente la discriminación por cualquier combinación de motivos enumerados en la Carta; lamenta que el Consejo haya ignorado estas peticiones e insta al Consejo a que las integre en su mandato y adopte todas las medidas adecuadas para luchar contra la discriminación en la Unión;</w:t>
      </w:r>
    </w:p>
    <w:p w14:paraId="18D83D2B" w14:textId="77777777" w:rsidR="00697A02" w:rsidRPr="00A751B8" w:rsidRDefault="00697A02" w:rsidP="00F04ABD">
      <w:pPr>
        <w:pStyle w:val="NormalHanging12a"/>
        <w:rPr>
          <w:szCs w:val="24"/>
        </w:rPr>
      </w:pPr>
      <w:r w:rsidRPr="00A751B8">
        <w:t>30.</w:t>
      </w:r>
      <w:r w:rsidRPr="00A751B8">
        <w:tab/>
        <w:t>Pide a la Comisión que supervise la aplicación de los planes de acción nacionales contra el racismo por los Estados miembros y del Plan de Acción de la UE Antirracismo, y garantice un seguimiento adecuado de estos; insta asimismo a la Comisión a que incorpore la lucha contra el racismo y la discriminación en todas las políticas de la Unión; pide a las próximas presidencias del Consejo que consideren seriamente la posibilidad de establecer una configuración del Consejo sobre igualdad de género e igualdad;</w:t>
      </w:r>
    </w:p>
    <w:p w14:paraId="3AAF4A93" w14:textId="77777777" w:rsidR="00697A02" w:rsidRPr="00A751B8" w:rsidRDefault="00697A02">
      <w:pPr>
        <w:pStyle w:val="NormalHanging12a"/>
        <w:rPr>
          <w:szCs w:val="24"/>
        </w:rPr>
      </w:pPr>
      <w:r w:rsidRPr="00A751B8">
        <w:t>31.</w:t>
      </w:r>
      <w:r w:rsidRPr="00A751B8">
        <w:tab/>
        <w:t>Pide a la Comisión y a los Estados miembros que combatan la discriminación racial en todos los ámbitos de la sociedad, con especial énfasis en la educación y la prevención de la segregación escolar, mediante medidas legislativas y políticas eficaces, tanto en los Estados miembros como en los países de la ampliación;</w:t>
      </w:r>
    </w:p>
    <w:p w14:paraId="71CCCCD4" w14:textId="77777777" w:rsidR="00697A02" w:rsidRPr="00A751B8" w:rsidRDefault="00697A02">
      <w:pPr>
        <w:pStyle w:val="NormalHanging12a"/>
        <w:rPr>
          <w:szCs w:val="24"/>
        </w:rPr>
      </w:pPr>
      <w:r w:rsidRPr="00A751B8">
        <w:t>32.</w:t>
      </w:r>
      <w:r w:rsidRPr="00A751B8">
        <w:tab/>
        <w:t xml:space="preserve">Recuerda, en relación con la digitalización, que debe prestarse especial atención a los sesgos discriminatorios que se están introduciendo en las nuevas tecnologías y que debe exigirse a los desarrolladores e implementadores que faciliten información de acceso público sobre la manera en que se forman estos sistemas; pide a la Comisión y a los Estados miembros que adopten medidas para prevenir que nuevas tecnologías, como la inteligencia artificial, agraven la discriminación, las desigualdades existentes y la pobreza; pide a la Comisión y a los Estados miembros que garanticen que los sistemas de inteligencia artificial se rijan por los principios de transparencia, explicabilidad, equidad y rendición de cuentas, y que se realice una evaluación de impacto en materia de derechos fundamentales; pide asimismo a la Comisión y a los Estados miembros que colmen las brechas de género y de diversidad existente en los sectores de las tecnologías de la información y de las comunicaciones (TIC) y las ciencias, tecnologías, ingenierías y matemáticas (CTIM), en particular en el desarrollo de nuevas tecnologías, especialmente, en los puestos de toma de decisiones; </w:t>
      </w:r>
    </w:p>
    <w:p w14:paraId="58DAE2A4" w14:textId="77777777" w:rsidR="00697A02" w:rsidRPr="00A751B8" w:rsidRDefault="00697A02">
      <w:pPr>
        <w:pStyle w:val="NormalHanging12a"/>
        <w:rPr>
          <w:szCs w:val="24"/>
        </w:rPr>
      </w:pPr>
      <w:r w:rsidRPr="00A751B8">
        <w:t>33.</w:t>
      </w:r>
      <w:r w:rsidRPr="00A751B8">
        <w:tab/>
        <w:t>Recuerda la importancia de que los niños pertenecientes a minorías nacionales puedan encontrar centros escolares específicos que ofrezcan educación en su lengua; alienta la inclusión de representantes de las minorías nacionales en los procesos de toma de decisiones que afectan a sus sistemas educativos;</w:t>
      </w:r>
    </w:p>
    <w:p w14:paraId="603590B5" w14:textId="77777777" w:rsidR="00697A02" w:rsidRPr="00A751B8" w:rsidRDefault="00697A02">
      <w:pPr>
        <w:pStyle w:val="NormalHanging12a"/>
      </w:pPr>
      <w:r w:rsidRPr="00A751B8">
        <w:t>34.</w:t>
      </w:r>
      <w:r w:rsidRPr="00A751B8">
        <w:tab/>
        <w:t>Recuerda la elevada prevalencia de la violencia de género en todos los Estados miembros de la Unión; condena enérgicamente el rápido retroceso de los derechos de las mujeres y de las personas LGBTIQ+ en varios Estados miembros; condena enérgicamente, asimismo, la denegación del acceso al aborto seguro y legal, puesto que se trata de una forma de violencia de género; resalta que el TEDH ha resuelto que las leyes restrictivas del aborto y la falta de aplicación vulneran el derecho de la mujer a su autonomía e integridad físicas; reitera su condena de la ley polaca que impone una prohibición casi total del aborto; recuerda que no se debe perseguir a los ciudadanos que ayudan a las personas que acceden a servicios de aborto cuando este no está disponible libre y legalmente; reitera su petición de que se incluya en la Carta el derecho al aborto;</w:t>
      </w:r>
    </w:p>
    <w:p w14:paraId="01FD5583" w14:textId="77777777" w:rsidR="00697A02" w:rsidRPr="00A751B8" w:rsidRDefault="00697A02">
      <w:pPr>
        <w:pStyle w:val="NormalHanging12a"/>
        <w:rPr>
          <w:szCs w:val="24"/>
        </w:rPr>
      </w:pPr>
      <w:r w:rsidRPr="00A751B8">
        <w:t>35.</w:t>
      </w:r>
      <w:r w:rsidRPr="00A751B8">
        <w:tab/>
        <w:t>Acoge con satisfacción la propuesta de Directiva de la Comisión para combatir la violencia contra las mujeres y la violencia doméstica y pide la rápida conclusión de las negociaciones y la inclusión de la violencia de género en la lista de delitos de la Unión; resalta que dicha Directiva debe garantizar las obligaciones establecidas en el Convenio de Estambul como norma mínima y proponerse reforzar esas normas para aumentar el nivel de protección; celebra la ratificación por la Unión Europea del Convenio de Estambul, que entró en vigor el 1 de octubre de 2023; pide a Bulgaria, Chequia, Hungría, Letonia, Lituania y Eslovaquia que ratifiquen el Convenio para proteger a las mujeres contra la violencia;</w:t>
      </w:r>
    </w:p>
    <w:p w14:paraId="6EC62953" w14:textId="77777777" w:rsidR="00697A02" w:rsidRPr="00A751B8" w:rsidRDefault="00697A02">
      <w:pPr>
        <w:pStyle w:val="NormalHanging12a"/>
        <w:rPr>
          <w:szCs w:val="24"/>
        </w:rPr>
      </w:pPr>
      <w:r w:rsidRPr="00A751B8">
        <w:t>36.</w:t>
      </w:r>
      <w:r w:rsidRPr="00A751B8">
        <w:tab/>
        <w:t>Subraya que las personas con discapacidad, en particular las mujeres con discapacidad, siguen enfrentándose a una discriminación múltiple e interseccional por razón de su discapacidad, género, raza, etnia, edad, religión o convicciones, orientación sexual, situación migratoria u origen socioeconómico; destaca que las mujeres y las niñas con discapacidad sufren especialmente la violencia de género, que comprende la violencia física, sexual, psicológica y económica; pide a la Comisión y a los Estados miembros que velen por la creación de mecanismos accesibles para denunciar actos de violencia contra personas con discapacidad, así como servicios de apoyo a las víctimas;</w:t>
      </w:r>
    </w:p>
    <w:p w14:paraId="432C51D6" w14:textId="77777777" w:rsidR="00697A02" w:rsidRPr="00A751B8" w:rsidRDefault="00697A02">
      <w:pPr>
        <w:pStyle w:val="NormalHanging12a"/>
        <w:rPr>
          <w:szCs w:val="24"/>
        </w:rPr>
      </w:pPr>
      <w:r w:rsidRPr="00A751B8">
        <w:t>37.</w:t>
      </w:r>
      <w:r w:rsidRPr="00A751B8">
        <w:tab/>
        <w:t>Subraya que los derechos del niño son universales y que todos los niños deben disfrutar de los mismos derechos, sin discriminación, como el derecho al reconocimiento de la filiación, también en el caso de parejas del mismo sexo; celebra la propuesta de la Comisión de un Reglamento relativo a la competencia, al Derecho aplicable, al reconocimiento de las resoluciones y a la aceptación de los documentos públicos en materia de filiación y a la creación de un certificado de filiación europeo, para proteger los derechos de todos los niños garantizando que los lazos de parentesco, en particular, en el caso de progenitores del mismo sexo, establecidos en un Estado miembro sean reconocidos en todos los Estados miembros de la Unión;</w:t>
      </w:r>
    </w:p>
    <w:p w14:paraId="164C52E4" w14:textId="77777777" w:rsidR="00697A02" w:rsidRPr="00A751B8" w:rsidRDefault="00697A02">
      <w:pPr>
        <w:pStyle w:val="NormalHanging12a"/>
        <w:rPr>
          <w:szCs w:val="24"/>
        </w:rPr>
      </w:pPr>
      <w:r w:rsidRPr="00A751B8">
        <w:t>38.</w:t>
      </w:r>
      <w:r w:rsidRPr="00A751B8">
        <w:tab/>
        <w:t>Pide a todos los Estados miembros que tipifiquen como delito la esterilización forzada; reitera su posición de que la Directiva sobre la lucha contra la violencia contra las mujeres y la violencia doméstica debe incluir la esterilización forzada como delito penal con arreglo al artículo 83, apartado 1, del TFUE;</w:t>
      </w:r>
    </w:p>
    <w:p w14:paraId="0914A7A2" w14:textId="77777777" w:rsidR="00697A02" w:rsidRPr="00A751B8" w:rsidRDefault="00697A02">
      <w:pPr>
        <w:pStyle w:val="NormalHanging12a"/>
        <w:rPr>
          <w:szCs w:val="24"/>
        </w:rPr>
      </w:pPr>
      <w:r w:rsidRPr="00A751B8">
        <w:t>39.</w:t>
      </w:r>
      <w:r w:rsidRPr="00A751B8">
        <w:tab/>
        <w:t>Recuerda que los delitos de odio y los discursos de odio motivados por el racismo, la xenofobia, la intolerancia religiosa o por la hostilidad o los prejuicios motivados por la discapacidad de una persona, su orientación sexual, su identidad de género, su expresión de género y sus características sexuales son ejemplos extremos de discriminación; observa que los Estados miembros de la Unión tienen el deber de combatir e investigar los delitos de odio, castigar a los autores y adoptar medidas preventivas; resalta la necesidad de un registro adecuado de los delitos de odio por parte de las autoridades policiales para comprender mejor la naturaleza y la prevalencia de este fenómeno y su impacto en las víctimas, así como para abordar sus causas profundas;</w:t>
      </w:r>
    </w:p>
    <w:p w14:paraId="786FAB2B" w14:textId="77777777" w:rsidR="00697A02" w:rsidRPr="00A751B8" w:rsidRDefault="00697A02">
      <w:pPr>
        <w:pStyle w:val="NormalHanging12a"/>
      </w:pPr>
      <w:r w:rsidRPr="00A751B8">
        <w:t>40.</w:t>
      </w:r>
      <w:r w:rsidRPr="00A751B8">
        <w:tab/>
        <w:t>Acoge con satisfacción la iniciativa de la Comisión de ampliar la lista de delitos de la Unión recogida en el artículo 83, apartado 1, del TFUE a los discursos de odio y los delitos de odio, resaltando la necesidad de garantizar una respuesta fuerte del Derecho penal de la Unión a los discursos de odio y los delitos de odio; deplora el retraso en la aprobación de la iniciativa y reitera su llamamiento al Consejo para que trabaje con diligencia por alcanzar un consenso;</w:t>
      </w:r>
    </w:p>
    <w:p w14:paraId="6F068F19" w14:textId="77777777" w:rsidR="00697A02" w:rsidRPr="00A751B8" w:rsidRDefault="00697A02">
      <w:pPr>
        <w:pStyle w:val="NormalHanging12a"/>
        <w:rPr>
          <w:szCs w:val="24"/>
        </w:rPr>
      </w:pPr>
      <w:r w:rsidRPr="00A751B8">
        <w:t>41.</w:t>
      </w:r>
      <w:r w:rsidRPr="00A751B8">
        <w:tab/>
        <w:t>Recuerda que el Derecho de la Unión en materia de incitación al odio y delitos de odio debe proteger universalmente la dignidad humana y luchar contra el odio y la intolerancia, independientemente de su motivación, prestando especial atención a las personas, grupos y comunidades específicos; condena enérgicamente toda forma de discurso de odio y las campañas de desprestigio en los medios de comunicación públicos contra periodistas, políticos, funcionarios, activistas y otros agentes;</w:t>
      </w:r>
    </w:p>
    <w:p w14:paraId="69ACA34C" w14:textId="77777777" w:rsidR="00697A02" w:rsidRPr="00A751B8" w:rsidRDefault="00697A02">
      <w:pPr>
        <w:pStyle w:val="NormalHanging12a"/>
        <w:rPr>
          <w:szCs w:val="24"/>
        </w:rPr>
      </w:pPr>
      <w:r w:rsidRPr="00A751B8">
        <w:t>42.</w:t>
      </w:r>
      <w:r w:rsidRPr="00A751B8">
        <w:tab/>
        <w:t>Pide a la Comisión que siga eficazmente la aplicación de las medidas contenidas en las distintas estrategias de igualdad, como la Estrategia para la Igualdad de las Personas LGBTIQ+ 2020</w:t>
      </w:r>
      <w:r w:rsidRPr="00A751B8">
        <w:noBreakHyphen/>
        <w:t>2025, la Estrategia para la Igualdad de Género 2020</w:t>
      </w:r>
      <w:r w:rsidRPr="00A751B8">
        <w:noBreakHyphen/>
        <w:t>2025, la estrategia para la igualdad y la inclusión de la población gitana y el Plan de Acción de la UE Antirracismo 2020</w:t>
      </w:r>
      <w:r w:rsidRPr="00A751B8">
        <w:noBreakHyphen/>
        <w:t>2025; insta a los Estados miembros a que elaboren y apliquen con rapidez los planes de acción nacionales contra el racismo;</w:t>
      </w:r>
    </w:p>
    <w:p w14:paraId="1F018622" w14:textId="77777777" w:rsidR="00697A02" w:rsidRPr="00A751B8" w:rsidRDefault="00697A02">
      <w:pPr>
        <w:pStyle w:val="NormalHanging12a"/>
      </w:pPr>
      <w:r w:rsidRPr="00A751B8">
        <w:t>43.</w:t>
      </w:r>
      <w:r w:rsidRPr="00A751B8">
        <w:tab/>
        <w:t>Acoge con satisfacción el hecho de que la Comisión haya invocado por primera vez una infracción aislada del artículo 2 del TUE cuando remitió al Tribunal de Justicia la «ley húngara de protección de la infancia», que camuflaba otros objetivos;</w:t>
      </w:r>
    </w:p>
    <w:p w14:paraId="188392EE" w14:textId="77777777" w:rsidR="00697A02" w:rsidRPr="00A751B8" w:rsidRDefault="00697A02" w:rsidP="00A751B8">
      <w:pPr>
        <w:pStyle w:val="Normal12a24b"/>
        <w:spacing w:before="0"/>
        <w:rPr>
          <w:b/>
          <w:i/>
        </w:rPr>
      </w:pPr>
      <w:r w:rsidRPr="00A751B8">
        <w:rPr>
          <w:rStyle w:val="Bold"/>
          <w:i/>
        </w:rPr>
        <w:t>Derechos sociales, económicos y medioambientales</w:t>
      </w:r>
    </w:p>
    <w:p w14:paraId="0AA8805E" w14:textId="77777777" w:rsidR="00697A02" w:rsidRPr="00A751B8" w:rsidRDefault="00697A02" w:rsidP="007408E7">
      <w:pPr>
        <w:pStyle w:val="NormalHanging12a"/>
      </w:pPr>
      <w:r w:rsidRPr="00A751B8">
        <w:t>44.</w:t>
      </w:r>
      <w:r w:rsidRPr="00A751B8">
        <w:tab/>
        <w:t>Reconoce que la pobreza es otra forma de discriminación que da lugar a la vulneración de derechos fundamentales y a la desigualdad de oportunidades de acceso a los bienes o servicios; pone de relieve la especial vulnerabilidad de los menores y el impacto que la pobreza causa en ellos y en su desarrollo físico y psicológico; pide a la Comisión, al Consejo y a los Estados miembros que desarrollen políticas encaminadas a reducir la pobreza y la exclusión social, tomando un enfoque interseccional y prestando especial atención a las personas en situaciones de vulnerabilidad; celebra la aprobación de la Garantía Infantil Europea, pero considera que son necesarios más esfuerzos, en especial en materia de protección social; pide a los Estados miembros que garanticen la igualdad de acceso y de oportunidades en materia de educación y empleo de calidad, ya que contribuyen de forma crucial a mitigar la desigualdad y sacar a las personas de la pobreza;</w:t>
      </w:r>
    </w:p>
    <w:p w14:paraId="7D5149B2" w14:textId="77777777" w:rsidR="00697A02" w:rsidRPr="00A751B8" w:rsidRDefault="00697A02" w:rsidP="00F04ABD">
      <w:pPr>
        <w:pStyle w:val="NormalHanging12a"/>
        <w:rPr>
          <w:szCs w:val="24"/>
        </w:rPr>
      </w:pPr>
      <w:r w:rsidRPr="00A751B8">
        <w:t>45.</w:t>
      </w:r>
      <w:r w:rsidRPr="00A751B8">
        <w:tab/>
        <w:t>Manifiesta su honda preocupación por el aumento de la pobreza, las desigualdades y la exclusión social en la Unión; pide a los Estados miembros que aborden la «pobreza temporal» y eliminen el IVA sobre los productos de higiene personal; resalta que las consecuencias económicas a largo plazo de la pandemia de COVID</w:t>
      </w:r>
      <w:r w:rsidRPr="00A751B8">
        <w:noBreakHyphen/>
        <w:t>19 y la subida de los precios de los alimentos y la energía han afectado gravemente a los derechos de las personas que disponen de rentas bajas o viven en la pobreza, tales como los derechos a un nivel de vida adecuado, a la alimentación, a la salud, a la vivienda y a la seguridad social; pide a la Comisión y al Consejo que desarrollen políticas macroeconómicas guiadas no solo por el crecimiento económico, sino también por las normas sociales, y recuerda la importancia de las normas sociales en el Semestre Europeo;</w:t>
      </w:r>
    </w:p>
    <w:p w14:paraId="328530AB" w14:textId="77777777" w:rsidR="00697A02" w:rsidRPr="00A751B8" w:rsidRDefault="00697A02" w:rsidP="00F04ABD">
      <w:pPr>
        <w:pStyle w:val="NormalHanging12a"/>
        <w:rPr>
          <w:szCs w:val="24"/>
        </w:rPr>
      </w:pPr>
      <w:r w:rsidRPr="00A751B8">
        <w:t>46.</w:t>
      </w:r>
      <w:r w:rsidRPr="00A751B8">
        <w:tab/>
        <w:t>Acoge favorablemente la Recomendación del Consejo de 30 de enero de 2023 sobre una renta mínima adecuada</w:t>
      </w:r>
      <w:r w:rsidRPr="00A751B8">
        <w:rPr>
          <w:vertAlign w:val="superscript"/>
        </w:rPr>
        <w:footnoteReference w:id="50"/>
      </w:r>
      <w:r w:rsidRPr="00A751B8">
        <w:t xml:space="preserve"> que garantice la inclusión activa como paso adelante en la aplicación del principio 14 del pilar europeo de derechos sociales; lamenta, no obstante, la falta de medidas concretas para superar la discriminación estructural contra los grupos vulnerables; pide a los Estados miembros que recopilen datos desagregados sobre la renta mínima desagregados para estos grupos;</w:t>
      </w:r>
    </w:p>
    <w:p w14:paraId="3AA8E577" w14:textId="77777777" w:rsidR="00697A02" w:rsidRPr="00A751B8" w:rsidRDefault="00697A02">
      <w:pPr>
        <w:pStyle w:val="NormalHanging12a"/>
        <w:rPr>
          <w:szCs w:val="24"/>
        </w:rPr>
      </w:pPr>
      <w:r w:rsidRPr="00A751B8">
        <w:t>47.</w:t>
      </w:r>
      <w:r w:rsidRPr="00A751B8">
        <w:tab/>
        <w:t>Subraya que la digitalización es un proceso transversal que afecta al acceso a todos los servicios, en particular a la asistencia sanitaria y al ejercicio de los derechos fundamentales; destaca que la pobreza digital en la Unión debe ser objeto de seguimiento y evaluación en relación con el acceso a los servicios esenciales y a los derechos fundamentales, también para las personas de edad avanzada, las personas que viven en zonas remotas, las personas sin hogar y la población gitana; recuerda la obligación de los Estados miembros, en virtud de la Convención sobre los Derechos de las Personas con Discapacidad, de garantizar que las personas con discapacidad tengan pleno acceso a la sociedad; recuerda que las adicciones tecnológicas constituyen un problema de salud pública que afecta en especial a los menores y a su integridad física y mental;</w:t>
      </w:r>
    </w:p>
    <w:p w14:paraId="7C77DBCC" w14:textId="77777777" w:rsidR="00697A02" w:rsidRPr="00A751B8" w:rsidRDefault="00697A02">
      <w:pPr>
        <w:pStyle w:val="NormalHanging12a"/>
        <w:rPr>
          <w:szCs w:val="24"/>
        </w:rPr>
      </w:pPr>
      <w:r w:rsidRPr="00A751B8">
        <w:t>48.</w:t>
      </w:r>
      <w:r w:rsidRPr="00A751B8">
        <w:tab/>
        <w:t>Señala que la vivienda no es una mercancía, sino una necesidad, y que constituye una condición previa para una participación plena en la sociedad; pide a los Estados miembros que intensifiquen la inversión en viviendas sociales y asequibles para erradicar la carga de los elevados costes de la vivienda, en especial para los grupos desfavorecidos y vulnerables, y evitar así la competencia entre esos grupos;</w:t>
      </w:r>
    </w:p>
    <w:p w14:paraId="1D380B96" w14:textId="77777777" w:rsidR="00697A02" w:rsidRPr="00A751B8" w:rsidRDefault="00697A02">
      <w:pPr>
        <w:pStyle w:val="NormalHanging12a"/>
        <w:rPr>
          <w:szCs w:val="24"/>
        </w:rPr>
      </w:pPr>
      <w:r w:rsidRPr="00A751B8">
        <w:t>49.</w:t>
      </w:r>
      <w:r w:rsidRPr="00A751B8">
        <w:tab/>
        <w:t>Acoge con satisfacción el reconocimiento, el 8 de octubre de 2021, del derecho universal al acceso a un medio ambiente saludable y sostenible por el Consejo de Derechos Humanos de las Naciones Unidas; resalta que el deterioro medioambiental y el hecho de que algunas autoridades públicas no faciliten información sobre los graves riesgos medioambientales a los que están expuestas las personas pueden tener graves consecuencias perjudiciales para la población; recuerda que hace falta alinear plenamente las normas europeas en materia de calidad del aire ambiente a las últimas directrices de la OMS de 2030;</w:t>
      </w:r>
    </w:p>
    <w:p w14:paraId="0A213151" w14:textId="77777777" w:rsidR="00697A02" w:rsidRPr="00A751B8" w:rsidRDefault="00697A02" w:rsidP="00A751B8">
      <w:pPr>
        <w:pStyle w:val="Normal12a24b"/>
        <w:spacing w:before="0"/>
        <w:rPr>
          <w:i/>
        </w:rPr>
      </w:pPr>
      <w:r w:rsidRPr="00A751B8">
        <w:rPr>
          <w:rStyle w:val="Bold"/>
          <w:i/>
        </w:rPr>
        <w:t>Garantías institucionales para los derechos fundamentales</w:t>
      </w:r>
    </w:p>
    <w:p w14:paraId="366DB044" w14:textId="77777777" w:rsidR="00697A02" w:rsidRPr="00A751B8" w:rsidRDefault="00697A02" w:rsidP="007408E7">
      <w:pPr>
        <w:pStyle w:val="NormalHanging12a"/>
        <w:rPr>
          <w:szCs w:val="24"/>
        </w:rPr>
      </w:pPr>
      <w:r w:rsidRPr="00A751B8">
        <w:t>50.</w:t>
      </w:r>
      <w:r w:rsidRPr="00A751B8">
        <w:tab/>
        <w:t>Acoge con satisfacción los progresos realizados desde la reanudación de las negociaciones para la adhesión de la Unión al CEDH en junio de 2020 y el acuerdo provisional sobre el proyecto de instrumentos de adhesión revisados alcanzado en marzo de 2023; pide a la Comisión y al Consejo que resuelvan la cuestión pendiente sobre la situación de los actos de la Unión en el ámbito de la política exterior y de seguridad común lo antes posible, a fin de completar el proceso de adhesión;</w:t>
      </w:r>
    </w:p>
    <w:p w14:paraId="290FF141" w14:textId="77777777" w:rsidR="00697A02" w:rsidRPr="00A751B8" w:rsidRDefault="00697A02" w:rsidP="00F04ABD">
      <w:pPr>
        <w:pStyle w:val="NormalHanging12a"/>
      </w:pPr>
      <w:r w:rsidRPr="00A751B8">
        <w:t>51.</w:t>
      </w:r>
      <w:r w:rsidRPr="00A751B8">
        <w:tab/>
        <w:t>Apoya la labor de la FRA en materia de análisis de datos, con el fin de documentar la discriminación, y acoge con satisfacción los avances logrados en este ámbito; acoge favorablemente las propuestas de la Comisión relativas a dos Directivas sobre normas relativas a los organismos de igualdad, encaminadas a garantizar la aplicación y ejecución de las normas de la Unión contra la discriminación; pide a los organismos nacionales que cooperan con la FRA que proporcionen datos imparciales; pide a la FRA que consulte más fuentes cuando existan graves preocupaciones sobre la calidad de los datos;</w:t>
      </w:r>
    </w:p>
    <w:p w14:paraId="63A70834" w14:textId="77777777" w:rsidR="00697A02" w:rsidRPr="00A751B8" w:rsidRDefault="00697A02">
      <w:pPr>
        <w:pStyle w:val="NormalHanging12a"/>
        <w:rPr>
          <w:szCs w:val="24"/>
        </w:rPr>
      </w:pPr>
      <w:r w:rsidRPr="00A751B8">
        <w:t>52.</w:t>
      </w:r>
      <w:r w:rsidRPr="00A751B8">
        <w:tab/>
        <w:t>Destaca la importancia de apoyar y reforzar la cooperación entre las instituciones de la Unión y los Estados miembros, la OLAF y la Fiscalía Europea; pide a la Comisión que presente un informe en el que evalúe la posibilidad y las modalidades de ampliación del mandato de la Fiscalía Europea, según lo dispuesto en el artículo 86 del TFUE, para incluir los delitos medioambientales graves que sean perjudiciales para los intereses de la Unión o que afecten a la aplicación uniforme de las políticas de la Unión relacionadas con la protección del medio ambiente;</w:t>
      </w:r>
    </w:p>
    <w:p w14:paraId="19F29892" w14:textId="77777777" w:rsidR="00697A02" w:rsidRPr="00A751B8" w:rsidRDefault="00697A02">
      <w:pPr>
        <w:pStyle w:val="NormalHanging12a"/>
        <w:rPr>
          <w:szCs w:val="24"/>
        </w:rPr>
      </w:pPr>
      <w:r w:rsidRPr="00A751B8">
        <w:t>53.</w:t>
      </w:r>
      <w:r w:rsidRPr="00A751B8">
        <w:tab/>
        <w:t>Pide que la FRA sea constituida como una autoridad independiente en materia de derechos humanos, similar a las instituciones nacionales en este ámbito y en consonancia con los Principios de París de la Asamblea General de las Naciones Unidas de 1993, para proteger y promover las políticas y prácticas de la Carta por parte de las instituciones, órganos y organismos de la Unión, y de los Estados miembros al aplicar el Derecho de la Unión; considera que para ello es necesario prever una base jurídica en los Tratados por la que se cree una Autoridad de Derechos Fundamentales de la Unión Europea que garantice la independencia de esta y el uso del procedimiento legislativo ordinario para la adopción y modificación de su mandato; pide que se faculte a esta nueva Autoridad para interponer recursos por incumplimiento de la Carta con arreglo al artículo 263 del TFUE; pide que se incluya en su mandato la tramitación de las reclamaciones y la consulta obligatoria de la FRA por la Comisión al preparar propuestas de actos legislativos o recomendaciones que afecten a los derechos fundamentales;</w:t>
      </w:r>
    </w:p>
    <w:p w14:paraId="0AD3DF2D" w14:textId="77777777" w:rsidR="00697A02" w:rsidRPr="00A751B8" w:rsidRDefault="00697A02">
      <w:pPr>
        <w:pStyle w:val="NormalHanging12a"/>
      </w:pPr>
      <w:r w:rsidRPr="00A751B8">
        <w:t>54.</w:t>
      </w:r>
      <w:r w:rsidRPr="00A751B8">
        <w:tab/>
        <w:t>Recuerda la importancia de la jurisprudencia pertinente del Tribunal de Justicia que defiende el respeto de los derechos fundamentales y profundiza en la definición del Estado de Derecho; manifiesta su preocupación por el rechazo persistente por parte de algunos Estados miembros de las sentencias del Tribunal de Justicia y del TEDH, lo que contribuye al deterioro del Estado de Derecho; destaca que la falta de ejecución de sentencias puede conllevar que las vulneraciones de los derechos humanos queden sin vías de recurso; destaca que la primacía de la Unión constituye la piedra angular del ordenamiento jurídico de la Unión; pide a la Comisión que garantice un seguimiento adecuado en caso de vulneración de este principio;</w:t>
      </w:r>
    </w:p>
    <w:p w14:paraId="7D25756B" w14:textId="77777777" w:rsidR="00697A02" w:rsidRPr="00A751B8" w:rsidRDefault="00697A02">
      <w:pPr>
        <w:pStyle w:val="NormalHanging12a"/>
      </w:pPr>
      <w:r w:rsidRPr="00A751B8">
        <w:t>55.</w:t>
      </w:r>
      <w:r w:rsidRPr="00A751B8">
        <w:tab/>
        <w:t>Resalta el papel de las administraciones nacionales y locales, los Parlamentos de los Estados miembros y las autoridades policiales para promover y proteger los derechos conferidos por la Carta;</w:t>
      </w:r>
    </w:p>
    <w:p w14:paraId="2116934B" w14:textId="77777777" w:rsidR="00697A02" w:rsidRPr="00A751B8" w:rsidRDefault="00697A02">
      <w:pPr>
        <w:pStyle w:val="NormalHanging12a"/>
      </w:pPr>
      <w:r w:rsidRPr="00A751B8">
        <w:t>56.</w:t>
      </w:r>
      <w:r w:rsidRPr="00A751B8">
        <w:tab/>
        <w:t>Señala la observación de la FRA de que los Estados miembros parecen carecer de un compromiso estructurado con la aplicación de la Estrategia de la Comisión para reforzar la aplicación de la Carta, como definiciones de objetivos, hitos y plazos claros; pide a los Estados miembros que apliquen plenamente la Estrategia;</w:t>
      </w:r>
    </w:p>
    <w:p w14:paraId="7A1D5CD0" w14:textId="77777777" w:rsidR="00697A02" w:rsidRPr="00A751B8" w:rsidRDefault="00697A02">
      <w:pPr>
        <w:pStyle w:val="NormalHanging12a"/>
        <w:rPr>
          <w:szCs w:val="24"/>
        </w:rPr>
      </w:pPr>
      <w:r w:rsidRPr="00A751B8">
        <w:t>57.</w:t>
      </w:r>
      <w:r w:rsidRPr="00A751B8">
        <w:tab/>
        <w:t>Recuerda que el derecho a participar en la vida democrática y la obligación de garantizar que las decisiones se tomen del modo más abierto y cercano a los ciudadanos posible está protegido por los Tratados, en particular por el artículo 10 del TUE; pide a las instituciones de la Unión y a los Estados miembros que garanticen el tiempo suficiente para la consulta pública, que aseguren la transparencia y que publiquen los documentos públicos de un modo proactivo;</w:t>
      </w:r>
    </w:p>
    <w:p w14:paraId="537E9D15" w14:textId="77777777" w:rsidR="00697A02" w:rsidRPr="00A751B8" w:rsidRDefault="00697A02" w:rsidP="00697A02">
      <w:pPr>
        <w:pStyle w:val="NormalHanging12a"/>
        <w:jc w:val="center"/>
      </w:pPr>
      <w:r w:rsidRPr="00A751B8">
        <w:t>°</w:t>
      </w:r>
    </w:p>
    <w:p w14:paraId="3B5D22D8" w14:textId="77777777" w:rsidR="00697A02" w:rsidRPr="00A751B8" w:rsidRDefault="00697A02" w:rsidP="00697A02">
      <w:pPr>
        <w:pStyle w:val="NormalHanging12a"/>
        <w:jc w:val="center"/>
      </w:pPr>
      <w:r w:rsidRPr="00A751B8">
        <w:t>°</w:t>
      </w:r>
      <w:r w:rsidRPr="00A751B8">
        <w:tab/>
        <w:t>°</w:t>
      </w:r>
    </w:p>
    <w:p w14:paraId="7F0E87BD" w14:textId="77777777" w:rsidR="00697A02" w:rsidRPr="00A751B8" w:rsidRDefault="00697A02" w:rsidP="00697A02">
      <w:pPr>
        <w:pStyle w:val="NormalHanging12a"/>
      </w:pPr>
      <w:r w:rsidRPr="00A751B8">
        <w:t>58.</w:t>
      </w:r>
      <w:r w:rsidRPr="00A751B8">
        <w:tab/>
        <w:t>Encarga a su presidenta que transmita la presente Resolución al Consejo y a la Comisión.</w:t>
      </w:r>
    </w:p>
    <w:sectPr w:rsidR="00697A02" w:rsidRPr="00A751B8" w:rsidSect="00920D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D51AA" w14:textId="77777777" w:rsidR="007D476E" w:rsidRPr="00920D0D" w:rsidRDefault="007D476E">
      <w:r w:rsidRPr="00920D0D">
        <w:separator/>
      </w:r>
    </w:p>
  </w:endnote>
  <w:endnote w:type="continuationSeparator" w:id="0">
    <w:p w14:paraId="5BD50F7F" w14:textId="77777777" w:rsidR="007D476E" w:rsidRPr="00920D0D" w:rsidRDefault="007D476E">
      <w:r w:rsidRPr="00920D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AC6CE" w14:textId="77777777" w:rsidR="00064002" w:rsidRPr="00920D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94173" w14:textId="77777777" w:rsidR="00064002" w:rsidRPr="00920D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A2AF0" w14:textId="77777777" w:rsidR="00064002" w:rsidRPr="00920D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AB71F" w14:textId="77777777" w:rsidR="007D476E" w:rsidRPr="00920D0D" w:rsidRDefault="007D476E">
      <w:r w:rsidRPr="00920D0D">
        <w:separator/>
      </w:r>
    </w:p>
  </w:footnote>
  <w:footnote w:type="continuationSeparator" w:id="0">
    <w:p w14:paraId="33AED9E0" w14:textId="77777777" w:rsidR="007D476E" w:rsidRPr="00920D0D" w:rsidRDefault="007D476E">
      <w:r w:rsidRPr="00920D0D">
        <w:continuationSeparator/>
      </w:r>
    </w:p>
  </w:footnote>
  <w:footnote w:id="1">
    <w:p w14:paraId="11655FDD" w14:textId="77777777" w:rsidR="00697A02" w:rsidRPr="00920D0D" w:rsidRDefault="00697A02" w:rsidP="00920D0D">
      <w:pPr>
        <w:pStyle w:val="FootnoteText"/>
        <w:ind w:left="567" w:hanging="567"/>
        <w:rPr>
          <w:sz w:val="24"/>
          <w:vertAlign w:val="superscript"/>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Entre otras sentencias: Comisión/Hungría (Transparencia de asociación), asunto C</w:t>
      </w:r>
      <w:r w:rsidRPr="00920D0D">
        <w:rPr>
          <w:sz w:val="24"/>
          <w:lang w:val="es-ES_tradnl"/>
        </w:rPr>
        <w:noBreakHyphen/>
        <w:t>78/18, EU:C:2020:476;</w:t>
      </w:r>
    </w:p>
    <w:p w14:paraId="791B6C49" w14:textId="77777777" w:rsidR="00697A02" w:rsidRPr="00920D0D" w:rsidRDefault="00920D0D" w:rsidP="00920D0D">
      <w:pPr>
        <w:pStyle w:val="FootnoteText"/>
        <w:ind w:left="567" w:hanging="567"/>
        <w:rPr>
          <w:sz w:val="24"/>
          <w:lang w:val="es-ES_tradnl"/>
        </w:rPr>
      </w:pPr>
      <w:r w:rsidRPr="00920D0D">
        <w:rPr>
          <w:sz w:val="24"/>
          <w:lang w:val="es-ES_tradnl"/>
        </w:rPr>
        <w:t xml:space="preserve"> </w:t>
      </w:r>
      <w:r w:rsidRPr="00920D0D">
        <w:rPr>
          <w:sz w:val="24"/>
          <w:lang w:val="es-ES_tradnl"/>
        </w:rPr>
        <w:tab/>
      </w:r>
      <w:r w:rsidR="00697A02" w:rsidRPr="00920D0D">
        <w:rPr>
          <w:sz w:val="24"/>
          <w:lang w:val="es-ES_tradnl"/>
        </w:rPr>
        <w:t>Sentencia del Tribunal de Justicia (Sala Segunda) de 6 de octubre de 2022. I. L./Politsei- ja Piirivalveamet, asunto C</w:t>
      </w:r>
      <w:r w:rsidR="00697A02" w:rsidRPr="00920D0D">
        <w:rPr>
          <w:sz w:val="24"/>
          <w:lang w:val="es-ES_tradnl"/>
        </w:rPr>
        <w:noBreakHyphen/>
        <w:t>241/21, ECLI:EU:C:2022:753.</w:t>
      </w:r>
    </w:p>
  </w:footnote>
  <w:footnote w:id="2">
    <w:p w14:paraId="2C1625E8" w14:textId="77777777" w:rsidR="00697A02" w:rsidRPr="009E1A6C" w:rsidRDefault="00697A02" w:rsidP="00920D0D">
      <w:pPr>
        <w:pStyle w:val="FootnoteText"/>
        <w:ind w:left="567" w:hanging="567"/>
        <w:rPr>
          <w:sz w:val="24"/>
          <w:lang w:val="pt-PT" w:eastAsia="en-GB"/>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433 I de 22.12.2020, p. 1</w:t>
      </w:r>
      <w:r w:rsidR="007408E7" w:rsidRPr="009E1A6C">
        <w:rPr>
          <w:sz w:val="24"/>
          <w:lang w:val="pt-PT" w:eastAsia="en-GB"/>
        </w:rPr>
        <w:t>.</w:t>
      </w:r>
    </w:p>
  </w:footnote>
  <w:footnote w:id="3">
    <w:p w14:paraId="68B8F2A5" w14:textId="77777777" w:rsidR="00697A02" w:rsidRPr="009E1A6C" w:rsidRDefault="00697A02" w:rsidP="00920D0D">
      <w:pPr>
        <w:pStyle w:val="FootnoteText"/>
        <w:ind w:left="567" w:hanging="567"/>
        <w:rPr>
          <w:sz w:val="24"/>
          <w:lang w:val="pt-PT" w:eastAsia="en-GB"/>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156 de 5.5.2021, p. 1</w:t>
      </w:r>
      <w:r w:rsidR="007408E7" w:rsidRPr="009E1A6C">
        <w:rPr>
          <w:sz w:val="24"/>
          <w:lang w:val="pt-PT" w:eastAsia="en-GB"/>
        </w:rPr>
        <w:t>.</w:t>
      </w:r>
    </w:p>
  </w:footnote>
  <w:footnote w:id="4">
    <w:p w14:paraId="1A419B14"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283 de 31.10.2017, p. 1.</w:t>
      </w:r>
    </w:p>
  </w:footnote>
  <w:footnote w:id="5">
    <w:p w14:paraId="61E720C3"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119 de 4.5.2016, p. 1.</w:t>
      </w:r>
    </w:p>
  </w:footnote>
  <w:footnote w:id="6">
    <w:p w14:paraId="7AE0B227"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198 de 28.7.2017, p. 29.</w:t>
      </w:r>
    </w:p>
  </w:footnote>
  <w:footnote w:id="7">
    <w:p w14:paraId="191F6FCA"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328 de 6.12.2008, p. 55.</w:t>
      </w:r>
    </w:p>
  </w:footnote>
  <w:footnote w:id="8">
    <w:p w14:paraId="66106854"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180 de 19.7.2000, p. 22.</w:t>
      </w:r>
    </w:p>
  </w:footnote>
  <w:footnote w:id="9">
    <w:p w14:paraId="1E7F5774"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93 de 19.3.2021, p. 1.</w:t>
      </w:r>
    </w:p>
  </w:footnote>
  <w:footnote w:id="10">
    <w:p w14:paraId="164AB710"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331 de 20.9.2021, p. 8.</w:t>
      </w:r>
    </w:p>
  </w:footnote>
  <w:footnote w:id="11">
    <w:p w14:paraId="4B5DA3F3"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86 de 24.3.2023, p. 44.</w:t>
      </w:r>
    </w:p>
  </w:footnote>
  <w:footnote w:id="12">
    <w:p w14:paraId="62677186"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DO L 245 de 22.9.2022, p. 56.</w:t>
      </w:r>
    </w:p>
  </w:footnote>
  <w:footnote w:id="13">
    <w:p w14:paraId="357B1020" w14:textId="77777777" w:rsidR="00697A02" w:rsidRPr="00920D0D" w:rsidRDefault="00697A02" w:rsidP="00920D0D">
      <w:pPr>
        <w:pStyle w:val="FootnoteText"/>
        <w:ind w:left="567" w:hanging="567"/>
        <w:rPr>
          <w:color w:val="0000FF"/>
          <w:sz w:val="24"/>
          <w:u w:val="single" w:color="0000FF"/>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Consejo de Europa, «</w:t>
      </w:r>
      <w:hyperlink r:id="rId1" w:history="1">
        <w:r w:rsidRPr="00920D0D">
          <w:rPr>
            <w:rStyle w:val="Hyperlink"/>
            <w:sz w:val="24"/>
            <w:lang w:val="es-ES_tradnl"/>
          </w:rPr>
          <w:t>Human Rights Defenders in the Council of Europe Area in Times of Crises</w:t>
        </w:r>
      </w:hyperlink>
      <w:r w:rsidRPr="00920D0D">
        <w:rPr>
          <w:sz w:val="24"/>
          <w:lang w:val="es-ES_tradnl"/>
        </w:rPr>
        <w:t>» (Defensores de los derechos humanos en el espacio del Consejo de Europa en tiempos de crisis), 23 de marzo de 2023</w:t>
      </w:r>
      <w:r w:rsidR="007408E7" w:rsidRPr="00A751B8">
        <w:rPr>
          <w:lang w:val="es-ES"/>
        </w:rPr>
        <w:t>.</w:t>
      </w:r>
    </w:p>
  </w:footnote>
  <w:footnote w:id="14">
    <w:p w14:paraId="4D266B6C"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363 de 28.10.2020, p. 13.</w:t>
      </w:r>
    </w:p>
  </w:footnote>
  <w:footnote w:id="15">
    <w:p w14:paraId="55F3F93B"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411 de 27.11.2020, p. 38.</w:t>
      </w:r>
    </w:p>
  </w:footnote>
  <w:footnote w:id="16">
    <w:p w14:paraId="0BAD34F6"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205 de 20.5.2022, p. 2.</w:t>
      </w:r>
    </w:p>
  </w:footnote>
  <w:footnote w:id="17">
    <w:p w14:paraId="0ED583C2"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251 de 30.6.2022, p. 48.</w:t>
      </w:r>
    </w:p>
  </w:footnote>
  <w:footnote w:id="18">
    <w:p w14:paraId="302C5A68"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342 de 6.9.2022, p. 225.</w:t>
      </w:r>
    </w:p>
  </w:footnote>
  <w:footnote w:id="19">
    <w:p w14:paraId="309512B6"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347 de 9.9.2022, p. 2.</w:t>
      </w:r>
    </w:p>
  </w:footnote>
  <w:footnote w:id="20">
    <w:p w14:paraId="61FB9C2B"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347 de 9.9.2022, p. 168.</w:t>
      </w:r>
    </w:p>
  </w:footnote>
  <w:footnote w:id="21">
    <w:p w14:paraId="0CA3057A"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493 de 27.12.2022, p. 108.</w:t>
      </w:r>
    </w:p>
  </w:footnote>
  <w:footnote w:id="22">
    <w:p w14:paraId="6515C35A"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47 de 7.2.2023, p. 184.</w:t>
      </w:r>
    </w:p>
  </w:footnote>
  <w:footnote w:id="23">
    <w:p w14:paraId="0EF45014"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125 de 5.4.2023, p. 463.</w:t>
      </w:r>
    </w:p>
  </w:footnote>
  <w:footnote w:id="24">
    <w:p w14:paraId="4DB0D6D2"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132 de 14.4.2023, p. 29.</w:t>
      </w:r>
    </w:p>
  </w:footnote>
  <w:footnote w:id="25">
    <w:p w14:paraId="142E220A"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177 de 17.5.2023, p. 109.</w:t>
      </w:r>
    </w:p>
  </w:footnote>
  <w:footnote w:id="26">
    <w:p w14:paraId="48DC94C0"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47 de 7.2.2023, p. 268.</w:t>
      </w:r>
    </w:p>
  </w:footnote>
  <w:footnote w:id="27">
    <w:p w14:paraId="51436FA7"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465 de 6.12.2022, p. 33.</w:t>
      </w:r>
    </w:p>
  </w:footnote>
  <w:footnote w:id="28">
    <w:p w14:paraId="231F34B5"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465 de 6.12.2022, p. 147.</w:t>
      </w:r>
    </w:p>
  </w:footnote>
  <w:footnote w:id="29">
    <w:p w14:paraId="7F35D1D3"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L 45 de 14.2.2023, p. 13.</w:t>
      </w:r>
      <w:r w:rsidRPr="00A751B8">
        <w:rPr>
          <w:b/>
          <w:i/>
          <w:sz w:val="24"/>
          <w:lang w:val="pt-PT"/>
        </w:rPr>
        <w:t xml:space="preserve"> </w:t>
      </w:r>
    </w:p>
  </w:footnote>
  <w:footnote w:id="30">
    <w:p w14:paraId="4EBF9632"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149 de 28.4.2023, p. 22.</w:t>
      </w:r>
      <w:r w:rsidRPr="00A751B8">
        <w:rPr>
          <w:b/>
          <w:i/>
          <w:sz w:val="24"/>
          <w:lang w:val="pt-PT"/>
        </w:rPr>
        <w:t xml:space="preserve"> </w:t>
      </w:r>
    </w:p>
  </w:footnote>
  <w:footnote w:id="31">
    <w:p w14:paraId="26F1D076" w14:textId="77777777" w:rsidR="00697A02" w:rsidRPr="00A751B8" w:rsidRDefault="00697A02" w:rsidP="00920D0D">
      <w:pPr>
        <w:pStyle w:val="FootnoteText"/>
        <w:ind w:left="567" w:hanging="567"/>
        <w:rPr>
          <w:sz w:val="24"/>
          <w:lang w:val="pt-PT"/>
        </w:rPr>
      </w:pPr>
      <w:r w:rsidRPr="00920D0D">
        <w:rPr>
          <w:rStyle w:val="FootnoteReference"/>
          <w:sz w:val="24"/>
          <w:lang w:val="es-ES_tradnl"/>
        </w:rPr>
        <w:footnoteRef/>
      </w:r>
      <w:r w:rsidR="00920D0D" w:rsidRPr="00A751B8">
        <w:rPr>
          <w:sz w:val="24"/>
          <w:lang w:val="pt-PT"/>
        </w:rPr>
        <w:t xml:space="preserve"> </w:t>
      </w:r>
      <w:r w:rsidR="00920D0D" w:rsidRPr="00A751B8">
        <w:rPr>
          <w:sz w:val="24"/>
          <w:lang w:val="pt-PT"/>
        </w:rPr>
        <w:tab/>
      </w:r>
      <w:r w:rsidRPr="00A751B8">
        <w:rPr>
          <w:sz w:val="24"/>
          <w:lang w:val="pt-PT"/>
        </w:rPr>
        <w:t>DO C 161 de 5.5.2023, p. 10.</w:t>
      </w:r>
    </w:p>
  </w:footnote>
  <w:footnote w:id="32">
    <w:p w14:paraId="25D6FF9B" w14:textId="77777777" w:rsidR="00697A02" w:rsidRPr="009E1A6C" w:rsidRDefault="00697A02" w:rsidP="00920D0D">
      <w:pPr>
        <w:pStyle w:val="FootnoteText"/>
        <w:ind w:left="567" w:hanging="567"/>
        <w:rPr>
          <w:sz w:val="24"/>
          <w:lang w:val="pt-PT"/>
        </w:rPr>
      </w:pPr>
      <w:r w:rsidRPr="00920D0D">
        <w:rPr>
          <w:rStyle w:val="FootnoteReference"/>
          <w:sz w:val="24"/>
          <w:lang w:val="es-ES_tradnl"/>
        </w:rPr>
        <w:footnoteRef/>
      </w:r>
      <w:r w:rsidR="00920D0D" w:rsidRPr="009E1A6C">
        <w:rPr>
          <w:sz w:val="24"/>
          <w:lang w:val="pt-PT"/>
        </w:rPr>
        <w:t xml:space="preserve"> </w:t>
      </w:r>
      <w:r w:rsidR="00920D0D" w:rsidRPr="009E1A6C">
        <w:rPr>
          <w:sz w:val="24"/>
          <w:lang w:val="pt-PT"/>
        </w:rPr>
        <w:tab/>
      </w:r>
      <w:r w:rsidRPr="009E1A6C">
        <w:rPr>
          <w:sz w:val="24"/>
          <w:lang w:val="pt-PT"/>
        </w:rPr>
        <w:t>DO C 177 de 17.5.2023, p. 13.</w:t>
      </w:r>
      <w:r w:rsidRPr="009E1A6C">
        <w:rPr>
          <w:b/>
          <w:i/>
          <w:sz w:val="24"/>
          <w:lang w:val="pt-PT"/>
        </w:rPr>
        <w:t xml:space="preserve"> </w:t>
      </w:r>
    </w:p>
  </w:footnote>
  <w:footnote w:id="33">
    <w:p w14:paraId="4418B4C0" w14:textId="77777777" w:rsidR="00697A02" w:rsidRPr="009E1A6C" w:rsidRDefault="00697A02" w:rsidP="00920D0D">
      <w:pPr>
        <w:pStyle w:val="FootnoteText"/>
        <w:ind w:left="567" w:hanging="567"/>
        <w:rPr>
          <w:sz w:val="24"/>
          <w:lang w:val="pt-PT"/>
        </w:rPr>
      </w:pPr>
      <w:r w:rsidRPr="00920D0D">
        <w:rPr>
          <w:rStyle w:val="FootnoteReference"/>
          <w:sz w:val="24"/>
          <w:lang w:val="es-ES_tradnl"/>
        </w:rPr>
        <w:footnoteRef/>
      </w:r>
      <w:r w:rsidR="00920D0D" w:rsidRPr="009E1A6C">
        <w:rPr>
          <w:sz w:val="24"/>
          <w:lang w:val="pt-PT"/>
        </w:rPr>
        <w:t xml:space="preserve"> </w:t>
      </w:r>
      <w:r w:rsidR="00920D0D" w:rsidRPr="009E1A6C">
        <w:rPr>
          <w:sz w:val="24"/>
          <w:lang w:val="pt-PT"/>
        </w:rPr>
        <w:tab/>
      </w:r>
      <w:r w:rsidR="007408E7" w:rsidRPr="009E1A6C">
        <w:rPr>
          <w:sz w:val="24"/>
          <w:lang w:val="pt-PT"/>
        </w:rPr>
        <w:t xml:space="preserve">Textos Aprobados, </w:t>
      </w:r>
      <w:r w:rsidRPr="009E1A6C">
        <w:rPr>
          <w:sz w:val="24"/>
          <w:lang w:val="pt-PT"/>
        </w:rPr>
        <w:t>P9_TA(2023)0111.</w:t>
      </w:r>
    </w:p>
  </w:footnote>
  <w:footnote w:id="34">
    <w:p w14:paraId="02DB029E" w14:textId="77777777" w:rsidR="00697A02" w:rsidRPr="009E1A6C" w:rsidRDefault="00697A02" w:rsidP="00920D0D">
      <w:pPr>
        <w:pStyle w:val="FootnoteText"/>
        <w:ind w:left="567" w:hanging="567"/>
        <w:rPr>
          <w:sz w:val="24"/>
          <w:lang w:val="pt-PT"/>
        </w:rPr>
      </w:pPr>
      <w:r w:rsidRPr="00920D0D">
        <w:rPr>
          <w:rStyle w:val="FootnoteReference"/>
          <w:sz w:val="24"/>
          <w:lang w:val="es-ES_tradnl"/>
        </w:rPr>
        <w:footnoteRef/>
      </w:r>
      <w:r w:rsidR="00920D0D" w:rsidRPr="009E1A6C">
        <w:rPr>
          <w:sz w:val="24"/>
          <w:lang w:val="pt-PT"/>
        </w:rPr>
        <w:t xml:space="preserve"> </w:t>
      </w:r>
      <w:r w:rsidR="00920D0D" w:rsidRPr="009E1A6C">
        <w:rPr>
          <w:sz w:val="24"/>
          <w:lang w:val="pt-PT"/>
        </w:rPr>
        <w:tab/>
      </w:r>
      <w:r w:rsidRPr="009E1A6C">
        <w:rPr>
          <w:sz w:val="24"/>
          <w:lang w:val="pt-PT"/>
        </w:rPr>
        <w:t>Textos Aprobados, P9_TA(2023)0196.</w:t>
      </w:r>
    </w:p>
  </w:footnote>
  <w:footnote w:id="35">
    <w:p w14:paraId="27002B36" w14:textId="77777777" w:rsidR="00697A02" w:rsidRPr="009E1A6C" w:rsidRDefault="00697A02" w:rsidP="00920D0D">
      <w:pPr>
        <w:pStyle w:val="FootnoteText"/>
        <w:ind w:left="567" w:hanging="567"/>
        <w:rPr>
          <w:sz w:val="24"/>
          <w:lang w:val="pt-PT"/>
        </w:rPr>
      </w:pPr>
      <w:r w:rsidRPr="00920D0D">
        <w:rPr>
          <w:rStyle w:val="FootnoteReference"/>
          <w:sz w:val="24"/>
          <w:lang w:val="es-ES_tradnl"/>
        </w:rPr>
        <w:footnoteRef/>
      </w:r>
      <w:r w:rsidR="00920D0D" w:rsidRPr="009E1A6C">
        <w:rPr>
          <w:sz w:val="24"/>
          <w:lang w:val="pt-PT"/>
        </w:rPr>
        <w:t xml:space="preserve"> </w:t>
      </w:r>
      <w:r w:rsidR="00920D0D" w:rsidRPr="009E1A6C">
        <w:rPr>
          <w:sz w:val="24"/>
          <w:lang w:val="pt-PT"/>
        </w:rPr>
        <w:tab/>
      </w:r>
      <w:r w:rsidRPr="009E1A6C">
        <w:rPr>
          <w:sz w:val="24"/>
          <w:lang w:val="pt-PT"/>
        </w:rPr>
        <w:t>Textos Aprobados, P9_TA(2023)0204.</w:t>
      </w:r>
    </w:p>
  </w:footnote>
  <w:footnote w:id="36">
    <w:p w14:paraId="4C8678DB" w14:textId="77777777" w:rsidR="00697A02" w:rsidRPr="009E1A6C" w:rsidRDefault="00697A02" w:rsidP="00920D0D">
      <w:pPr>
        <w:pStyle w:val="FootnoteText"/>
        <w:ind w:left="567" w:hanging="567"/>
        <w:rPr>
          <w:sz w:val="24"/>
          <w:lang w:val="pt-PT"/>
        </w:rPr>
      </w:pPr>
      <w:r w:rsidRPr="00920D0D">
        <w:rPr>
          <w:rStyle w:val="FootnoteReference"/>
          <w:sz w:val="24"/>
          <w:lang w:val="es-ES_tradnl"/>
        </w:rPr>
        <w:footnoteRef/>
      </w:r>
      <w:r w:rsidR="00920D0D" w:rsidRPr="009E1A6C">
        <w:rPr>
          <w:sz w:val="24"/>
          <w:lang w:val="pt-PT"/>
        </w:rPr>
        <w:t xml:space="preserve"> </w:t>
      </w:r>
      <w:r w:rsidR="00920D0D" w:rsidRPr="009E1A6C">
        <w:rPr>
          <w:sz w:val="24"/>
          <w:lang w:val="pt-PT"/>
        </w:rPr>
        <w:tab/>
      </w:r>
      <w:r w:rsidRPr="009E1A6C">
        <w:rPr>
          <w:sz w:val="24"/>
          <w:lang w:val="pt-PT"/>
        </w:rPr>
        <w:t>Textos Aprobados, P9_TA(2023)0216.</w:t>
      </w:r>
    </w:p>
  </w:footnote>
  <w:footnote w:id="37">
    <w:p w14:paraId="5DD749EA" w14:textId="77777777" w:rsidR="00697A02" w:rsidRPr="009E1A6C" w:rsidRDefault="00697A02" w:rsidP="00920D0D">
      <w:pPr>
        <w:pStyle w:val="FootnoteText"/>
        <w:ind w:left="567" w:hanging="567"/>
        <w:rPr>
          <w:sz w:val="24"/>
          <w:lang w:val="pt-PT"/>
        </w:rPr>
      </w:pPr>
      <w:r w:rsidRPr="00920D0D">
        <w:rPr>
          <w:rStyle w:val="FootnoteReference"/>
          <w:sz w:val="24"/>
          <w:lang w:val="es-ES_tradnl"/>
        </w:rPr>
        <w:footnoteRef/>
      </w:r>
      <w:r w:rsidR="00920D0D" w:rsidRPr="009E1A6C">
        <w:rPr>
          <w:sz w:val="24"/>
          <w:lang w:val="pt-PT"/>
        </w:rPr>
        <w:t xml:space="preserve"> </w:t>
      </w:r>
      <w:r w:rsidR="00920D0D" w:rsidRPr="009E1A6C">
        <w:rPr>
          <w:sz w:val="24"/>
          <w:lang w:val="pt-PT"/>
        </w:rPr>
        <w:tab/>
      </w:r>
      <w:r w:rsidRPr="009E1A6C">
        <w:rPr>
          <w:sz w:val="24"/>
          <w:lang w:val="pt-PT"/>
        </w:rPr>
        <w:t>Textos Aprobados, P9_TA(2023)0295.</w:t>
      </w:r>
    </w:p>
  </w:footnote>
  <w:footnote w:id="38">
    <w:p w14:paraId="273B867A" w14:textId="77777777" w:rsidR="00697A02" w:rsidRPr="009E1A6C" w:rsidRDefault="00697A02" w:rsidP="00920D0D">
      <w:pPr>
        <w:pStyle w:val="FootnoteText"/>
        <w:ind w:left="567" w:hanging="567"/>
        <w:rPr>
          <w:sz w:val="24"/>
          <w:lang w:val="es-ES"/>
        </w:rPr>
      </w:pPr>
      <w:r w:rsidRPr="00920D0D">
        <w:rPr>
          <w:rStyle w:val="FootnoteReference"/>
          <w:sz w:val="24"/>
          <w:lang w:val="es-ES_tradnl"/>
        </w:rPr>
        <w:footnoteRef/>
      </w:r>
      <w:r w:rsidR="00920D0D" w:rsidRPr="009E1A6C">
        <w:rPr>
          <w:sz w:val="24"/>
          <w:lang w:val="es-ES"/>
        </w:rPr>
        <w:t xml:space="preserve"> </w:t>
      </w:r>
      <w:r w:rsidR="00920D0D" w:rsidRPr="009E1A6C">
        <w:rPr>
          <w:sz w:val="24"/>
          <w:lang w:val="es-ES"/>
        </w:rPr>
        <w:tab/>
      </w:r>
      <w:r w:rsidRPr="009E1A6C">
        <w:rPr>
          <w:sz w:val="24"/>
          <w:lang w:val="es-ES"/>
        </w:rPr>
        <w:t>Textos Aprobados, P9_TA(2023)0342.</w:t>
      </w:r>
    </w:p>
  </w:footnote>
  <w:footnote w:id="39">
    <w:p w14:paraId="31A2C273"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Comisión/Hungría (Transparencia de asociación), asunto C</w:t>
      </w:r>
      <w:r w:rsidRPr="00920D0D">
        <w:rPr>
          <w:sz w:val="24"/>
          <w:lang w:val="es-ES_tradnl"/>
        </w:rPr>
        <w:noBreakHyphen/>
        <w:t>78/18, EU:C:2020:476.</w:t>
      </w:r>
    </w:p>
  </w:footnote>
  <w:footnote w:id="40">
    <w:p w14:paraId="4C0A7E3C"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La prestación de asistencia a cualquier persona que se halle en peligro en el mar es una obligación legal de los Estados miembros que está consagrada en el Derecho internacional consuetudinario y convencional [Convenio Internacional para la Seguridad de la Vida Humana en el Mar (Convenio SOLAS, 1974); Convención de las Naciones Unidas sobre el Derecho del Mar (CNUDM, 1982); Convenio internacional sobre búsqueda y salvamento marítimos (Convenio SAR, 1979)], así como en el Derecho de la Unión.</w:t>
      </w:r>
    </w:p>
  </w:footnote>
  <w:footnote w:id="41">
    <w:p w14:paraId="49999013"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Sentencia del Tribunal de Justicia (Sala Segunda) de 6 de octubre de 2022, I. L./Politsei- ja Piirivalveamet, asunto C</w:t>
      </w:r>
      <w:r w:rsidRPr="00920D0D">
        <w:rPr>
          <w:sz w:val="24"/>
          <w:lang w:val="es-ES_tradnl"/>
        </w:rPr>
        <w:noBreakHyphen/>
        <w:t>241/21, ECLI:EU:C:2022:753.</w:t>
      </w:r>
    </w:p>
  </w:footnote>
  <w:footnote w:id="42">
    <w:p w14:paraId="2338FF4C"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Agencia de los Derechos Fundamentales de la Unión Europea, Fundamental Rights Report 2023, (Informe sobre los derechos fundamentales 2023), p. 148, 8 de junio de 2023.</w:t>
      </w:r>
    </w:p>
  </w:footnote>
  <w:footnote w:id="43">
    <w:p w14:paraId="5CA6CAA5"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Agencia de los Derechos Fundamentales de la Unión Europea, Fundamental Rights Report 2023, (Informe sobre los derechos fundamentales 2023), p. 148, 8 de junio de 2023.</w:t>
      </w:r>
    </w:p>
  </w:footnote>
  <w:footnote w:id="44">
    <w:p w14:paraId="05B8F316"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El término «población gitana» engloba a diversos grupos, entre los que se incluyen las personas de origen romaní, calé, manuche, ashkali, traveller, lovara, rissende, boyash, dom, kalderash, romanichal y sinti. No existe una terminología comúnmente aceptada, ya que algunas comunidades prefieren el término «población gitana».</w:t>
      </w:r>
    </w:p>
  </w:footnote>
  <w:footnote w:id="45">
    <w:p w14:paraId="23524FFC"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Resumen general «Combating hate speech and hate crime in the EU» (La lucha contra los discursos de odio y los delitos de odio en la Unión), Servicio de Estudios del Parlamento Europeo, junio de 2022.</w:t>
      </w:r>
    </w:p>
  </w:footnote>
  <w:footnote w:id="46">
    <w:p w14:paraId="27D34AD8"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Defensora del Pueblo Europeo, «</w:t>
      </w:r>
      <w:hyperlink r:id="rId2" w:history="1">
        <w:r w:rsidRPr="00920D0D">
          <w:rPr>
            <w:rStyle w:val="Hyperlink"/>
            <w:sz w:val="24"/>
            <w:lang w:val="es-ES_tradnl"/>
          </w:rPr>
          <w:t>Recomendación sobre la negativa de la Comisión Europea a facilitar el acceso público a mensajes de texto intercambiados entre la presidenta de la Comisión y el director ejecutivo de una empresa farmacéutica sobre la adquisición de una vacuna contra la COVID</w:t>
        </w:r>
        <w:r w:rsidRPr="00920D0D">
          <w:rPr>
            <w:rStyle w:val="Hyperlink"/>
            <w:sz w:val="24"/>
            <w:lang w:val="es-ES_tradnl"/>
          </w:rPr>
          <w:noBreakHyphen/>
          <w:t>19 (asunto 1316/2021/MIG)</w:t>
        </w:r>
      </w:hyperlink>
      <w:r w:rsidRPr="00920D0D">
        <w:rPr>
          <w:sz w:val="24"/>
          <w:lang w:val="es-ES_tradnl"/>
        </w:rPr>
        <w:t>».</w:t>
      </w:r>
    </w:p>
  </w:footnote>
  <w:footnote w:id="47">
    <w:p w14:paraId="6FEB0134"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Directiva (UE) 2019/1937 del Parlamento Europeo y del Consejo, de 23 de octubre de 2019, relativa a la protección de las personas que informen sobre infracciones del Derecho de la Unión (DO L 305 de 26.11.2019, p. 17).</w:t>
      </w:r>
    </w:p>
  </w:footnote>
  <w:footnote w:id="48">
    <w:p w14:paraId="259A25B2"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footnote>
  <w:footnote w:id="49">
    <w:p w14:paraId="25A4F69B"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hyperlink r:id="rId3" w:history="1">
        <w:r w:rsidRPr="00920D0D">
          <w:rPr>
            <w:rStyle w:val="Hyperlink"/>
            <w:sz w:val="24"/>
            <w:lang w:val="es-ES_tradnl"/>
          </w:rPr>
          <w:t>Recomendación CM/Rec (2022) 17 del Comité de Ministros a los Estados miembros sobre la protección de los derechos de las mujeres y niñas migrantes, refugiadas y solicitantes de asilo</w:t>
        </w:r>
      </w:hyperlink>
      <w:r w:rsidRPr="00920D0D">
        <w:rPr>
          <w:sz w:val="24"/>
          <w:lang w:val="es-ES_tradnl"/>
        </w:rPr>
        <w:t>, Consejo de Europa, 20 de mayo de 2022.</w:t>
      </w:r>
    </w:p>
  </w:footnote>
  <w:footnote w:id="50">
    <w:p w14:paraId="44956316" w14:textId="77777777" w:rsidR="00697A02" w:rsidRPr="00920D0D" w:rsidRDefault="00697A02" w:rsidP="00920D0D">
      <w:pPr>
        <w:pStyle w:val="FootnoteText"/>
        <w:ind w:left="567" w:hanging="567"/>
        <w:rPr>
          <w:sz w:val="24"/>
          <w:lang w:val="es-ES_tradnl"/>
        </w:rPr>
      </w:pPr>
      <w:r w:rsidRPr="00920D0D">
        <w:rPr>
          <w:rStyle w:val="FootnoteReference"/>
          <w:sz w:val="24"/>
          <w:lang w:val="es-ES_tradnl"/>
        </w:rPr>
        <w:footnoteRef/>
      </w:r>
      <w:r w:rsidR="00920D0D" w:rsidRPr="00920D0D">
        <w:rPr>
          <w:sz w:val="24"/>
          <w:lang w:val="es-ES_tradnl"/>
        </w:rPr>
        <w:t xml:space="preserve"> </w:t>
      </w:r>
      <w:r w:rsidR="00920D0D" w:rsidRPr="00920D0D">
        <w:rPr>
          <w:sz w:val="24"/>
          <w:lang w:val="es-ES_tradnl"/>
        </w:rPr>
        <w:tab/>
      </w:r>
      <w:r w:rsidRPr="00920D0D">
        <w:rPr>
          <w:sz w:val="24"/>
          <w:lang w:val="es-ES_tradnl"/>
        </w:rPr>
        <w:t>Recomendación del Consejo, de 30 de enero de 2023, sobre una renta mínima adecuada que procure la inclusión activa (DO C 41 de 3.2.2023,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4E34F" w14:textId="77777777" w:rsidR="00064002" w:rsidRPr="00920D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A72E1" w14:textId="77777777" w:rsidR="00064002" w:rsidRPr="00920D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F8A6" w14:textId="77777777" w:rsidR="00064002" w:rsidRPr="00920D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ES"/>
    <w:docVar w:name="dvnumam" w:val="0"/>
    <w:docVar w:name="dvpe" w:val="749.923"/>
    <w:docVar w:name="dvrapporteur" w:val="Ponente: "/>
    <w:docVar w:name="dvtitre" w:val="Resolución del Parlamento Europeo, de x de enero de 2024, sobre la situación de los derechos fundamentales en la Unión Europea: informe anual 2022 y 2023(2023/2028(INI))"/>
  </w:docVars>
  <w:rsids>
    <w:rsidRoot w:val="007D476E"/>
    <w:rsid w:val="00002272"/>
    <w:rsid w:val="00012FE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14C"/>
    <w:rsid w:val="0050519A"/>
    <w:rsid w:val="005072A1"/>
    <w:rsid w:val="00514517"/>
    <w:rsid w:val="00545827"/>
    <w:rsid w:val="00560270"/>
    <w:rsid w:val="005C2568"/>
    <w:rsid w:val="006037C0"/>
    <w:rsid w:val="006631B6"/>
    <w:rsid w:val="00680577"/>
    <w:rsid w:val="00697A02"/>
    <w:rsid w:val="006F74FA"/>
    <w:rsid w:val="00731ADD"/>
    <w:rsid w:val="00734777"/>
    <w:rsid w:val="007408E7"/>
    <w:rsid w:val="00747932"/>
    <w:rsid w:val="00751A4A"/>
    <w:rsid w:val="00756632"/>
    <w:rsid w:val="00762C74"/>
    <w:rsid w:val="00786EC0"/>
    <w:rsid w:val="007D1690"/>
    <w:rsid w:val="007D476E"/>
    <w:rsid w:val="007E22AD"/>
    <w:rsid w:val="00817416"/>
    <w:rsid w:val="00842779"/>
    <w:rsid w:val="00865F67"/>
    <w:rsid w:val="00881A7B"/>
    <w:rsid w:val="008840E5"/>
    <w:rsid w:val="00887B3E"/>
    <w:rsid w:val="008C2AC6"/>
    <w:rsid w:val="00920D0D"/>
    <w:rsid w:val="00930C23"/>
    <w:rsid w:val="0093193B"/>
    <w:rsid w:val="009509D8"/>
    <w:rsid w:val="00950B64"/>
    <w:rsid w:val="00981893"/>
    <w:rsid w:val="009E1A6C"/>
    <w:rsid w:val="00A1687D"/>
    <w:rsid w:val="00A43E52"/>
    <w:rsid w:val="00A4678D"/>
    <w:rsid w:val="00A751B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6F"/>
    <w:rsid w:val="00DA7FCD"/>
    <w:rsid w:val="00E365E1"/>
    <w:rsid w:val="00E820A4"/>
    <w:rsid w:val="00EB006A"/>
    <w:rsid w:val="00EB4772"/>
    <w:rsid w:val="00ED169E"/>
    <w:rsid w:val="00ED4235"/>
    <w:rsid w:val="00F04346"/>
    <w:rsid w:val="00F04ABD"/>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8252E"/>
  <w15:chartTrackingRefBased/>
  <w15:docId w15:val="{00A49673-3BBB-4520-9FA5-0CF0587E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7A02"/>
    <w:pPr>
      <w:spacing w:after="240"/>
      <w:ind w:left="567" w:hanging="567"/>
    </w:pPr>
  </w:style>
  <w:style w:type="paragraph" w:customStyle="1" w:styleId="EPComma">
    <w:name w:val="EPComma"/>
    <w:basedOn w:val="Normal"/>
    <w:rsid w:val="00697A02"/>
    <w:pPr>
      <w:spacing w:before="480" w:after="240"/>
    </w:pPr>
  </w:style>
  <w:style w:type="character" w:styleId="Hyperlink">
    <w:name w:val="Hyperlink"/>
    <w:basedOn w:val="DefaultParagraphFont"/>
    <w:uiPriority w:val="99"/>
    <w:unhideWhenUsed/>
    <w:rsid w:val="00697A02"/>
    <w:rPr>
      <w:color w:val="0563C1" w:themeColor="hyperlink"/>
      <w:u w:val="single"/>
    </w:rPr>
  </w:style>
  <w:style w:type="paragraph" w:customStyle="1" w:styleId="Normal12a24b">
    <w:name w:val="Normal12a24b"/>
    <w:basedOn w:val="Normal"/>
    <w:rsid w:val="00697A02"/>
    <w:pPr>
      <w:snapToGrid w:val="0"/>
      <w:spacing w:before="360" w:after="240"/>
    </w:pPr>
    <w:rPr>
      <w:lang w:eastAsia="en-US"/>
    </w:rPr>
  </w:style>
  <w:style w:type="character" w:customStyle="1" w:styleId="Bold">
    <w:name w:val="Bold"/>
    <w:uiPriority w:val="1"/>
    <w:rsid w:val="00697A02"/>
    <w:rPr>
      <w:b/>
      <w:bCs w:val="0"/>
    </w:rPr>
  </w:style>
  <w:style w:type="character" w:customStyle="1" w:styleId="Italic">
    <w:name w:val="Italic"/>
    <w:uiPriority w:val="1"/>
    <w:rsid w:val="00697A02"/>
    <w:rPr>
      <w:i/>
      <w:iCs w:val="0"/>
    </w:rPr>
  </w:style>
  <w:style w:type="character" w:customStyle="1" w:styleId="NormalHanging12aChar">
    <w:name w:val="NormalHanging12a Char"/>
    <w:basedOn w:val="DefaultParagraphFont"/>
    <w:link w:val="NormalHanging12a"/>
    <w:rsid w:val="00697A02"/>
    <w:rPr>
      <w:sz w:val="24"/>
      <w:lang w:val="es-ES_tradnl"/>
    </w:rPr>
  </w:style>
  <w:style w:type="paragraph" w:styleId="BalloonText">
    <w:name w:val="Balloon Text"/>
    <w:basedOn w:val="Normal"/>
    <w:link w:val="BalloonTextChar"/>
    <w:rsid w:val="007408E7"/>
    <w:rPr>
      <w:rFonts w:ascii="Segoe UI" w:hAnsi="Segoe UI" w:cs="Segoe UI"/>
      <w:sz w:val="18"/>
      <w:szCs w:val="18"/>
    </w:rPr>
  </w:style>
  <w:style w:type="character" w:customStyle="1" w:styleId="BalloonTextChar">
    <w:name w:val="Balloon Text Char"/>
    <w:basedOn w:val="DefaultParagraphFont"/>
    <w:link w:val="BalloonText"/>
    <w:rsid w:val="007408E7"/>
    <w:rPr>
      <w:rFonts w:ascii="Segoe UI" w:hAnsi="Segoe UI" w:cs="Segoe UI"/>
      <w:sz w:val="18"/>
      <w:szCs w:val="18"/>
      <w:lang w:val="es-ES_tradnl"/>
    </w:rPr>
  </w:style>
  <w:style w:type="character" w:styleId="CommentReference">
    <w:name w:val="annotation reference"/>
    <w:basedOn w:val="DefaultParagraphFont"/>
    <w:rsid w:val="00A751B8"/>
    <w:rPr>
      <w:sz w:val="16"/>
      <w:szCs w:val="16"/>
    </w:rPr>
  </w:style>
  <w:style w:type="paragraph" w:styleId="CommentText">
    <w:name w:val="annotation text"/>
    <w:basedOn w:val="Normal"/>
    <w:link w:val="CommentTextChar"/>
    <w:rsid w:val="00A751B8"/>
    <w:rPr>
      <w:sz w:val="20"/>
    </w:rPr>
  </w:style>
  <w:style w:type="character" w:customStyle="1" w:styleId="CommentTextChar">
    <w:name w:val="Comment Text Char"/>
    <w:basedOn w:val="DefaultParagraphFont"/>
    <w:link w:val="CommentText"/>
    <w:rsid w:val="00A751B8"/>
    <w:rPr>
      <w:lang w:val="es-ES_tradnl"/>
    </w:rPr>
  </w:style>
  <w:style w:type="paragraph" w:styleId="CommentSubject">
    <w:name w:val="annotation subject"/>
    <w:basedOn w:val="CommentText"/>
    <w:next w:val="CommentText"/>
    <w:link w:val="CommentSubjectChar"/>
    <w:rsid w:val="00A751B8"/>
    <w:rPr>
      <w:b/>
      <w:bCs/>
    </w:rPr>
  </w:style>
  <w:style w:type="character" w:customStyle="1" w:styleId="CommentSubjectChar">
    <w:name w:val="Comment Subject Char"/>
    <w:basedOn w:val="CommentTextChar"/>
    <w:link w:val="CommentSubject"/>
    <w:rsid w:val="00A751B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a69407" TargetMode="External"/><Relationship Id="rId2" Type="http://schemas.openxmlformats.org/officeDocument/2006/relationships/hyperlink" Target="https://www.ombudsman.europa.eu/en/recommendation/es/151678" TargetMode="External"/><Relationship Id="rId1" Type="http://schemas.openxmlformats.org/officeDocument/2006/relationships/hyperlink" Target="https://rm.coe.int/report-on-the-round-table-human-rights-defenders-in-the-council-of-eur/1680aaa8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0ABF5-7743-4BDC-A5DF-1AFFD707E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10517</Words>
  <Characters>59950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2024-02-26T09:58:00Z</dcterms:created>
  <dcterms:modified xsi:type="dcterms:W3CDTF">2024-02-26T09:58:00Z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A9-0376/2023</vt:lpwstr>
  </property>
  <property fmtid="{D5CDD505-2E9C-101B-9397-08002B2CF9AE}" pid="4" name="&lt;Type&gt;">
    <vt:lpwstr>RR</vt:lpwstr>
  </property>
</Properties>
</file>