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2873" w14:paraId="4915AA8B" w14:textId="77777777" w:rsidTr="0010095E">
        <w:trPr>
          <w:trHeight w:hRule="exact" w:val="1418"/>
        </w:trPr>
        <w:tc>
          <w:tcPr>
            <w:tcW w:w="6804" w:type="dxa"/>
            <w:shd w:val="clear" w:color="auto" w:fill="auto"/>
            <w:vAlign w:val="center"/>
          </w:tcPr>
          <w:p w14:paraId="638BD40E" w14:textId="77777777" w:rsidR="00751A4A" w:rsidRPr="00E42873" w:rsidRDefault="00912776" w:rsidP="0010095E">
            <w:pPr>
              <w:pStyle w:val="EPName"/>
            </w:pPr>
            <w:r w:rsidRPr="00E42873">
              <w:t>Euroopan parlamentti</w:t>
            </w:r>
          </w:p>
          <w:p w14:paraId="06530B16" w14:textId="77777777" w:rsidR="00751A4A" w:rsidRPr="00E42873" w:rsidRDefault="00817416" w:rsidP="00756632">
            <w:pPr>
              <w:pStyle w:val="EPTerm"/>
              <w:rPr>
                <w:rStyle w:val="HideTWBExt"/>
                <w:noProof w:val="0"/>
                <w:vanish w:val="0"/>
                <w:color w:val="auto"/>
              </w:rPr>
            </w:pPr>
            <w:r w:rsidRPr="00E42873">
              <w:t>2019-2024</w:t>
            </w:r>
          </w:p>
        </w:tc>
        <w:tc>
          <w:tcPr>
            <w:tcW w:w="2268" w:type="dxa"/>
            <w:shd w:val="clear" w:color="auto" w:fill="auto"/>
          </w:tcPr>
          <w:p w14:paraId="3ADCF0FB" w14:textId="77777777" w:rsidR="00751A4A" w:rsidRPr="00E42873" w:rsidRDefault="00187494" w:rsidP="0010095E">
            <w:pPr>
              <w:pStyle w:val="EPLogo"/>
            </w:pPr>
            <w:r w:rsidRPr="00E42873">
              <w:rPr>
                <w:noProof/>
                <w:lang w:val="en-GB" w:bidi="ne-NP"/>
              </w:rPr>
              <w:drawing>
                <wp:inline distT="0" distB="0" distL="0" distR="0" wp14:anchorId="42D0ECCD" wp14:editId="64193C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3C7CC6" w14:textId="77777777" w:rsidR="00D058B8" w:rsidRPr="00E42873" w:rsidRDefault="00D058B8" w:rsidP="004C5D52">
      <w:pPr>
        <w:pStyle w:val="LineTop"/>
      </w:pPr>
    </w:p>
    <w:p w14:paraId="2E8B8F73" w14:textId="77777777" w:rsidR="00680577" w:rsidRPr="00E42873" w:rsidRDefault="00912776" w:rsidP="00680577">
      <w:pPr>
        <w:pStyle w:val="EPBodyTA1"/>
      </w:pPr>
      <w:r w:rsidRPr="00E42873">
        <w:t>HYVÄKSYTYT TEKSTIT</w:t>
      </w:r>
    </w:p>
    <w:p w14:paraId="3B0AE83F" w14:textId="77777777" w:rsidR="00D058B8" w:rsidRPr="00E42873" w:rsidRDefault="00D058B8" w:rsidP="00D058B8">
      <w:pPr>
        <w:pStyle w:val="LineBottom"/>
      </w:pPr>
    </w:p>
    <w:p w14:paraId="2C7C9EF1" w14:textId="77777777" w:rsidR="00912776" w:rsidRPr="00E42873" w:rsidRDefault="00912776" w:rsidP="00912776">
      <w:pPr>
        <w:pStyle w:val="ATHeading1"/>
      </w:pPr>
      <w:bookmarkStart w:id="0" w:name="TANumber"/>
      <w:r w:rsidRPr="00E42873">
        <w:t>P9_</w:t>
      </w:r>
      <w:proofErr w:type="gramStart"/>
      <w:r w:rsidRPr="00E42873">
        <w:t>TA(</w:t>
      </w:r>
      <w:proofErr w:type="gramEnd"/>
      <w:r w:rsidRPr="00E42873">
        <w:t>2024)00</w:t>
      </w:r>
      <w:r w:rsidR="004C358F">
        <w:t>5</w:t>
      </w:r>
      <w:r w:rsidRPr="00E42873">
        <w:t>0</w:t>
      </w:r>
      <w:bookmarkEnd w:id="0"/>
    </w:p>
    <w:p w14:paraId="43EA462A" w14:textId="77777777" w:rsidR="00912776" w:rsidRPr="00E42873" w:rsidRDefault="00A248D2" w:rsidP="00912776">
      <w:pPr>
        <w:pStyle w:val="ATHeading2"/>
      </w:pPr>
      <w:bookmarkStart w:id="1" w:name="title"/>
      <w:r w:rsidRPr="00A248D2">
        <w:t>Perusoikeuksien tilanne EU:ssa vuosina 2022 ja 2023</w:t>
      </w:r>
      <w:bookmarkEnd w:id="1"/>
    </w:p>
    <w:p w14:paraId="0D927F18" w14:textId="77777777" w:rsidR="00912776" w:rsidRPr="00E42873" w:rsidRDefault="00912776" w:rsidP="00912776">
      <w:pPr>
        <w:rPr>
          <w:i/>
          <w:vanish/>
        </w:rPr>
      </w:pPr>
      <w:r w:rsidRPr="00E42873">
        <w:rPr>
          <w:i/>
        </w:rPr>
        <w:fldChar w:fldCharType="begin"/>
      </w:r>
      <w:r w:rsidRPr="00E42873">
        <w:rPr>
          <w:i/>
        </w:rPr>
        <w:instrText xml:space="preserve"> TC"(</w:instrText>
      </w:r>
      <w:bookmarkStart w:id="2" w:name="DocNumber"/>
      <w:r w:rsidRPr="00E42873">
        <w:rPr>
          <w:i/>
        </w:rPr>
        <w:instrText>A9-0376/2023</w:instrText>
      </w:r>
      <w:bookmarkEnd w:id="2"/>
      <w:r w:rsidRPr="00E42873">
        <w:rPr>
          <w:i/>
        </w:rPr>
        <w:instrText xml:space="preserve"> - Esittelijä: Katarina Barley)"\l3 \n&gt; \* MERGEFORMAT </w:instrText>
      </w:r>
      <w:r w:rsidRPr="00E42873">
        <w:rPr>
          <w:i/>
        </w:rPr>
        <w:fldChar w:fldCharType="end"/>
      </w:r>
    </w:p>
    <w:p w14:paraId="48227A49" w14:textId="77777777" w:rsidR="00912776" w:rsidRPr="00E42873" w:rsidRDefault="00912776" w:rsidP="00912776">
      <w:pPr>
        <w:rPr>
          <w:vanish/>
        </w:rPr>
      </w:pPr>
      <w:bookmarkStart w:id="3" w:name="Commission"/>
      <w:r w:rsidRPr="00E42873">
        <w:rPr>
          <w:vanish/>
        </w:rPr>
        <w:t>Kansalaisvapauksien sekä oikeus- ja sisäasioiden valiokunta</w:t>
      </w:r>
      <w:bookmarkEnd w:id="3"/>
    </w:p>
    <w:p w14:paraId="6DBA0FB1" w14:textId="77777777" w:rsidR="00912776" w:rsidRPr="00E42873" w:rsidRDefault="00912776" w:rsidP="00912776">
      <w:pPr>
        <w:rPr>
          <w:vanish/>
        </w:rPr>
      </w:pPr>
      <w:bookmarkStart w:id="4" w:name="PE"/>
      <w:r w:rsidRPr="00E42873">
        <w:rPr>
          <w:vanish/>
        </w:rPr>
        <w:t>PE749.923</w:t>
      </w:r>
      <w:bookmarkEnd w:id="4"/>
    </w:p>
    <w:p w14:paraId="15F8FCF4" w14:textId="77777777" w:rsidR="00912776" w:rsidRPr="00E42873" w:rsidRDefault="00912776" w:rsidP="00912776">
      <w:pPr>
        <w:pStyle w:val="ATHeading3"/>
      </w:pPr>
      <w:bookmarkStart w:id="5" w:name="Sujet"/>
      <w:r w:rsidRPr="00E42873">
        <w:t xml:space="preserve">Euroopan parlamentin päätöslauselma </w:t>
      </w:r>
      <w:r w:rsidR="00E741B8">
        <w:t>18</w:t>
      </w:r>
      <w:r w:rsidRPr="00E42873">
        <w:t>. tammikuuta 2024 perusoikeuksien tilanteesta Euroopan unionissa – vuosikertomus 2022 ja 2023</w:t>
      </w:r>
      <w:bookmarkEnd w:id="5"/>
      <w:r w:rsidRPr="00E42873">
        <w:t xml:space="preserve"> </w:t>
      </w:r>
      <w:bookmarkStart w:id="6" w:name="References"/>
      <w:r w:rsidRPr="00E42873">
        <w:t>(2023/2028(INI))</w:t>
      </w:r>
      <w:bookmarkEnd w:id="6"/>
    </w:p>
    <w:p w14:paraId="0C0CD5AA" w14:textId="77777777" w:rsidR="007455F5" w:rsidRPr="00E42873" w:rsidRDefault="007455F5" w:rsidP="00A248D2">
      <w:pPr>
        <w:pStyle w:val="EPComma"/>
        <w:widowControl/>
      </w:pPr>
      <w:bookmarkStart w:id="7" w:name="TextBodyBegin"/>
      <w:bookmarkEnd w:id="7"/>
      <w:r w:rsidRPr="00E42873">
        <w:rPr>
          <w:rStyle w:val="Italic"/>
        </w:rPr>
        <w:t>Euroopan parlamentti</w:t>
      </w:r>
      <w:r w:rsidRPr="00E42873">
        <w:t>, joka</w:t>
      </w:r>
    </w:p>
    <w:p w14:paraId="636D9700" w14:textId="77777777" w:rsidR="007455F5" w:rsidRPr="00E42873" w:rsidRDefault="007455F5" w:rsidP="00A248D2">
      <w:pPr>
        <w:pStyle w:val="NormalHanging12a"/>
        <w:widowControl/>
      </w:pPr>
      <w:r w:rsidRPr="00E42873">
        <w:t>–</w:t>
      </w:r>
      <w:r w:rsidRPr="00E42873">
        <w:tab/>
        <w:t>ottaa huomioon Euroopan unionista tehdyn sopimuksen (SEU) ja Euroopan unionin toiminnasta tehdyn sopimuksen (SEUT),</w:t>
      </w:r>
    </w:p>
    <w:p w14:paraId="7E46B656" w14:textId="77777777" w:rsidR="007455F5" w:rsidRPr="00E42873" w:rsidRDefault="007455F5" w:rsidP="00A248D2">
      <w:pPr>
        <w:pStyle w:val="NormalHanging12a"/>
        <w:widowControl/>
      </w:pPr>
      <w:r w:rsidRPr="00E42873">
        <w:t>–</w:t>
      </w:r>
      <w:r w:rsidRPr="00E42873">
        <w:tab/>
        <w:t>ottaa huomioon Euroopan unionin perusoikeuskirjan, jäljempänä ’perusoikeuskirja’,</w:t>
      </w:r>
    </w:p>
    <w:p w14:paraId="79CDEB30" w14:textId="77777777" w:rsidR="007455F5" w:rsidRPr="00E42873" w:rsidRDefault="007455F5" w:rsidP="00A248D2">
      <w:pPr>
        <w:pStyle w:val="NormalHanging12a"/>
        <w:widowControl/>
      </w:pPr>
      <w:r w:rsidRPr="00E42873">
        <w:t>–</w:t>
      </w:r>
      <w:r w:rsidRPr="00E42873">
        <w:tab/>
        <w:t>ottaa huomioon Euroopan unionin tuomioistuimen oikeuskäytännön</w:t>
      </w:r>
      <w:r w:rsidRPr="00E42873">
        <w:rPr>
          <w:rStyle w:val="FootnoteReference"/>
        </w:rPr>
        <w:footnoteReference w:id="1"/>
      </w:r>
      <w:r w:rsidRPr="00E42873">
        <w:t>,</w:t>
      </w:r>
    </w:p>
    <w:p w14:paraId="6BC48AA5" w14:textId="77777777" w:rsidR="007455F5" w:rsidRPr="00E42873" w:rsidRDefault="007455F5" w:rsidP="00A248D2">
      <w:pPr>
        <w:pStyle w:val="NormalHanging12a"/>
        <w:widowControl/>
      </w:pPr>
      <w:r w:rsidRPr="00E42873">
        <w:t>–</w:t>
      </w:r>
      <w:r w:rsidRPr="00E42873">
        <w:tab/>
        <w:t>ottaa huomioon yleisestä ehdollisuusjärjestelmästä unionin talousarvion suojaamiseksi 16. joulukuuta 2020 annetun Euroopan parlamentin ja neuvoston asetuksen (EU, Euratom) 2020/2092</w:t>
      </w:r>
      <w:r w:rsidRPr="00E42873">
        <w:rPr>
          <w:rStyle w:val="FootnoteReference"/>
        </w:rPr>
        <w:footnoteReference w:id="2"/>
      </w:r>
      <w:r w:rsidRPr="00E42873">
        <w:t xml:space="preserve"> (oikeusvaltioperiaatetta koskevasta ehdollisuudesta annettu asetus),</w:t>
      </w:r>
    </w:p>
    <w:p w14:paraId="6E07BFAB" w14:textId="77777777" w:rsidR="007455F5" w:rsidRPr="00E42873" w:rsidRDefault="007455F5" w:rsidP="00A248D2">
      <w:pPr>
        <w:pStyle w:val="NormalHanging12a"/>
        <w:widowControl/>
      </w:pPr>
      <w:r w:rsidRPr="00E42873">
        <w:t>–</w:t>
      </w:r>
      <w:r w:rsidRPr="00E42873">
        <w:tab/>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r w:rsidRPr="00E42873">
        <w:rPr>
          <w:rStyle w:val="FootnoteReference"/>
        </w:rPr>
        <w:footnoteReference w:id="3"/>
      </w:r>
      <w:r w:rsidRPr="00E42873">
        <w:t>,</w:t>
      </w:r>
    </w:p>
    <w:p w14:paraId="3A50FA55" w14:textId="64315496" w:rsidR="007455F5" w:rsidRPr="00E42873" w:rsidRDefault="007455F5" w:rsidP="00A248D2">
      <w:pPr>
        <w:pStyle w:val="NormalHanging12a"/>
        <w:widowControl/>
      </w:pPr>
      <w:r w:rsidRPr="00E42873">
        <w:t>–</w:t>
      </w:r>
      <w:r w:rsidRPr="00E42873">
        <w:tab/>
        <w:t>ottaa huomioon tiiviimmän yhteistyön toteuttamisesta Euroopan syyttäjänviraston (EPPO) perustamisessa 12. lokakuuta 2017 a</w:t>
      </w:r>
      <w:r w:rsidR="00BF6590">
        <w:t>nnetun neuvoston asetuksen (EU) </w:t>
      </w:r>
      <w:bookmarkStart w:id="8" w:name="_GoBack"/>
      <w:bookmarkEnd w:id="8"/>
      <w:r w:rsidRPr="00E42873">
        <w:t>2017/1939</w:t>
      </w:r>
      <w:r w:rsidRPr="00E42873">
        <w:rPr>
          <w:rStyle w:val="FootnoteReference"/>
        </w:rPr>
        <w:footnoteReference w:id="4"/>
      </w:r>
      <w:r w:rsidRPr="00E42873">
        <w:t>,</w:t>
      </w:r>
    </w:p>
    <w:p w14:paraId="4FA0686B" w14:textId="77777777" w:rsidR="007455F5" w:rsidRPr="00E42873" w:rsidRDefault="007455F5" w:rsidP="00A248D2">
      <w:pPr>
        <w:pStyle w:val="NormalHanging12a"/>
        <w:widowControl/>
      </w:pPr>
      <w:r w:rsidRPr="00E42873">
        <w:t>–</w:t>
      </w:r>
      <w:r w:rsidRPr="00E42873">
        <w:tab/>
        <w:t xml:space="preserve">ottaa huomioon luonnollisten henkilöiden suojelusta henkilötietojen käsittelyssä sekä näiden tietojen vapaasta liikkuvuudesta ja direktiivin 95/46/EY kumoamisesta </w:t>
      </w:r>
      <w:r w:rsidRPr="00E42873">
        <w:lastRenderedPageBreak/>
        <w:t>27. huhtikuuta 2016 annetun Euroopan parlamentin ja neuvoston asetuksen (EU) 2016/679</w:t>
      </w:r>
      <w:r w:rsidRPr="00E42873">
        <w:rPr>
          <w:rStyle w:val="FootnoteReference"/>
        </w:rPr>
        <w:footnoteReference w:id="5"/>
      </w:r>
      <w:r w:rsidRPr="00E42873">
        <w:t xml:space="preserve"> (yleinen tietosuoja-asetus),</w:t>
      </w:r>
    </w:p>
    <w:p w14:paraId="57D2AD08" w14:textId="77777777" w:rsidR="007455F5" w:rsidRPr="00E42873" w:rsidRDefault="007455F5" w:rsidP="00A248D2">
      <w:pPr>
        <w:pStyle w:val="NormalHanging12a"/>
        <w:widowControl/>
      </w:pPr>
      <w:r w:rsidRPr="00E42873">
        <w:t>–</w:t>
      </w:r>
      <w:r w:rsidRPr="00E42873">
        <w:tab/>
        <w:t>ottaa huomioon unionin taloudellisiin etuihin kohdistuvien petosten torjunnasta rikosoikeudellisin keinoin 5. heinäkuuta 2017 annetun Euroopan parlamentin ja neuvoston direktiivin (EU) 2017/1371</w:t>
      </w:r>
      <w:r w:rsidRPr="00E42873">
        <w:rPr>
          <w:rStyle w:val="FootnoteReference"/>
        </w:rPr>
        <w:footnoteReference w:id="6"/>
      </w:r>
      <w:r w:rsidRPr="00E42873">
        <w:t>,</w:t>
      </w:r>
    </w:p>
    <w:p w14:paraId="4844F5C8" w14:textId="77777777" w:rsidR="00A248D2" w:rsidRDefault="007455F5" w:rsidP="00A248D2">
      <w:pPr>
        <w:pStyle w:val="NormalHanging12a"/>
        <w:widowControl/>
      </w:pPr>
      <w:r w:rsidRPr="00E42873">
        <w:t>–</w:t>
      </w:r>
      <w:r w:rsidRPr="00E42873">
        <w:tab/>
        <w:t>ottaa huomioon rasismin ja muukalaisvihan tiettyjen muotojen ja ilmaisujen torjumisesta rikosoikeudellisin keinoin 28. marraskuuta 2008 tehdyn neuvoston puitepäätöksen 2008/913/YOS</w:t>
      </w:r>
      <w:r w:rsidRPr="00E42873">
        <w:rPr>
          <w:rStyle w:val="FootnoteReference"/>
        </w:rPr>
        <w:footnoteReference w:id="7"/>
      </w:r>
      <w:r w:rsidRPr="00E42873">
        <w:t>,</w:t>
      </w:r>
    </w:p>
    <w:p w14:paraId="1895C663" w14:textId="77777777" w:rsidR="007455F5" w:rsidRPr="00E42873" w:rsidRDefault="007455F5" w:rsidP="00A248D2">
      <w:pPr>
        <w:pStyle w:val="NormalHanging12a"/>
        <w:widowControl/>
        <w:rPr>
          <w:szCs w:val="24"/>
        </w:rPr>
      </w:pPr>
      <w:r w:rsidRPr="00E42873">
        <w:t>–</w:t>
      </w:r>
      <w:r w:rsidRPr="00E42873">
        <w:tab/>
        <w:t>ottaa huomioon rodusta tai etnisestä alkuperästä riippumattoman yhdenvertaisen kohtelun periaatteen täytäntöönpanosta 29. kesäkuuta 2000 annetun neuvoston direktiivin 2000/43/EY</w:t>
      </w:r>
      <w:r w:rsidRPr="00E42873">
        <w:rPr>
          <w:rStyle w:val="FootnoteReference"/>
        </w:rPr>
        <w:footnoteReference w:id="8"/>
      </w:r>
      <w:r w:rsidRPr="00E42873">
        <w:t xml:space="preserve"> ja komission tämän direktiivin perusteella useita jäsenvaltioita vastaan käynnistämät, vireillä olevat rikkomusmenettelyt, joista yhdessä komissio on nostanut kanteen unionin tuomioistuimessa,</w:t>
      </w:r>
    </w:p>
    <w:p w14:paraId="44E87771" w14:textId="77777777" w:rsidR="00A248D2" w:rsidRDefault="007455F5" w:rsidP="00A248D2">
      <w:pPr>
        <w:pStyle w:val="NormalHanging12a"/>
        <w:widowControl/>
      </w:pPr>
      <w:r w:rsidRPr="00E42873">
        <w:t>–</w:t>
      </w:r>
      <w:r w:rsidRPr="00E42873">
        <w:tab/>
        <w:t>ottaa huomioon romanien tasa-arvosta, osallisuudesta ja osallistumisesta 12. maaliskuuta 2021 annetun neuvoston suosituksen (2021/C 93/01)</w:t>
      </w:r>
      <w:r w:rsidRPr="00E42873">
        <w:rPr>
          <w:rStyle w:val="FootnoteReference"/>
        </w:rPr>
        <w:footnoteReference w:id="9"/>
      </w:r>
      <w:r w:rsidRPr="00E42873">
        <w:t>,</w:t>
      </w:r>
    </w:p>
    <w:p w14:paraId="253AFBB9" w14:textId="77777777" w:rsidR="007455F5" w:rsidRPr="00E42873" w:rsidRDefault="007455F5" w:rsidP="00A248D2">
      <w:pPr>
        <w:pStyle w:val="NormalHanging12a"/>
        <w:widowControl/>
        <w:rPr>
          <w:szCs w:val="24"/>
        </w:rPr>
      </w:pPr>
      <w:r w:rsidRPr="00E42873">
        <w:t>–</w:t>
      </w:r>
      <w:r w:rsidRPr="00E42873">
        <w:tab/>
        <w:t>ottaa huomioon 9. tammikuuta 2023 annetun komission tiedonannon ”Arviointikertomus romaneja koskevista jäsenvaltioiden kansallisista strategiakehyksistä” (</w:t>
      </w:r>
      <w:proofErr w:type="gramStart"/>
      <w:r w:rsidRPr="00E42873">
        <w:t>COM(</w:t>
      </w:r>
      <w:proofErr w:type="gramEnd"/>
      <w:r w:rsidRPr="00E42873">
        <w:t>2023)0007),</w:t>
      </w:r>
    </w:p>
    <w:p w14:paraId="62D7C198" w14:textId="77777777" w:rsidR="007455F5" w:rsidRPr="00E42873" w:rsidRDefault="007455F5" w:rsidP="00A248D2">
      <w:pPr>
        <w:pStyle w:val="NormalHanging12a"/>
        <w:widowControl/>
      </w:pPr>
      <w:r w:rsidRPr="00E42873">
        <w:t>–</w:t>
      </w:r>
      <w:r w:rsidRPr="00E42873">
        <w:tab/>
        <w:t>ottaa huomioon toimittajien ja muiden media-alan ammattilaisten suojelun, turvallisuuden ja voimaannuttamisen varmistamisesta Euroopan unionissa 16. syyskuuta 2021 annetun komission suosituksen (EU) 2021/1534</w:t>
      </w:r>
      <w:r w:rsidRPr="00E42873">
        <w:rPr>
          <w:rStyle w:val="FootnoteReference"/>
        </w:rPr>
        <w:footnoteReference w:id="10"/>
      </w:r>
      <w:r w:rsidRPr="00E42873">
        <w:t>,</w:t>
      </w:r>
    </w:p>
    <w:p w14:paraId="0A2AD8D0" w14:textId="77777777" w:rsidR="007455F5" w:rsidRPr="00E42873" w:rsidRDefault="007455F5" w:rsidP="00A248D2">
      <w:pPr>
        <w:pStyle w:val="NormalHanging12a"/>
        <w:widowControl/>
      </w:pPr>
      <w:r w:rsidRPr="00E42873">
        <w:t>–</w:t>
      </w:r>
      <w:r w:rsidRPr="00E42873">
        <w:tab/>
        <w:t>ottaa huomioon 9. joulukuuta 2021 annetun komission tiedonannon ”Osallistavampi ja suojelevampi Eurooppa: EU-rikosten luettelon laajentaminen kattamaan vihapuheen ja viharikokset” (</w:t>
      </w:r>
      <w:proofErr w:type="gramStart"/>
      <w:r w:rsidRPr="00E42873">
        <w:t>COM(</w:t>
      </w:r>
      <w:proofErr w:type="gramEnd"/>
      <w:r w:rsidRPr="00E42873">
        <w:t>2021)0777),</w:t>
      </w:r>
    </w:p>
    <w:p w14:paraId="28CC48F4" w14:textId="77777777" w:rsidR="007455F5" w:rsidRPr="00E42873" w:rsidRDefault="007455F5" w:rsidP="00A248D2">
      <w:pPr>
        <w:pStyle w:val="NormalHanging12a"/>
        <w:widowControl/>
      </w:pPr>
      <w:r w:rsidRPr="00E42873">
        <w:t>–</w:t>
      </w:r>
      <w:r w:rsidRPr="00E42873">
        <w:tab/>
        <w:t>ottaa huomioon 5. maaliskuuta 2020 annetun komission tiedonannon ”Tasa-arvon unioni: sukupuolten tasa-arvostrategia 2020–2025” (</w:t>
      </w:r>
      <w:proofErr w:type="gramStart"/>
      <w:r w:rsidRPr="00E42873">
        <w:t>COM(</w:t>
      </w:r>
      <w:proofErr w:type="gramEnd"/>
      <w:r w:rsidRPr="00E42873">
        <w:t>2020)0152),</w:t>
      </w:r>
    </w:p>
    <w:p w14:paraId="4017849E" w14:textId="77777777" w:rsidR="007455F5" w:rsidRPr="00E42873" w:rsidRDefault="007455F5" w:rsidP="00A248D2">
      <w:pPr>
        <w:pStyle w:val="NormalHanging12a"/>
        <w:widowControl/>
      </w:pPr>
      <w:r w:rsidRPr="00E42873">
        <w:t>–</w:t>
      </w:r>
      <w:r w:rsidRPr="00E42873">
        <w:tab/>
        <w:t>ottaa huomioon 24. kesäkuuta 2020 annetun komission tiedonannon ”Uhrien oikeuksia koskeva EU:n strategia (2020–2025)” (</w:t>
      </w:r>
      <w:proofErr w:type="gramStart"/>
      <w:r w:rsidRPr="00E42873">
        <w:t>COM(</w:t>
      </w:r>
      <w:proofErr w:type="gramEnd"/>
      <w:r w:rsidRPr="00E42873">
        <w:t>2020)0258),</w:t>
      </w:r>
    </w:p>
    <w:p w14:paraId="61478247" w14:textId="77777777" w:rsidR="007455F5" w:rsidRPr="00E42873" w:rsidRDefault="007455F5" w:rsidP="00A248D2">
      <w:pPr>
        <w:pStyle w:val="NormalHanging12a"/>
        <w:widowControl/>
      </w:pPr>
      <w:r w:rsidRPr="00E42873">
        <w:t>–</w:t>
      </w:r>
      <w:r w:rsidRPr="00E42873">
        <w:tab/>
        <w:t>ottaa huomioon 12. marraskuuta 2020 annetun komission tiedonannon ”Tasa-arvon unioni: hlbtiq-henkilöiden tasa-arvoa koskeva strategia 2020–2025” (</w:t>
      </w:r>
      <w:proofErr w:type="gramStart"/>
      <w:r w:rsidRPr="00E42873">
        <w:t>COM(</w:t>
      </w:r>
      <w:proofErr w:type="gramEnd"/>
      <w:r w:rsidRPr="00E42873">
        <w:t>2020)0698),</w:t>
      </w:r>
    </w:p>
    <w:p w14:paraId="0F5DD8AE" w14:textId="77777777" w:rsidR="007455F5" w:rsidRPr="00E42873" w:rsidRDefault="007455F5" w:rsidP="00A248D2">
      <w:pPr>
        <w:pStyle w:val="NormalHanging12a"/>
        <w:widowControl/>
      </w:pPr>
      <w:r w:rsidRPr="00E42873">
        <w:t>–</w:t>
      </w:r>
      <w:r w:rsidRPr="00E42873">
        <w:tab/>
        <w:t>ottaa huomioon 2. maaliskuuta 2022 annetut neuvoston päätelmät rasismin ja antisemitismin torjunnasta,</w:t>
      </w:r>
    </w:p>
    <w:p w14:paraId="1E4E3A7E" w14:textId="77777777" w:rsidR="007455F5" w:rsidRPr="00E42873" w:rsidRDefault="007455F5" w:rsidP="00A248D2">
      <w:pPr>
        <w:pStyle w:val="NormalHanging12a"/>
        <w:widowControl/>
      </w:pPr>
      <w:r w:rsidRPr="00E42873">
        <w:t>–</w:t>
      </w:r>
      <w:r w:rsidRPr="00E42873">
        <w:tab/>
        <w:t>ottaa huomioon 2. joulukuuta 2020 annetun komission tiedonannon strategiasta perusoikeuskirjan soveltamisen vahvistamiseksi Euroopan unionissa (</w:t>
      </w:r>
      <w:proofErr w:type="gramStart"/>
      <w:r w:rsidRPr="00E42873">
        <w:t>COM(</w:t>
      </w:r>
      <w:proofErr w:type="gramEnd"/>
      <w:r w:rsidRPr="00E42873">
        <w:t>2020)0711),</w:t>
      </w:r>
    </w:p>
    <w:p w14:paraId="3A26BEDA" w14:textId="77777777" w:rsidR="007455F5" w:rsidRPr="00E42873" w:rsidRDefault="007455F5" w:rsidP="00A248D2">
      <w:pPr>
        <w:pStyle w:val="NormalHanging12a"/>
        <w:widowControl/>
      </w:pPr>
      <w:r w:rsidRPr="00E42873">
        <w:t>–</w:t>
      </w:r>
      <w:r w:rsidRPr="00E42873">
        <w:tab/>
        <w:t>ottaa huomioon 6. joulukuuta 2022 annetun komission kertomuksen ”Kukoistava kansalaisyhteiskunta perusoikeuksien puolustamiseksi EU:ssa – EU:n perusoikeuskirjan soveltamista koskeva kertomus vuodelta 2022” (</w:t>
      </w:r>
      <w:proofErr w:type="gramStart"/>
      <w:r w:rsidRPr="00E42873">
        <w:t>COM(</w:t>
      </w:r>
      <w:proofErr w:type="gramEnd"/>
      <w:r w:rsidRPr="00E42873">
        <w:t>2022)0716),</w:t>
      </w:r>
    </w:p>
    <w:p w14:paraId="7B748B2E" w14:textId="77777777" w:rsidR="007455F5" w:rsidRPr="00E42873" w:rsidRDefault="007455F5" w:rsidP="00A248D2">
      <w:pPr>
        <w:pStyle w:val="NormalHanging12a"/>
        <w:widowControl/>
      </w:pPr>
      <w:r w:rsidRPr="00E42873">
        <w:t>–</w:t>
      </w:r>
      <w:r w:rsidRPr="00E42873">
        <w:tab/>
        <w:t>ottaa huomioon tutkintavankeudessa olevien epäiltyjen ja syytettyjen henkilöiden prosessuaalisista oikeuksista ja aineellisista vankeusolosuhteista 8. joulukuuta 2022 annetun komission suosituksen (EU) 2023/681</w:t>
      </w:r>
      <w:r w:rsidRPr="00E42873">
        <w:rPr>
          <w:rStyle w:val="FootnoteReference"/>
        </w:rPr>
        <w:footnoteReference w:id="11"/>
      </w:r>
      <w:r w:rsidRPr="00E42873">
        <w:t>,</w:t>
      </w:r>
    </w:p>
    <w:p w14:paraId="410C69AF" w14:textId="77777777" w:rsidR="00A248D2" w:rsidRDefault="007455F5" w:rsidP="00A248D2">
      <w:pPr>
        <w:pStyle w:val="NormalHanging12a"/>
        <w:widowControl/>
      </w:pPr>
      <w:r w:rsidRPr="00E42873">
        <w:t>–</w:t>
      </w:r>
      <w:r w:rsidRPr="00E42873">
        <w:tab/>
        <w:t>ottaa huomioon 5. heinäkuuta 2023 annetun komission tiedonannon ”Oikeusvaltiokertomus 2023 – Oikeusvaltiotilanne Euroopan unionissa” (</w:t>
      </w:r>
      <w:proofErr w:type="gramStart"/>
      <w:r w:rsidRPr="00E42873">
        <w:t>COM(</w:t>
      </w:r>
      <w:proofErr w:type="gramEnd"/>
      <w:r w:rsidRPr="00E42873">
        <w:t>2023)0800), sen 27 maakohtaista lukua ja siihen liitetyt suositukset jäsenvaltioille,</w:t>
      </w:r>
    </w:p>
    <w:p w14:paraId="143F2FB9" w14:textId="77777777" w:rsidR="007455F5" w:rsidRPr="00E42873" w:rsidRDefault="007455F5" w:rsidP="00A248D2">
      <w:pPr>
        <w:pStyle w:val="NormalHanging12a"/>
        <w:widowControl/>
        <w:rPr>
          <w:szCs w:val="24"/>
        </w:rPr>
      </w:pPr>
      <w:r w:rsidRPr="00E42873">
        <w:t>–</w:t>
      </w:r>
      <w:r w:rsidRPr="00E42873">
        <w:tab/>
        <w:t>ottaa huomioon Euroopan sosiaalisten oikeuksien pilarin, myös sen yhtäläisiä mahdollisuuksia koskevan kolmannen periaatteen, sekä 4. maaliskuuta 2021 annetun komission tiedonannon Euroopan sosiaalisten oikeuksien pilaria koskevasta toimintasuunnitelmasta (</w:t>
      </w:r>
      <w:proofErr w:type="gramStart"/>
      <w:r w:rsidRPr="00E42873">
        <w:t>COM(</w:t>
      </w:r>
      <w:proofErr w:type="gramEnd"/>
      <w:r w:rsidRPr="00E42873">
        <w:t>2021)0102),</w:t>
      </w:r>
    </w:p>
    <w:p w14:paraId="57169B2E" w14:textId="77777777" w:rsidR="007455F5" w:rsidRPr="00E42873" w:rsidRDefault="007455F5" w:rsidP="00A248D2">
      <w:pPr>
        <w:pStyle w:val="NormalHanging12a"/>
        <w:widowControl/>
      </w:pPr>
      <w:r w:rsidRPr="00E42873">
        <w:t>–</w:t>
      </w:r>
      <w:r w:rsidRPr="00E42873">
        <w:tab/>
        <w:t>ottaa huomioon 27. huhtikuuta 2022 annetun komission ehdotuksen Euroopan parlamentin ja neuvoston direktiiviksi julkista osallistumista harjoittavien henkilöiden suojelemisesta ilmeisen perusteettomilta kanteilta ja oikeudellisten menettelyjen väärinkäytöltä (”julkisen osallistumisen vastaiset strategiset häirintäkanteet”)” (</w:t>
      </w:r>
      <w:proofErr w:type="gramStart"/>
      <w:r w:rsidRPr="00E42873">
        <w:t>COM(</w:t>
      </w:r>
      <w:proofErr w:type="gramEnd"/>
      <w:r w:rsidRPr="00E42873">
        <w:t>2022)0177), jäljempänä ’SLAPP-kannedirektiivi’, ja siihen liitetyn suosituksen,</w:t>
      </w:r>
    </w:p>
    <w:p w14:paraId="194C1EC9" w14:textId="77777777" w:rsidR="007455F5" w:rsidRPr="00E42873" w:rsidRDefault="007455F5" w:rsidP="00A248D2">
      <w:pPr>
        <w:pStyle w:val="NormalHanging12a"/>
        <w:widowControl/>
        <w:rPr>
          <w:szCs w:val="24"/>
        </w:rPr>
      </w:pPr>
      <w:r w:rsidRPr="00E42873">
        <w:t>–</w:t>
      </w:r>
      <w:r w:rsidRPr="00E42873">
        <w:tab/>
        <w:t>ottaa huomioon 16. syyskuuta 2022 annetun komission ehdotuksen Euroopan parlamentin ja neuvoston asetukseksi mediapalvelujen yhteisestä kehyksestä sisämarkkinoilla (eurooppalainen medianvapaussäädös) ja direktiivin 2010/13/EU muuttamisesta (COM(2022)0457), jäljempänä ’medianvapaussäädös’, ja siihen liitetyn suosituksen toimituksellista riippumattomuutta ja omistussuhteiden läpinäkyvyyttä koskevista sisäisistä suojatoimista media-alalla</w:t>
      </w:r>
      <w:r w:rsidRPr="00E42873">
        <w:rPr>
          <w:rStyle w:val="FootnoteReference"/>
        </w:rPr>
        <w:footnoteReference w:id="12"/>
      </w:r>
      <w:r w:rsidRPr="00E42873">
        <w:t>,</w:t>
      </w:r>
    </w:p>
    <w:p w14:paraId="1845CE27" w14:textId="77777777" w:rsidR="007455F5" w:rsidRPr="00E42873" w:rsidRDefault="007455F5" w:rsidP="00A248D2">
      <w:pPr>
        <w:pStyle w:val="NormalHanging12a"/>
        <w:widowControl/>
      </w:pPr>
      <w:r w:rsidRPr="00E42873">
        <w:t>–</w:t>
      </w:r>
      <w:r w:rsidRPr="00E42873">
        <w:tab/>
        <w:t>ottaa huomioon 7. joulukuuta 2022 annetun komission ehdotuksen neuvoston direktiiviksi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direktiivin 2000/43/EY 13 artiklan ja direktiivin 2004/113/EY 12 artiklan kumoamisesta (COM(2022)0689),</w:t>
      </w:r>
    </w:p>
    <w:p w14:paraId="49026C6F" w14:textId="77777777" w:rsidR="007455F5" w:rsidRPr="00E42873" w:rsidRDefault="007455F5" w:rsidP="00A248D2">
      <w:pPr>
        <w:pStyle w:val="NormalHanging12a"/>
        <w:widowControl/>
        <w:rPr>
          <w:szCs w:val="24"/>
        </w:rPr>
      </w:pPr>
      <w:r w:rsidRPr="00E42873">
        <w:t>–</w:t>
      </w:r>
      <w:r w:rsidRPr="00E42873">
        <w:tab/>
        <w:t>ottaa huomioon 7. joulukuuta 2022 annetun komission ehdotuksen neuvoston asetukseksi toimivallasta, sovellettavasta laista, päätösten tunnustamisesta ja virallisten asiakirjojen hyväksymisestä vanhemmuusasioissa sekä eurooppalaisen vanhemmuustodistuksen käyttöönotosta (</w:t>
      </w:r>
      <w:proofErr w:type="gramStart"/>
      <w:r w:rsidRPr="00E42873">
        <w:t>COM(</w:t>
      </w:r>
      <w:proofErr w:type="gramEnd"/>
      <w:r w:rsidRPr="00E42873">
        <w:t>2022)0695),</w:t>
      </w:r>
    </w:p>
    <w:p w14:paraId="7D06B5FD" w14:textId="77777777" w:rsidR="007455F5" w:rsidRPr="00E42873" w:rsidRDefault="007455F5" w:rsidP="00A248D2">
      <w:pPr>
        <w:pStyle w:val="NormalHanging12a"/>
        <w:widowControl/>
      </w:pPr>
      <w:r w:rsidRPr="00E42873">
        <w:t>–</w:t>
      </w:r>
      <w:r w:rsidRPr="00E42873">
        <w:tab/>
        <w:t>ottaa huomioon 7. joulukuuta 2022 annetun komission ehdotuksen Euroopan parlamentin ja neuvoston direktiiviksi tasa-arvoelimiä koskevista normeista naisten ja miesten yhdenvertaiseen kohteluun ja yhtäläisiin mahdollisuuksiin työssä ja ammatissa liittyvissä asioissa sekä direktiivin 2006/54/EY 20 artiklan ja direktiivin 2010/41/EU 11 artiklan kumoamisesta (</w:t>
      </w:r>
      <w:proofErr w:type="gramStart"/>
      <w:r w:rsidRPr="00E42873">
        <w:t>COM(</w:t>
      </w:r>
      <w:proofErr w:type="gramEnd"/>
      <w:r w:rsidRPr="00E42873">
        <w:t>2022)0688),</w:t>
      </w:r>
    </w:p>
    <w:p w14:paraId="058098AF" w14:textId="77777777" w:rsidR="007455F5" w:rsidRPr="00E42873" w:rsidRDefault="007455F5" w:rsidP="00A248D2">
      <w:pPr>
        <w:pStyle w:val="NormalHanging12a"/>
        <w:widowControl/>
      </w:pPr>
      <w:r w:rsidRPr="00E42873">
        <w:t>–</w:t>
      </w:r>
      <w:r w:rsidRPr="00E42873">
        <w:tab/>
        <w:t xml:space="preserve">ottaa huomioon EU:n perusoikeusviraston raportit ja erityisesti sen perusoikeusraportit vuosilta 2022 </w:t>
      </w:r>
      <w:proofErr w:type="gramStart"/>
      <w:r w:rsidRPr="00E42873">
        <w:t>ja  2023</w:t>
      </w:r>
      <w:proofErr w:type="gramEnd"/>
      <w:r w:rsidRPr="00E42873">
        <w:t>, FRANET-tutkimusverkoston maakohtaiset raportit mukaan lukien,</w:t>
      </w:r>
    </w:p>
    <w:p w14:paraId="316E2919" w14:textId="77777777" w:rsidR="007455F5" w:rsidRPr="00E42873" w:rsidRDefault="007455F5" w:rsidP="00A248D2">
      <w:pPr>
        <w:pStyle w:val="NormalHanging12a"/>
        <w:widowControl/>
      </w:pPr>
      <w:r w:rsidRPr="00E42873">
        <w:t>–</w:t>
      </w:r>
      <w:r w:rsidRPr="00E42873">
        <w:tab/>
        <w:t>ottaa huomioon ihmisoikeuksien yleismaailmallisen julistuksen,</w:t>
      </w:r>
    </w:p>
    <w:p w14:paraId="6A2B6E69" w14:textId="77777777" w:rsidR="007455F5" w:rsidRPr="00E42873" w:rsidRDefault="007455F5" w:rsidP="00A248D2">
      <w:pPr>
        <w:pStyle w:val="NormalHanging12a"/>
        <w:widowControl/>
      </w:pPr>
      <w:r w:rsidRPr="00E42873">
        <w:t>–</w:t>
      </w:r>
      <w:r w:rsidRPr="00E42873">
        <w:tab/>
        <w:t>ottaa huomioon YK:n välineet ihmisoikeuksien ja perusvapauksien suojaamisesta, mukaan lukien kansalaisoikeuksia ja poliittisia oikeuksia koskeva kansainvälinen yleissopimus, kaikkinaisen rotusyrjinnän poistamista koskeva kansainvälinen yleissopimus, kaikkinaisen naisten syrjinnän poistamista koskeva yleissopimus ja yleissopimus vammaisten henkilöiden oikeuksista, YK:n yleisen määräaikaisarvioinnin yhteydessä annetut suositukset ja raportit, YK:n sopimuselinten oikeuskäytännön ja YK:n ihmisoikeusneuvoston erityismenettelyt,</w:t>
      </w:r>
    </w:p>
    <w:p w14:paraId="1F37932E" w14:textId="77777777" w:rsidR="00A248D2" w:rsidRDefault="007455F5" w:rsidP="00A248D2">
      <w:pPr>
        <w:pStyle w:val="NormalHanging12a"/>
        <w:widowControl/>
      </w:pPr>
      <w:r w:rsidRPr="00E42873">
        <w:t>–</w:t>
      </w:r>
      <w:r w:rsidRPr="00E42873">
        <w:tab/>
        <w:t>ottaa huomioon YK:n kestävän kehityksen Agenda 2030 -toimintaohjelman,</w:t>
      </w:r>
    </w:p>
    <w:p w14:paraId="321607CE" w14:textId="77777777" w:rsidR="00A248D2" w:rsidRDefault="007455F5" w:rsidP="00A248D2">
      <w:pPr>
        <w:pStyle w:val="NormalHanging12a"/>
        <w:widowControl/>
      </w:pPr>
      <w:r w:rsidRPr="00E42873">
        <w:t>–</w:t>
      </w:r>
      <w:r w:rsidRPr="00E42873">
        <w:tab/>
        <w:t>ottaa huomioon Euroopan ihmisoikeussopimuksen ja Euroopan ihmisoikeustuomioistuimen oikeuskäytännön,</w:t>
      </w:r>
    </w:p>
    <w:p w14:paraId="1236373D" w14:textId="77777777" w:rsidR="00A248D2" w:rsidRDefault="007455F5" w:rsidP="00A248D2">
      <w:pPr>
        <w:pStyle w:val="NormalHanging12a"/>
        <w:widowControl/>
      </w:pPr>
      <w:r w:rsidRPr="00E42873">
        <w:t>–</w:t>
      </w:r>
      <w:r w:rsidRPr="00E42873">
        <w:tab/>
        <w:t>ottaa huomioon naisiin kohdistuvan väkivallan ja perheväkivallan ehkäisemisestä ja torjumisesta tehdyn Euroopan neuvoston yleissopimuksen, joka avattiin allekirjoitettavaksi 11. toukokuuta 2011 Istanbulissa, jäljempänä ’Istanbulin yleissopimus’, ja jonka Euroopan unioni ratifioi 28. kesäkuuta 2023,</w:t>
      </w:r>
    </w:p>
    <w:p w14:paraId="44F1EAFD" w14:textId="77777777" w:rsidR="007455F5" w:rsidRPr="00E42873" w:rsidRDefault="007455F5" w:rsidP="00A248D2">
      <w:pPr>
        <w:pStyle w:val="NormalHanging12a"/>
        <w:widowControl/>
        <w:rPr>
          <w:szCs w:val="24"/>
        </w:rPr>
      </w:pPr>
      <w:r w:rsidRPr="00E42873">
        <w:t>–</w:t>
      </w:r>
      <w:r w:rsidRPr="00E42873">
        <w:tab/>
        <w:t>ottaa huomioon demokraattisten instituutioiden ja ihmisoikeuksien toimiston, vähemmistövaltuutetun ja muiden Euroopan turvallisuus- ja yhteistyöjärjestön (Etyj) elinten suositukset ja raportit,</w:t>
      </w:r>
    </w:p>
    <w:p w14:paraId="0FD0BEDC" w14:textId="77777777" w:rsidR="007455F5" w:rsidRPr="00E42873" w:rsidRDefault="007455F5" w:rsidP="00A248D2">
      <w:pPr>
        <w:pStyle w:val="NormalHanging12a"/>
        <w:widowControl/>
      </w:pPr>
      <w:r w:rsidRPr="00E42873">
        <w:t>–</w:t>
      </w:r>
      <w:r w:rsidRPr="00E42873">
        <w:tab/>
        <w:t>ottaa huomioon 23. maaliskuuta 2023 päivätyn Euroopan neuvoston raportin ”Human Rights Defenders in the Council of Europe Area in Times of Crises” Euroopan neuvoston ihmisoikeusvaltuutetun toimiston ihmisoikeuksien puolustajien kanssa järjestämän, Dublinissa 24.–25. lokakuuta 2022 pidetyn pyöreän pöydän keskustelun</w:t>
      </w:r>
      <w:r w:rsidRPr="00E42873">
        <w:rPr>
          <w:rStyle w:val="FootnoteReference"/>
        </w:rPr>
        <w:footnoteReference w:id="13"/>
      </w:r>
      <w:r w:rsidRPr="00E42873">
        <w:t xml:space="preserve"> jälkeen,</w:t>
      </w:r>
    </w:p>
    <w:p w14:paraId="5636B452" w14:textId="77777777" w:rsidR="00A248D2" w:rsidRDefault="007455F5" w:rsidP="00A248D2">
      <w:pPr>
        <w:pStyle w:val="NormalHanging12a"/>
        <w:widowControl/>
      </w:pPr>
      <w:r w:rsidRPr="00E42873">
        <w:t>–</w:t>
      </w:r>
      <w:r w:rsidRPr="00E42873">
        <w:tab/>
        <w:t>ottaa huomioon kansallisten vähemmistöjen suojelua koskevan Euroopan neuvoston puiteyleissopimuksen sekä alueellisia kieliä ja vähemmistökieliä koskevan eurooppalaisen peruskirjan,</w:t>
      </w:r>
    </w:p>
    <w:p w14:paraId="0BB082B0" w14:textId="77777777" w:rsidR="007455F5" w:rsidRPr="00E42873" w:rsidRDefault="007455F5" w:rsidP="00A248D2">
      <w:pPr>
        <w:pStyle w:val="NormalHanging12a"/>
        <w:widowControl/>
        <w:rPr>
          <w:szCs w:val="24"/>
        </w:rPr>
      </w:pPr>
      <w:r w:rsidRPr="00E42873">
        <w:t>–</w:t>
      </w:r>
      <w:r w:rsidRPr="00E42873">
        <w:tab/>
        <w:t>ottaa huomioon Euroopan neuvoston Euroopan sosiaalisen peruskirjan,</w:t>
      </w:r>
    </w:p>
    <w:p w14:paraId="0D9245B3" w14:textId="77777777" w:rsidR="007455F5" w:rsidRPr="00E42873" w:rsidRDefault="007455F5" w:rsidP="00A248D2">
      <w:pPr>
        <w:pStyle w:val="NormalHanging12a"/>
        <w:widowControl/>
        <w:rPr>
          <w:szCs w:val="24"/>
        </w:rPr>
      </w:pPr>
      <w:r w:rsidRPr="00E42873">
        <w:t>–</w:t>
      </w:r>
      <w:r w:rsidRPr="00E42873">
        <w:tab/>
        <w:t>ottaa huomioon Euroopan neuvoston ihmisoikeusvaltuutetun lausunnot, suositukset ja raportit,</w:t>
      </w:r>
    </w:p>
    <w:p w14:paraId="3F889A80" w14:textId="77777777" w:rsidR="007455F5" w:rsidRPr="00E42873" w:rsidRDefault="007455F5" w:rsidP="00A248D2">
      <w:pPr>
        <w:pStyle w:val="NormalHanging12a"/>
        <w:widowControl/>
        <w:rPr>
          <w:szCs w:val="24"/>
        </w:rPr>
      </w:pPr>
      <w:r w:rsidRPr="00E42873">
        <w:t>–</w:t>
      </w:r>
      <w:r w:rsidRPr="00E42873">
        <w:tab/>
        <w:t>ottaa huomioon Euroopan neuvoston ja erityisesti Venetsian komission, Euroopan rasismin ja suvaitsemattomuuden vastaisen komission (ECRI), GREVIOn ja GRECOn suositukset ja raportit,</w:t>
      </w:r>
    </w:p>
    <w:p w14:paraId="769BFC5C" w14:textId="77777777" w:rsidR="007455F5" w:rsidRPr="00E42873" w:rsidRDefault="007455F5" w:rsidP="00A248D2">
      <w:pPr>
        <w:pStyle w:val="NormalHanging12a"/>
        <w:widowControl/>
        <w:rPr>
          <w:szCs w:val="24"/>
        </w:rPr>
      </w:pPr>
      <w:r w:rsidRPr="00E42873">
        <w:t>–</w:t>
      </w:r>
      <w:r w:rsidRPr="00E42873">
        <w:tab/>
        <w:t>ottaa huomioon 13. marraskuuta 2018 antamansa päätöslauselman vähemmistöjä koskevista vähimmäisnormeista EU:ssa</w:t>
      </w:r>
      <w:r w:rsidRPr="00E42873">
        <w:rPr>
          <w:rStyle w:val="FootnoteReference"/>
        </w:rPr>
        <w:footnoteReference w:id="14"/>
      </w:r>
      <w:r w:rsidRPr="00E42873">
        <w:t>,</w:t>
      </w:r>
    </w:p>
    <w:p w14:paraId="592D49C9" w14:textId="77777777" w:rsidR="007455F5" w:rsidRPr="00E42873" w:rsidRDefault="007455F5" w:rsidP="00A248D2">
      <w:pPr>
        <w:pStyle w:val="NormalHanging12a"/>
        <w:widowControl/>
        <w:rPr>
          <w:szCs w:val="24"/>
        </w:rPr>
      </w:pPr>
      <w:r w:rsidRPr="00E42873">
        <w:t>–</w:t>
      </w:r>
      <w:r w:rsidRPr="00E42873">
        <w:tab/>
        <w:t>ottaa huomioon 15. tammikuuta 2019 antamansa päätöslauselman sukupuolten tasa-arvosta ja EU:n veropolitiikasta</w:t>
      </w:r>
      <w:r w:rsidRPr="00E42873">
        <w:rPr>
          <w:rStyle w:val="FootnoteReference"/>
        </w:rPr>
        <w:footnoteReference w:id="15"/>
      </w:r>
      <w:r w:rsidRPr="00E42873">
        <w:t>,</w:t>
      </w:r>
    </w:p>
    <w:p w14:paraId="3974814E" w14:textId="77777777" w:rsidR="007455F5" w:rsidRPr="00E42873" w:rsidRDefault="007455F5" w:rsidP="00A248D2">
      <w:pPr>
        <w:pStyle w:val="NormalHanging12a"/>
        <w:widowControl/>
      </w:pPr>
      <w:r w:rsidRPr="00E42873">
        <w:t>–</w:t>
      </w:r>
      <w:r w:rsidRPr="00E42873">
        <w:tab/>
        <w:t>ottaa huomioon 11. marraskuuta 2021 antamansa päätöslauselman demokratian, tiedotusvälineiden vapauden ja moniarvoisuuden vahvistamisesta EU:ssa: yksityis- ja rikosoikeudellisten keinojen aiheeton käyttö toimittajien, kansalaisjärjestöjen ja kansalaisyhteiskunnan vaientamiseksi</w:t>
      </w:r>
      <w:r w:rsidRPr="00E42873">
        <w:rPr>
          <w:rStyle w:val="FootnoteReference"/>
        </w:rPr>
        <w:footnoteReference w:id="16"/>
      </w:r>
      <w:r w:rsidRPr="00E42873">
        <w:t>,</w:t>
      </w:r>
    </w:p>
    <w:p w14:paraId="45916CA5" w14:textId="77777777" w:rsidR="007455F5" w:rsidRPr="00E42873" w:rsidRDefault="007455F5" w:rsidP="00A248D2">
      <w:pPr>
        <w:pStyle w:val="NormalHanging12a"/>
        <w:widowControl/>
      </w:pPr>
      <w:r w:rsidRPr="00E42873">
        <w:t>–</w:t>
      </w:r>
      <w:r w:rsidRPr="00E42873">
        <w:tab/>
        <w:t>ottaa huomioon 15. joulukuuta 2021 antamansa päätöslauselman korruption, sääntöjenvastaisten menojen ja EU:n ja jäsenvaltioiden varojen väärinkäytön välttämiseen hätäapurahastojen ja kriiseihin liittyvien menoalojen tapauksessa tähtäävien ennaltaehkäisevien toimenpiteiden arvioinnista</w:t>
      </w:r>
      <w:r w:rsidRPr="00E42873">
        <w:rPr>
          <w:rStyle w:val="FootnoteReference"/>
        </w:rPr>
        <w:footnoteReference w:id="17"/>
      </w:r>
      <w:r w:rsidRPr="00E42873">
        <w:t>,</w:t>
      </w:r>
    </w:p>
    <w:p w14:paraId="7701D193" w14:textId="77777777" w:rsidR="007455F5" w:rsidRPr="00E42873" w:rsidRDefault="007455F5" w:rsidP="00A248D2">
      <w:pPr>
        <w:pStyle w:val="NormalHanging12a"/>
        <w:widowControl/>
      </w:pPr>
      <w:r w:rsidRPr="00E42873">
        <w:t>–</w:t>
      </w:r>
      <w:r w:rsidRPr="00E42873">
        <w:tab/>
        <w:t>ottaa huomioon 17. helmikuuta 2022 antamansa päätöslauselman suosituksista komissiolle eurooppalaisten rajatylittävien yhdistysten ja voittoa tavoittelemattomien järjestöjen säännöistä</w:t>
      </w:r>
      <w:r w:rsidRPr="00E42873">
        <w:rPr>
          <w:rStyle w:val="FootnoteReference"/>
        </w:rPr>
        <w:footnoteReference w:id="18"/>
      </w:r>
      <w:r w:rsidRPr="00E42873">
        <w:t>,</w:t>
      </w:r>
    </w:p>
    <w:p w14:paraId="1BD1FA3A" w14:textId="77777777" w:rsidR="007455F5" w:rsidRPr="00E42873" w:rsidRDefault="007455F5" w:rsidP="00A248D2">
      <w:pPr>
        <w:pStyle w:val="NormalHanging12a"/>
        <w:widowControl/>
      </w:pPr>
      <w:r w:rsidRPr="00E42873">
        <w:t>–</w:t>
      </w:r>
      <w:r w:rsidRPr="00E42873">
        <w:tab/>
        <w:t>ottaa huomioon 8. maaliskuuta 2022 antamansa päätöslauselman kansalaisyhteiskunnan toimintamahdollisuuksien kaventumisesta Euroopassa</w:t>
      </w:r>
      <w:r w:rsidRPr="00E42873">
        <w:rPr>
          <w:rStyle w:val="FootnoteReference"/>
        </w:rPr>
        <w:footnoteReference w:id="19"/>
      </w:r>
      <w:r w:rsidRPr="00E42873">
        <w:t>,</w:t>
      </w:r>
    </w:p>
    <w:p w14:paraId="6179466E" w14:textId="77777777" w:rsidR="007455F5" w:rsidRPr="00E42873" w:rsidRDefault="007455F5" w:rsidP="00A248D2">
      <w:pPr>
        <w:pStyle w:val="NormalHanging12a"/>
        <w:widowControl/>
      </w:pPr>
      <w:r w:rsidRPr="00E42873">
        <w:t>–</w:t>
      </w:r>
      <w:r w:rsidRPr="00E42873">
        <w:tab/>
        <w:t>ottaa huomioon 10. maaliskuuta 2022 antamansa päätöslauselman oikeusvaltioperiaatteesta ja unionin tuomioistuimen päätöksen seurauksista</w:t>
      </w:r>
      <w:r w:rsidRPr="00E42873">
        <w:rPr>
          <w:rStyle w:val="FootnoteReference"/>
        </w:rPr>
        <w:footnoteReference w:id="20"/>
      </w:r>
      <w:r w:rsidRPr="00E42873">
        <w:t>,</w:t>
      </w:r>
    </w:p>
    <w:p w14:paraId="048FCF1E" w14:textId="77777777" w:rsidR="007455F5" w:rsidRPr="00E42873" w:rsidRDefault="007455F5" w:rsidP="00A248D2">
      <w:pPr>
        <w:pStyle w:val="NormalHanging12a"/>
        <w:widowControl/>
      </w:pPr>
      <w:r w:rsidRPr="00E42873">
        <w:t>–</w:t>
      </w:r>
      <w:r w:rsidRPr="00E42873">
        <w:tab/>
        <w:t>ottaa huomioon 9. kesäkuuta 2022 antamansa päätöslauselman oikeusvaltioperiaatteesta ja mahdollisesta Puolan kansallisen elpymissuunnitelman hyväksymisestä</w:t>
      </w:r>
      <w:r w:rsidRPr="00E42873">
        <w:rPr>
          <w:rStyle w:val="FootnoteReference"/>
        </w:rPr>
        <w:footnoteReference w:id="21"/>
      </w:r>
      <w:r w:rsidRPr="00E42873">
        <w:t>,</w:t>
      </w:r>
    </w:p>
    <w:p w14:paraId="1C096D9E" w14:textId="77777777" w:rsidR="007455F5" w:rsidRPr="00E42873" w:rsidRDefault="007455F5" w:rsidP="00A248D2">
      <w:pPr>
        <w:pStyle w:val="NormalHanging12a"/>
        <w:widowControl/>
      </w:pPr>
      <w:r w:rsidRPr="00E42873">
        <w:t>–</w:t>
      </w:r>
      <w:r w:rsidRPr="00E42873">
        <w:tab/>
        <w:t>ottaa huomioon 6. heinäkuuta 2022 antamansa päätöslauselman intersektionaalisesta syrjinnästä Euroopan unionissa: afrikkalaista, Lähi-idän, latinalaisamerikkalaista ja aasialaista syntyperää olevien naisten sosioekonominen tilanne</w:t>
      </w:r>
      <w:r w:rsidRPr="00E42873">
        <w:rPr>
          <w:rStyle w:val="FootnoteReference"/>
        </w:rPr>
        <w:footnoteReference w:id="22"/>
      </w:r>
      <w:r w:rsidRPr="00E42873">
        <w:t>,</w:t>
      </w:r>
    </w:p>
    <w:p w14:paraId="30BF1752" w14:textId="77777777" w:rsidR="007455F5" w:rsidRPr="00E42873" w:rsidRDefault="007455F5" w:rsidP="00A248D2">
      <w:pPr>
        <w:pStyle w:val="NormalHanging12a"/>
        <w:widowControl/>
      </w:pPr>
      <w:r w:rsidRPr="00E42873">
        <w:t>–</w:t>
      </w:r>
      <w:r w:rsidRPr="00E42873">
        <w:tab/>
        <w:t>ottaa huomioon 15. syyskuuta 2022 antamansa päätöslauselman ehdotuksesta neuvoston päätökseksi sen toteamiseksi Euroopan unionista tehdyn sopimuksen 7 artiklan 1 kohdan nojalla, onko olemassa selvä vaara, että Unkari loukkaa vakavasti unionin perustana olevia arvoja</w:t>
      </w:r>
      <w:r w:rsidRPr="00E42873">
        <w:rPr>
          <w:rStyle w:val="FootnoteReference"/>
        </w:rPr>
        <w:footnoteReference w:id="23"/>
      </w:r>
      <w:r w:rsidRPr="00E42873">
        <w:t>,</w:t>
      </w:r>
    </w:p>
    <w:p w14:paraId="2DEE8539" w14:textId="77777777" w:rsidR="007455F5" w:rsidRPr="00E42873" w:rsidRDefault="007455F5" w:rsidP="00A248D2">
      <w:pPr>
        <w:pStyle w:val="NormalHanging12a"/>
        <w:widowControl/>
      </w:pPr>
      <w:r w:rsidRPr="00E42873">
        <w:t>–</w:t>
      </w:r>
      <w:r w:rsidRPr="00E42873">
        <w:tab/>
        <w:t>ottaa huomioon 5. lokakuuta 2022 antamansa päätöslauselman EU:ssa erillisillä asuinalueilla elävän romaniväestön tilanteesta</w:t>
      </w:r>
      <w:r w:rsidRPr="00E42873">
        <w:rPr>
          <w:rStyle w:val="FootnoteReference"/>
        </w:rPr>
        <w:footnoteReference w:id="24"/>
      </w:r>
      <w:r w:rsidRPr="00E42873">
        <w:t>,</w:t>
      </w:r>
    </w:p>
    <w:p w14:paraId="3279ACC8" w14:textId="77777777" w:rsidR="007455F5" w:rsidRPr="00E42873" w:rsidRDefault="007455F5" w:rsidP="00A248D2">
      <w:pPr>
        <w:pStyle w:val="NormalHanging12a"/>
        <w:widowControl/>
      </w:pPr>
      <w:r w:rsidRPr="00E42873">
        <w:t>–</w:t>
      </w:r>
      <w:r w:rsidRPr="00E42873">
        <w:tab/>
        <w:t>ottaa huomioon 15. joulukuuta 2022 antamansa päätöslauselman Qatariin liittyvistä korruptioepäilyistä ja Euroopan unionin toimielinten laajemmasta avoimuuden ja vastuuvelvollisuuden tarpeesta</w:t>
      </w:r>
      <w:r w:rsidRPr="00E42873">
        <w:rPr>
          <w:rStyle w:val="FootnoteReference"/>
        </w:rPr>
        <w:footnoteReference w:id="25"/>
      </w:r>
      <w:r w:rsidRPr="00E42873">
        <w:t>,</w:t>
      </w:r>
    </w:p>
    <w:p w14:paraId="00E63CAB" w14:textId="77777777" w:rsidR="007455F5" w:rsidRPr="00E42873" w:rsidRDefault="007455F5" w:rsidP="00A248D2">
      <w:pPr>
        <w:pStyle w:val="NormalHanging12a"/>
        <w:widowControl/>
      </w:pPr>
      <w:r w:rsidRPr="00E42873">
        <w:t>–</w:t>
      </w:r>
      <w:r w:rsidRPr="00E42873">
        <w:tab/>
        <w:t>ottaa huomioon 7. heinäkuuta 2022 antamansa päätöslauselman Yhdysvaltain korkeimman oikeuden päätöksestä kumota aborttioikeudet Yhdysvalloissa ja tarpeesta turvata aborttioikeudet ja naisten terveys EU:ssa</w:t>
      </w:r>
      <w:r w:rsidRPr="00E42873">
        <w:rPr>
          <w:rStyle w:val="FootnoteReference"/>
        </w:rPr>
        <w:footnoteReference w:id="26"/>
      </w:r>
      <w:r w:rsidRPr="00E42873">
        <w:t>,</w:t>
      </w:r>
    </w:p>
    <w:p w14:paraId="1BB20E97" w14:textId="77777777" w:rsidR="007455F5" w:rsidRPr="00E42873" w:rsidRDefault="007455F5" w:rsidP="00A248D2">
      <w:pPr>
        <w:pStyle w:val="NormalHanging12a"/>
        <w:widowControl/>
      </w:pPr>
      <w:r w:rsidRPr="00E42873">
        <w:t>–</w:t>
      </w:r>
      <w:r w:rsidRPr="00E42873">
        <w:tab/>
        <w:t>ottaa huomioon 3. toukokuuta 2022 antamansa päätöslauselman vähemmistöjen vainosta vakaumuksen tai uskonnon perusteella</w:t>
      </w:r>
      <w:r w:rsidRPr="00E42873">
        <w:rPr>
          <w:rStyle w:val="FootnoteReference"/>
        </w:rPr>
        <w:footnoteReference w:id="27"/>
      </w:r>
      <w:r w:rsidRPr="00E42873">
        <w:t>,</w:t>
      </w:r>
    </w:p>
    <w:p w14:paraId="18E67F9D" w14:textId="77777777" w:rsidR="007455F5" w:rsidRPr="00E42873" w:rsidRDefault="007455F5" w:rsidP="00A248D2">
      <w:pPr>
        <w:pStyle w:val="NormalHanging12a"/>
        <w:widowControl/>
      </w:pPr>
      <w:r w:rsidRPr="00E42873">
        <w:t>–</w:t>
      </w:r>
      <w:r w:rsidRPr="00E42873">
        <w:tab/>
        <w:t>ottaa huomioon 5. toukokuuta 2022 antamansa päätöslauselman meneillään olevista SEU 7 artiklan 1 kohdan mukaisista Puolan ja Unkarin kuulemisista</w:t>
      </w:r>
      <w:r w:rsidRPr="00E42873">
        <w:rPr>
          <w:rStyle w:val="FootnoteReference"/>
        </w:rPr>
        <w:footnoteReference w:id="28"/>
      </w:r>
      <w:r w:rsidRPr="00E42873">
        <w:t>,</w:t>
      </w:r>
    </w:p>
    <w:p w14:paraId="5DBA7752" w14:textId="77777777" w:rsidR="007455F5" w:rsidRPr="00E42873" w:rsidRDefault="007455F5" w:rsidP="00A248D2">
      <w:pPr>
        <w:pStyle w:val="NormalHanging12a"/>
        <w:widowControl/>
        <w:rPr>
          <w:szCs w:val="24"/>
        </w:rPr>
      </w:pPr>
      <w:r w:rsidRPr="00E42873">
        <w:t>–</w:t>
      </w:r>
      <w:r w:rsidRPr="00E42873">
        <w:tab/>
        <w:t>ottaa huomioon 18. lokakuuta 2022 tekemänsä päätöksen (EU) 2023/325 vastuuvapauden myöntämisestä Euroopan raja- ja merivartioviraston (Frontex) talousarvion toteuttamisesta varainhoitovuonna 2020</w:t>
      </w:r>
      <w:r w:rsidRPr="00E42873">
        <w:rPr>
          <w:vertAlign w:val="superscript"/>
        </w:rPr>
        <w:footnoteReference w:id="29"/>
      </w:r>
      <w:r w:rsidRPr="00E42873">
        <w:t>,</w:t>
      </w:r>
    </w:p>
    <w:p w14:paraId="55807FB5" w14:textId="77777777" w:rsidR="007455F5" w:rsidRPr="00E42873" w:rsidRDefault="007455F5" w:rsidP="00A248D2">
      <w:pPr>
        <w:pStyle w:val="NormalHanging12a"/>
        <w:widowControl/>
        <w:rPr>
          <w:szCs w:val="24"/>
        </w:rPr>
      </w:pPr>
      <w:r w:rsidRPr="00E42873">
        <w:t>–</w:t>
      </w:r>
      <w:r w:rsidRPr="00E42873">
        <w:tab/>
        <w:t>ottaa huomioon 20. lokakuuta 2022 antamansa päätöslauselman hlbtiq+-henkilöihin kohdistuvien viharikosten lisääntymisestä kaikkialla Euroopassa hiljattain Slovakiassa tapahtuneen homofobisen murhan valossa</w:t>
      </w:r>
      <w:r w:rsidRPr="00E42873">
        <w:rPr>
          <w:vertAlign w:val="superscript"/>
        </w:rPr>
        <w:footnoteReference w:id="30"/>
      </w:r>
      <w:r w:rsidRPr="00E42873">
        <w:t>,</w:t>
      </w:r>
    </w:p>
    <w:p w14:paraId="3DB02F1A" w14:textId="77777777" w:rsidR="007455F5" w:rsidRPr="00E42873" w:rsidRDefault="007455F5" w:rsidP="00A248D2">
      <w:pPr>
        <w:pStyle w:val="NormalHanging12a"/>
        <w:widowControl/>
        <w:rPr>
          <w:szCs w:val="24"/>
        </w:rPr>
      </w:pPr>
      <w:r w:rsidRPr="00E42873">
        <w:t>–</w:t>
      </w:r>
      <w:r w:rsidRPr="00E42873">
        <w:tab/>
        <w:t>ottaa huomioon 10. marraskuuta 2022 antamansa päätöslauselman rodullisesta oikeudenmukaisuudesta, syrjimättömyydestä ja rasismintorjunnasta EU:ssa</w:t>
      </w:r>
      <w:r w:rsidRPr="00E42873">
        <w:rPr>
          <w:rStyle w:val="FootnoteReference"/>
        </w:rPr>
        <w:footnoteReference w:id="31"/>
      </w:r>
      <w:r w:rsidRPr="00E42873">
        <w:t>,</w:t>
      </w:r>
    </w:p>
    <w:p w14:paraId="2B0BC4F3" w14:textId="77777777" w:rsidR="007455F5" w:rsidRPr="00E42873" w:rsidRDefault="007455F5" w:rsidP="00A248D2">
      <w:pPr>
        <w:pStyle w:val="NormalHanging12a"/>
        <w:widowControl/>
        <w:rPr>
          <w:szCs w:val="24"/>
        </w:rPr>
      </w:pPr>
      <w:r w:rsidRPr="00E42873">
        <w:t>–</w:t>
      </w:r>
      <w:r w:rsidRPr="00E42873">
        <w:tab/>
        <w:t>ottaa huomioon 13. joulukuuta 2022 antamansa päätöslauselman aiheesta ”Tavoitteena yhdenvertaiset oikeudet vammaisille henkilöille”</w:t>
      </w:r>
      <w:r w:rsidRPr="00E42873">
        <w:rPr>
          <w:vertAlign w:val="superscript"/>
        </w:rPr>
        <w:footnoteReference w:id="32"/>
      </w:r>
      <w:r w:rsidRPr="00E42873">
        <w:t>,</w:t>
      </w:r>
    </w:p>
    <w:p w14:paraId="7D8F6335" w14:textId="77777777" w:rsidR="007455F5" w:rsidRPr="00E42873" w:rsidRDefault="007455F5" w:rsidP="00A248D2">
      <w:pPr>
        <w:pStyle w:val="NormalHanging12a"/>
        <w:widowControl/>
      </w:pPr>
      <w:r w:rsidRPr="00E42873">
        <w:t>–</w:t>
      </w:r>
      <w:r w:rsidRPr="00E42873">
        <w:tab/>
        <w:t>ottaa huomioon 19. huhtikuuta 2023 antamansa päätöslauselman syrjinnän torjumisesta EU:ssa – kauan odotettu horisontaalinen syrjinnän vastainen direktiivi</w:t>
      </w:r>
      <w:r w:rsidRPr="00E42873">
        <w:rPr>
          <w:rStyle w:val="FootnoteReference"/>
        </w:rPr>
        <w:footnoteReference w:id="33"/>
      </w:r>
      <w:r w:rsidRPr="00E42873">
        <w:t>,</w:t>
      </w:r>
    </w:p>
    <w:p w14:paraId="00DDECA8" w14:textId="77777777" w:rsidR="007455F5" w:rsidRPr="00E42873" w:rsidRDefault="007455F5" w:rsidP="00A248D2">
      <w:pPr>
        <w:pStyle w:val="NormalHanging12a"/>
        <w:widowControl/>
        <w:rPr>
          <w:szCs w:val="24"/>
        </w:rPr>
      </w:pPr>
      <w:r w:rsidRPr="00E42873">
        <w:t>–</w:t>
      </w:r>
      <w:r w:rsidRPr="00E42873">
        <w:tab/>
        <w:t>ottaa huomioon 10. toukokuuta 2023 vahvistamansa kannan esityksiin neuvoston päätöksiksi naisiin kohdistuvan väkivallan ja perheväkivallan ehkäisemistä ja torjumista koskevan Euroopan neuvoston yleissopimuksen tekemisestä Euroopan unionin puolesta unionin toimielinten ja julkishallinnon osalta</w:t>
      </w:r>
      <w:r w:rsidRPr="00E42873">
        <w:rPr>
          <w:rStyle w:val="FootnoteReference"/>
        </w:rPr>
        <w:footnoteReference w:id="34"/>
      </w:r>
      <w:r w:rsidRPr="00E42873">
        <w:t xml:space="preserve"> sekä rikosoikeuden alalla tehtävään oikeudelliseen yhteistyöhön liittyvien asioiden, turvapaikanhaun ja palauttamiskiellon osalta,</w:t>
      </w:r>
    </w:p>
    <w:p w14:paraId="5CCC9B02" w14:textId="77777777" w:rsidR="007455F5" w:rsidRPr="00E42873" w:rsidRDefault="007455F5" w:rsidP="00A248D2">
      <w:pPr>
        <w:pStyle w:val="NormalHanging12a"/>
        <w:widowControl/>
      </w:pPr>
      <w:r w:rsidRPr="00E42873">
        <w:t>–</w:t>
      </w:r>
      <w:r w:rsidRPr="00E42873">
        <w:tab/>
        <w:t>ottaa huomioon 11. toukokuuta 2023 antamansa päätöslauselman EU:n ja Yhdysvaltojen tietosuojakehyksen antaman suojan riittävyydestä</w:t>
      </w:r>
      <w:r w:rsidRPr="00E42873">
        <w:rPr>
          <w:rStyle w:val="FootnoteReference"/>
          <w:szCs w:val="24"/>
        </w:rPr>
        <w:footnoteReference w:id="35"/>
      </w:r>
      <w:r w:rsidRPr="00E42873">
        <w:t>,</w:t>
      </w:r>
    </w:p>
    <w:p w14:paraId="30637B7D" w14:textId="77777777" w:rsidR="00A248D2" w:rsidRDefault="007455F5" w:rsidP="00A248D2">
      <w:pPr>
        <w:pStyle w:val="NormalHanging12a"/>
        <w:widowControl/>
      </w:pPr>
      <w:r w:rsidRPr="00E42873">
        <w:t>–</w:t>
      </w:r>
      <w:r w:rsidRPr="00E42873">
        <w:tab/>
        <w:t>ottaa huomioon 22. toukokuuta 2023 antamansa mietinnön ja suosituksen epäilyjä unionin oikeutta sovellettaessa tapahtuneista rikkomisista tai epäkohdista Pegasus-ohjelman ja vastaavien vakoiluohjelmien käytön yhteydessä koskevasta tutkinnasta,</w:t>
      </w:r>
    </w:p>
    <w:p w14:paraId="73852E98" w14:textId="77777777" w:rsidR="007455F5" w:rsidRPr="00E42873" w:rsidRDefault="007455F5" w:rsidP="00A248D2">
      <w:pPr>
        <w:pStyle w:val="NormalHanging12a"/>
        <w:widowControl/>
        <w:rPr>
          <w:szCs w:val="24"/>
        </w:rPr>
      </w:pPr>
      <w:r w:rsidRPr="00E42873">
        <w:t>–</w:t>
      </w:r>
      <w:r w:rsidRPr="00E42873">
        <w:tab/>
        <w:t>ottaa huomioon 1. kesäkuuta 2023 antamansa päätöslauselman oikeusvaltiorikkomuksista ja perusoikeusloukkauksista Unkarissa ja jäädytetyistä EU:n varoista</w:t>
      </w:r>
      <w:r w:rsidRPr="00E42873">
        <w:rPr>
          <w:rStyle w:val="FootnoteReference"/>
        </w:rPr>
        <w:footnoteReference w:id="36"/>
      </w:r>
      <w:r w:rsidRPr="00E42873">
        <w:t>,</w:t>
      </w:r>
    </w:p>
    <w:p w14:paraId="5759624C" w14:textId="77777777" w:rsidR="00A248D2" w:rsidRDefault="007455F5" w:rsidP="00A248D2">
      <w:pPr>
        <w:pStyle w:val="NormalHanging12a"/>
        <w:widowControl/>
      </w:pPr>
      <w:r w:rsidRPr="00E42873">
        <w:t>–</w:t>
      </w:r>
      <w:r w:rsidRPr="00E42873">
        <w:tab/>
        <w:t>ottaa huomioon 13. heinäkuuta 2023 antamansa päätöslauselman asiakirjojen julkisuudesta – vuosikertomus vuosilta 2019–2021</w:t>
      </w:r>
      <w:r w:rsidRPr="00E42873">
        <w:rPr>
          <w:rStyle w:val="FootnoteReference"/>
        </w:rPr>
        <w:footnoteReference w:id="37"/>
      </w:r>
      <w:r w:rsidRPr="00E42873">
        <w:t>,</w:t>
      </w:r>
    </w:p>
    <w:p w14:paraId="1B1CD8CD" w14:textId="77777777" w:rsidR="007455F5" w:rsidRPr="00E42873" w:rsidRDefault="007455F5" w:rsidP="00A248D2">
      <w:pPr>
        <w:pStyle w:val="NormalHanging12a"/>
        <w:widowControl/>
        <w:rPr>
          <w:szCs w:val="24"/>
        </w:rPr>
      </w:pPr>
      <w:r w:rsidRPr="00E42873">
        <w:t>–</w:t>
      </w:r>
      <w:r w:rsidRPr="00E42873">
        <w:tab/>
        <w:t>ottaa huomioon 4. lokakuuta 2023 antamansa päätöslauselman romanilasten segregaatiosta ja syrjinnästä koulutuksessa</w:t>
      </w:r>
      <w:r w:rsidRPr="00E42873">
        <w:rPr>
          <w:rStyle w:val="FootnoteReference"/>
        </w:rPr>
        <w:footnoteReference w:id="38"/>
      </w:r>
      <w:r w:rsidRPr="00E42873">
        <w:t>,</w:t>
      </w:r>
    </w:p>
    <w:p w14:paraId="3CB5E61F" w14:textId="77777777" w:rsidR="007455F5" w:rsidRPr="00E42873" w:rsidRDefault="007455F5" w:rsidP="00A248D2">
      <w:pPr>
        <w:pStyle w:val="NormalHanging12a"/>
        <w:widowControl/>
      </w:pPr>
      <w:r w:rsidRPr="00E42873">
        <w:t>–</w:t>
      </w:r>
      <w:r w:rsidRPr="00E42873">
        <w:tab/>
        <w:t>ottaa huomioon työjärjestyksen 54 artiklan,</w:t>
      </w:r>
    </w:p>
    <w:p w14:paraId="294A0F33" w14:textId="77777777" w:rsidR="007455F5" w:rsidRPr="00E42873" w:rsidRDefault="007455F5" w:rsidP="00A248D2">
      <w:pPr>
        <w:pStyle w:val="NormalHanging12a"/>
        <w:widowControl/>
      </w:pPr>
      <w:r w:rsidRPr="00E42873">
        <w:t>–</w:t>
      </w:r>
      <w:r w:rsidRPr="00E42873">
        <w:tab/>
        <w:t>ottaa huomioon perussopimus-, työjärjestys- ja toimielinasioiden valiokunnan lausunnon,</w:t>
      </w:r>
    </w:p>
    <w:p w14:paraId="1935EC80" w14:textId="77777777" w:rsidR="007455F5" w:rsidRPr="00E42873" w:rsidRDefault="007455F5" w:rsidP="00A248D2">
      <w:pPr>
        <w:pStyle w:val="NormalHanging12a"/>
        <w:widowControl/>
      </w:pPr>
      <w:r w:rsidRPr="00E42873">
        <w:t>–</w:t>
      </w:r>
      <w:r w:rsidRPr="00E42873">
        <w:tab/>
        <w:t>ottaa huomioon kansalaisvapauksien sekä oikeus- ja sisäasioiden valiokunnan mietinnön (A9-0376/2023),</w:t>
      </w:r>
    </w:p>
    <w:p w14:paraId="44BE9D3A" w14:textId="77777777" w:rsidR="007455F5" w:rsidRPr="00E42873" w:rsidRDefault="007455F5" w:rsidP="00A248D2">
      <w:pPr>
        <w:pStyle w:val="NormalHanging12a"/>
        <w:widowControl/>
      </w:pPr>
      <w:r w:rsidRPr="00E42873">
        <w:t>A.</w:t>
      </w:r>
      <w:r w:rsidRPr="00E42873">
        <w:tab/>
        <w:t>ottaa huomioon, että EU:n perustana olevat arvot ovat ihmisarvon kunnioittaminen, vapaus, kansanvalta, tasa-arvo, oikeusvaltio ja ihmisoikeuksien kunnioittaminen, vähemmistöihin kuuluvien henkilöiden oikeudet mukaan luettuina, kuten SEU 2 artiklassa ja perusoikeuskirjassa määrätään; toteaa, että tämä on myös sisällytetty kansainvälisiin ihmisoikeussopimuksiin; toteaa, että EU:n ja jäsenvaltioiden olisi jaettava nämä arvot ja vaalittava ja edistettävä niitä aktiivisesti sisäisissä ja ulkoisissa toimissaan; toteaa, että näiden arvojen kunnioittaminen on viime vuosina heikentynyt huolestuttavasti joissakin jäsenvaltioissa;</w:t>
      </w:r>
    </w:p>
    <w:p w14:paraId="5FA292C9" w14:textId="77777777" w:rsidR="007455F5" w:rsidRPr="00E42873" w:rsidRDefault="007455F5" w:rsidP="00A248D2">
      <w:pPr>
        <w:pStyle w:val="NormalHanging12a"/>
        <w:widowControl/>
        <w:rPr>
          <w:szCs w:val="24"/>
        </w:rPr>
      </w:pPr>
      <w:r w:rsidRPr="00E42873">
        <w:t>B.</w:t>
      </w:r>
      <w:r w:rsidRPr="00E42873">
        <w:tab/>
        <w:t>ottaa huomioon, että demokratia, oikeusvaltio ja perusoikeudet ovat toisiaan vahvistavia arvoja ja niiden heikentäminen on unionille ja EU:n kaikkien kansojen oikeuksille ja vapauksille järjestelmätason uhka; katsoo, että oikeusvaltioperiaatteen kunnioittaminen sitoo koko unionia ja sen jäsenvaltioita kaikilla hallintotasoilla;</w:t>
      </w:r>
    </w:p>
    <w:p w14:paraId="7AE60541" w14:textId="77777777" w:rsidR="007455F5" w:rsidRPr="00E42873" w:rsidRDefault="007455F5" w:rsidP="00A248D2">
      <w:pPr>
        <w:pStyle w:val="NormalHanging12a"/>
        <w:widowControl/>
        <w:rPr>
          <w:szCs w:val="24"/>
        </w:rPr>
      </w:pPr>
      <w:r w:rsidRPr="00E42873">
        <w:t>C.</w:t>
      </w:r>
      <w:r w:rsidRPr="00E42873">
        <w:tab/>
        <w:t>katsoo, että vapaat, riippumattomat ja avoimet vaalit ovat demokratian pilari;</w:t>
      </w:r>
    </w:p>
    <w:p w14:paraId="65647F74" w14:textId="77777777" w:rsidR="007455F5" w:rsidRPr="00E42873" w:rsidRDefault="007455F5" w:rsidP="00A248D2">
      <w:pPr>
        <w:pStyle w:val="NormalHanging12a"/>
        <w:widowControl/>
        <w:rPr>
          <w:szCs w:val="24"/>
        </w:rPr>
      </w:pPr>
      <w:r w:rsidRPr="00E42873">
        <w:t>D.</w:t>
      </w:r>
      <w:r w:rsidR="00E741B8">
        <w:tab/>
      </w:r>
      <w:r w:rsidRPr="00E42873">
        <w:t>toteaa, että disinformaation yleistyminen uhkaa unionin demokraattista toimintaa; katsoo, että tiedon manipuloinnin vähentäminen on yleisen edun mukaista; toteaa, että disinformaatio heikentää EU:n kansalaisten ja asukkaiden kykyä tehdä tietoon perustuvia päätöksiä ja osallistua vapaasti demokraattisiin prosesseihin; ottaa huomioon, että riippumattomat ja moniarvoiset tiedotusvälineet ovat tehokas väline disinformaation torjunnassa;</w:t>
      </w:r>
    </w:p>
    <w:p w14:paraId="5B7A7442" w14:textId="77777777" w:rsidR="007455F5" w:rsidRPr="00E42873" w:rsidRDefault="007455F5" w:rsidP="00A248D2">
      <w:pPr>
        <w:pStyle w:val="NormalHanging12a"/>
        <w:widowControl/>
      </w:pPr>
      <w:r w:rsidRPr="00E42873">
        <w:t>E.</w:t>
      </w:r>
      <w:r w:rsidRPr="00E42873">
        <w:tab/>
        <w:t>toteaa, että tiedotusvälineiden vapaus ja moniarvoisuus ja toimittajien riippumattomuus ja turvallisuus ovat sananvapauden ja tiedonvälityksen vapauden olennaisia osia ja ratkaisevan tärkeitä EU:n ja sen jäsenvaltioiden demokraattiselle toiminnalle; ottaa huomioon, että viime vuosina toimittajiin ja muihin media-alan toimijoihin monissa jäsenvaltioissa ja muualla kohdistuu yhä enemmän uhkia, kohtuutonta painostusta, pelottelua, väkivaltaa ja muunlaista puuttumista heidän työhönsä erityisesti, kun he keskittyvät vallan väärinkäyttöön, korruptioon, perusoikeuksien loukkauksiin ja rikolliseen toimintaan; toteaa, että SLAPP-kanteet ovat edelleen kiireellinen ongelma kaikkialla EU:ssa; ottaa huomioon, että uhkista ja hyökkäyksistä johtuva hälyttävä tilanne ei rajoitu yksinomaan ammattitoimittajiin ja muihin perinteisiin media-alan toimijoihin; ottaa huomioon, että media-alan toimijoiden määritelmä on laajentunut digitaalisen aikakauden uusien mediamuotojen seurauksena ja että siihen kuuluvat siksi myös muut toimijat, jotka osallistuvat julkiseen keskusteluun ja harjoittavat journalistista toimintaa tai hoitavat ”julkisen vahtikoiran” tehtäviä;</w:t>
      </w:r>
    </w:p>
    <w:p w14:paraId="03CAF022" w14:textId="77777777" w:rsidR="00A248D2" w:rsidRDefault="007455F5" w:rsidP="00A248D2">
      <w:pPr>
        <w:pStyle w:val="NormalHanging12a"/>
        <w:widowControl/>
      </w:pPr>
      <w:r w:rsidRPr="00E42873">
        <w:t>F.</w:t>
      </w:r>
      <w:r w:rsidRPr="00E42873">
        <w:tab/>
        <w:t>ottaa huomioon, että valtion elimet ovat joissakin jäsenvaltioissa ja EU:n ulkopuolisissa maissa käyttäneet Pegasus-ohjelmaa ja muita vakoiluohjelmia toimittajia, poliitikkoja, lainvalvontaviranomaisia, diplomaatteja, asianajajia, liike-elämän edustajia, kansalaisyhteiskunnan toimijoita ja muita toimijoita vastaan poliittisiin ja jopa rikollisiin tarkoituksiin; ottaa huomioon, että tällaiset käytännöt ovat erittäin hälyttäviä ja korostavat riskiä, että valvontateknologiaa käytetään väärin perustavien ihmisoikeuksien, demokratian ja vaalimenettelyjen heikentämiseksi;</w:t>
      </w:r>
    </w:p>
    <w:p w14:paraId="1B6AE7E6" w14:textId="77777777" w:rsidR="007455F5" w:rsidRPr="00E42873" w:rsidRDefault="007455F5" w:rsidP="00A248D2">
      <w:pPr>
        <w:pStyle w:val="NormalHanging12a"/>
        <w:widowControl/>
      </w:pPr>
      <w:r w:rsidRPr="00E42873">
        <w:t>G.</w:t>
      </w:r>
      <w:r w:rsidRPr="00E42873">
        <w:tab/>
        <w:t>katsoo, että korruptio on vakava uhka demokratialle ja oikeusvaltiolle; toteaa, että korruption torjuntaan liittyy pitkäkestoisia ja vakavia huolenaiheita joissakin jäsenvaltioissa; toteaa, että korruption torjuntamekanismit ovat heikkoja useissa jäsenvaltioissa ja että väärinkäytösten paljastajien puutteellinen suojelu on edelleen laajalle levinnyt ongelma; ottaa huomioon, että oikeusvaltioperiaatetta koskevasta ehdollisuudesta annetun asetuksen tarkoituksena on suojata unionin talousarviota oikeusvaltion periaatteiden rikkomiselta;</w:t>
      </w:r>
    </w:p>
    <w:p w14:paraId="6F4F2816" w14:textId="77777777" w:rsidR="007455F5" w:rsidRPr="00E42873" w:rsidRDefault="007455F5" w:rsidP="00A248D2">
      <w:pPr>
        <w:pStyle w:val="NormalHanging12a"/>
        <w:widowControl/>
        <w:rPr>
          <w:szCs w:val="24"/>
        </w:rPr>
      </w:pPr>
      <w:r w:rsidRPr="00E42873">
        <w:t>H.</w:t>
      </w:r>
      <w:r w:rsidRPr="00E42873">
        <w:tab/>
        <w:t>ottaa huomioon, että toimittajiin, tiedotusvälineisiin ja bloggaajiin, ihmisoikeuksien puolustajiin, kansalaisyhteiskunnan järjestöihin, aktivisteihin, ammattiliittoihin, taiteilijoihin, tutkijoihin, väärinkäytösten paljastajiin ja poliitikkoihin kohdistuu yhä useammin uhkauksia, häirintää ja muita pelottelun muotoja heidän julkiseen osallistumiseen liittyvän toimintansa vuoksi;</w:t>
      </w:r>
    </w:p>
    <w:p w14:paraId="4AC1C369" w14:textId="77777777" w:rsidR="007455F5" w:rsidRPr="00E42873" w:rsidRDefault="007455F5" w:rsidP="00A248D2">
      <w:pPr>
        <w:pStyle w:val="NormalHanging12a"/>
        <w:widowControl/>
      </w:pPr>
      <w:r w:rsidRPr="00E42873">
        <w:t>I.</w:t>
      </w:r>
      <w:r w:rsidRPr="00E42873">
        <w:tab/>
        <w:t>ottaa huomioon, että oikeuslaitoksen riippumattomuuteen – joka on olennainen vaatimus vallanjaon demokraattisen periaatteen kannalta ja keskeinen perusoikeuksien kunnioittamisen takaamiseksi – kohdistuu vakavia uhkia ja sitä jopa heikennetään rakenteellisesti entistä useammassa jäsenvaltiossa;</w:t>
      </w:r>
    </w:p>
    <w:p w14:paraId="067270E2" w14:textId="77777777" w:rsidR="00A248D2" w:rsidRDefault="007455F5" w:rsidP="00A248D2">
      <w:pPr>
        <w:pStyle w:val="NormalHanging12a"/>
        <w:widowControl/>
      </w:pPr>
      <w:r w:rsidRPr="00E42873">
        <w:t>J.</w:t>
      </w:r>
      <w:r w:rsidRPr="00E42873">
        <w:tab/>
        <w:t>ottaa huomioon, että unionin tuomioistuin palautti mieliin</w:t>
      </w:r>
      <w:r w:rsidRPr="00E42873">
        <w:rPr>
          <w:vertAlign w:val="superscript"/>
        </w:rPr>
        <w:footnoteReference w:id="39"/>
      </w:r>
      <w:r w:rsidRPr="00E42873">
        <w:t>, että perusoikeuskirjan 12 artiklan 1 kohdassa vahvistettu oikeus yhdistymisvapauteen on yksi demokraattisen ja moniarvoisen yhteiskunnan kulmakivistä, koska se mahdollistaa sen, että EU:n kansalaiset voivat toimia yhdessä aloilla, joilla niillä on yhteisiä intressejä, ja tällä tavoin myötävaikuttaa yhteiskuntaelämän moitteettomaan toimintaan; ottaa huomioon, että joissakin jäsenvaltioissa on raportoitu yhä useammista kokoontumis- ja yhdistymisoikeutta vastaan tehdyistä hyökkäyksistä, joissa on käytetty kohtuuttomasti voimaa rauhanomaisia mielenosoittajia vastaan, mukaan lukien mielenosoittajien pahoinpitelyt;</w:t>
      </w:r>
    </w:p>
    <w:p w14:paraId="6F614A7E" w14:textId="77777777" w:rsidR="007455F5" w:rsidRPr="00E42873" w:rsidRDefault="007455F5" w:rsidP="00A248D2">
      <w:pPr>
        <w:pStyle w:val="NormalHanging12a"/>
        <w:widowControl/>
        <w:rPr>
          <w:szCs w:val="24"/>
        </w:rPr>
      </w:pPr>
      <w:r w:rsidRPr="00E42873">
        <w:t>K.</w:t>
      </w:r>
      <w:r w:rsidRPr="00E42873">
        <w:tab/>
        <w:t>ottaa huomioon, että jotkin jäsenvaltiot ovat asettaneet rajoituksia pyrkien tarkoituksellisesti rajoittamaan kansalaisyhteiskunnan toimintamahdollisuuksia; ottaa huomioon, että monissa jäsenvaltioissa kansalaisyhteiskunnan toimintamahdollisuuksiin kohdistuu oikeudellista, hallinnollista ja verotuksellista häirintää, kriminalisointia ja kielteistä retoriikkaa, joilla pyritään leimaamaan kansalaisyhteiskunnan järjestöt, aktivistit ja ihmisoikeuksien puolustajat ja poistamaan näiltä legitimiteetti ja valmiudet tehdä työtään;</w:t>
      </w:r>
    </w:p>
    <w:p w14:paraId="0273AD0D" w14:textId="77777777" w:rsidR="007455F5" w:rsidRPr="00E42873" w:rsidRDefault="007455F5" w:rsidP="00A248D2">
      <w:pPr>
        <w:pStyle w:val="NormalHanging12a"/>
        <w:widowControl/>
        <w:rPr>
          <w:szCs w:val="24"/>
        </w:rPr>
      </w:pPr>
      <w:r w:rsidRPr="00E42873">
        <w:t>L.</w:t>
      </w:r>
      <w:r w:rsidRPr="00E42873">
        <w:tab/>
        <w:t>ottaa huomioon, että Euroopan neuvoston ihmisoikeusvaltuutettu arvioi maaliskuussa 2023, että ihmisoikeuksien puolustajien tilanne oli heikentynyt hälyttävästi Euroopassa ja että hallituksilla oli yhä useammin taipumus jättää huomiotta ihmisoikeussitoumuksensa ja asettaa kansalliseen ja yleiseen turvallisuuteen liittyvät huolenaiheet ihmisoikeuksien edelle; ottaa huomioon, että ihmisoikeusvaltuutettu raportoi lisääntyvistä rajoituksista, jotka kohdistuvat ihmisoikeuksien puolustajien mahdollisuuksiin työskennellä vapaasti ja turvallisesti, sekä eri kostotoimista, kuten oikeudellisesta häirinnästä, syytteeseenpanosta, häiritsevästä valvonnasta ja seurannasta, loanheittokampanjoista, uhkauksista ja pelottelusta jäsenvaltioissa ja naapurimaissa; katsoo, että rikkomuksia, joihin valtiolliset ja valtiosta riippumattomat toimijat ovat syyllistyneet ihmisoikeuksien puolustajia vastaan, ei ole tutkittu tehokkaasti, ja pitää tätä edelleen merkittävänä huolenaiheena; katsoo, että tämä heikentää demokratiaa ja on osa yhteiskunnan polarisoitumista koskevaa laajempaa ongelmaa, jolle on ominaista eri yhteiskunta- tai vähemmistöryhmiin kohdistuvan vihan ja väkivallan lisääntyvä ilmaiseminen;</w:t>
      </w:r>
    </w:p>
    <w:p w14:paraId="2AC28724" w14:textId="77777777" w:rsidR="007455F5" w:rsidRPr="00E42873" w:rsidRDefault="007455F5" w:rsidP="00A248D2">
      <w:pPr>
        <w:pStyle w:val="NormalHanging12a"/>
        <w:widowControl/>
      </w:pPr>
      <w:r w:rsidRPr="00E42873">
        <w:t>M.</w:t>
      </w:r>
      <w:r w:rsidRPr="00E42873">
        <w:tab/>
        <w:t>toteaa, että on ollut useita tapauksia, joissa maahanpyrkijöitä on kuollut ja ihmisoikeuksia on loukattu EU:n rajoilla viranomaisten tehottoman hallinnoinnin ja suhteettoman voimankäytön vuoksi; ottaa huomioon, että muuttajien valvonnassa EU:n ulko- ja sisärajoilla käytetään yhä enemmän teknologiaa, tekoäly mukaan lukien; ottaa huomioon, että sellaisten kansalaisjärjestöjen tai muiden valtiosta riippumattomien toimijoiden toimien kriminalisointi, jotka toteuttavat etsintä- ja pelastusoperaatioita asiaa koskevaa oikeudellista kehystä noudattaen, rikkoo kansainvälistä oikeutta</w:t>
      </w:r>
      <w:r w:rsidRPr="00E42873">
        <w:rPr>
          <w:vertAlign w:val="superscript"/>
        </w:rPr>
        <w:footnoteReference w:id="40"/>
      </w:r>
      <w:r w:rsidRPr="00E42873">
        <w:t>, minkä vuoksi sitä ei sallita EU:n lainsäädännössä; toteaa, että unionin tuomioistuin palautti mieliin, että EU:n ulkopuolisten maiden kansalaisia voidaan vangita vain, jos on olemassa erityinen lakisääteinen perusta, jonka nojalla heidän oikeuttaan vapauteen rajoitetaan, eikä pelkästään yleinen kriteeri</w:t>
      </w:r>
      <w:r w:rsidRPr="00E42873">
        <w:rPr>
          <w:vertAlign w:val="superscript"/>
        </w:rPr>
        <w:footnoteReference w:id="41"/>
      </w:r>
      <w:r w:rsidRPr="00E42873">
        <w:t>;</w:t>
      </w:r>
    </w:p>
    <w:p w14:paraId="03C74B7F" w14:textId="77777777" w:rsidR="00A248D2" w:rsidRDefault="007455F5" w:rsidP="00A248D2">
      <w:pPr>
        <w:pStyle w:val="NormalHanging12a"/>
        <w:widowControl/>
      </w:pPr>
      <w:r w:rsidRPr="00E42873">
        <w:t>N.</w:t>
      </w:r>
      <w:r w:rsidRPr="00E42873">
        <w:tab/>
        <w:t>toteaa, että Euroopan merirajoilla tapahtuneet kuolemantapaukset vähenivät hieman vuonna 2022 vuoteen 2021 verrattuna mutta niiden määrä pysyi silti korkeampana kuin vuotta 2021 edeltäneinä kolmena vuotena</w:t>
      </w:r>
      <w:r w:rsidRPr="00E42873">
        <w:rPr>
          <w:vertAlign w:val="superscript"/>
        </w:rPr>
        <w:footnoteReference w:id="42"/>
      </w:r>
      <w:r w:rsidRPr="00E42873">
        <w:t>; toteaa, että suurin osa kuolemantapauksista tapahtui keskisellä Välimerellä Pohjois-Afrikan rannikon edustalla</w:t>
      </w:r>
      <w:r w:rsidRPr="00E42873">
        <w:rPr>
          <w:vertAlign w:val="superscript"/>
        </w:rPr>
        <w:footnoteReference w:id="43"/>
      </w:r>
      <w:r w:rsidRPr="00E42873">
        <w:t>;</w:t>
      </w:r>
    </w:p>
    <w:p w14:paraId="0FA80255" w14:textId="77777777" w:rsidR="007455F5" w:rsidRPr="00E42873" w:rsidRDefault="007455F5" w:rsidP="00A248D2">
      <w:pPr>
        <w:pStyle w:val="NormalHanging12a"/>
        <w:widowControl/>
        <w:rPr>
          <w:szCs w:val="24"/>
        </w:rPr>
      </w:pPr>
      <w:r w:rsidRPr="00E42873">
        <w:t>O.</w:t>
      </w:r>
      <w:r w:rsidRPr="00E42873">
        <w:tab/>
        <w:t>ottaa huomioon, että muun muassa Euroopan petostentorjuntavirasto (OLAF) ja Euroopan oikeusasiamies ovat tehneet Frontexista useita raportteja ja tutkimuksia perusoikeuksiin liittyvistä kysymyksistä; ottaa huomioon, että Frontexin entinen johtaja erosi tehtävästään huhtikuussa 2022; katsoo, että kaikkien EU:n virastojen on noudatettava perusoikeuksia ja oltava vastuuvelvollisia perusoikeuksien loukkaustapauksissa;</w:t>
      </w:r>
    </w:p>
    <w:p w14:paraId="3B6E3D63" w14:textId="77777777" w:rsidR="007455F5" w:rsidRPr="00E42873" w:rsidRDefault="007455F5" w:rsidP="00A248D2">
      <w:pPr>
        <w:pStyle w:val="NormalHanging12a"/>
        <w:widowControl/>
      </w:pPr>
      <w:r w:rsidRPr="00E42873">
        <w:t>P.</w:t>
      </w:r>
      <w:r w:rsidRPr="00E42873">
        <w:tab/>
        <w:t>ottaa huomioon, että naisten ja tyttöjen oikeuksia on viime vuosina järjestelmällisesti heikennetty; ottaa huomioon, että joissakin jäsenvaltioissa on pyritty entisestään heikentämään seksuaali- ja lisääntymisterveyttä ja -oikeuksia, kuten naisten aborttihoitoon pääsyä koskevaa nykyistä oikeudellista suojaa; ottaa huomioon, että viime vuosina joissakin jäsenvaltioissa turvallisen ja laillisen abortin epääminen on johtanut useiden naisten kuolemaan; huomauttaa, että EU:ssa esiintyy edelleen paljon sukupuolittunutta väkivaltaa, mukaan lukien seksuaalinen väkivalta ja raiskaus; toteaa, että jotkin jäsenvaltiot eivät ole vieläkään ratifioineet Euroopan neuvoston yleissopimusta naisiin kohdistuvan väkivallan ja perheväkivallan ehkäisemisestä ja torjumisesta (Istanbulin yleissopimus); ottaa huomioon, että seksuaalikasvatuksen edistämistä ja tarjoamista vastustavat liikkeet lisääntyvät EU:ssa;</w:t>
      </w:r>
    </w:p>
    <w:p w14:paraId="0F35D5E3" w14:textId="77777777" w:rsidR="007455F5" w:rsidRPr="00E42873" w:rsidRDefault="007455F5" w:rsidP="00A248D2">
      <w:pPr>
        <w:pStyle w:val="NormalHanging12a"/>
        <w:widowControl/>
        <w:rPr>
          <w:szCs w:val="24"/>
        </w:rPr>
      </w:pPr>
      <w:r w:rsidRPr="00E42873">
        <w:t>Q.</w:t>
      </w:r>
      <w:r w:rsidRPr="00E42873">
        <w:tab/>
        <w:t>ottaa huomioon, että sukupuolittunut väkivalta on sekä syy että seuraus rakenteellisesta eriarvoisuudesta, joka perustuu sukupuolistereotypioihin ja valtasuhteiden epäsymmetriaan, myös yksityisillä, sosiaalisilla, julkisilla ja talouden aloilla;</w:t>
      </w:r>
    </w:p>
    <w:p w14:paraId="1F5B0D8E" w14:textId="77777777" w:rsidR="007455F5" w:rsidRPr="00E42873" w:rsidRDefault="007455F5" w:rsidP="00A248D2">
      <w:pPr>
        <w:pStyle w:val="NormalHanging12a"/>
        <w:widowControl/>
      </w:pPr>
      <w:r w:rsidRPr="00E42873">
        <w:t>R.</w:t>
      </w:r>
      <w:r w:rsidRPr="00E42873">
        <w:tab/>
        <w:t>ottaa huomioon, että perusoikeusviraston tutkimustiedot osoittavat, että rotuun tai etniseen alkuperään taikka uskonnolliseen vakaumukseen perustuva syrjintä (mukaan lukien romanit, muslimit, juutalaiset ja afrikkalaista syntyperää olevat henkilöt) on jatkuvasti hyvin yleistä, sekä ajallisessa tarkastelussa että eri väestöryhmissä, erityisesti kun kyseessä ovat epäedullisessa sosioekonomisessa asemassa olevat henkilöt, eri jäsenvaltioissa; ottaa huomioon, että rodulliset ja etniset vähemmistöt kohtaavat järjestelmällistä rasismia, viharikoksia ja vihapuhetta, oikeussuojan saatavuuden puutetta sekä jatkuvaa sosioekonomista eriarvoisuutta asumisen, terveydenhuollon, työllisyyden ja koulutuksen kaltaisilla aloilla ja että nämä seikat on tunnustettava heidän perusoikeuksiensa täysimittaisen hyödyntämisen merkittäviksi esteiksi sekä osallisuuden ja tasa-arvon keskeisiksi esteiksi; toteaa, että antisemitismi, romanivastaisuus, islamofobia ja rasismi ovat syvälle pinttyneitä vihan ja syrjinnän muotoja; katsoo, että äärioikeistolaiset liikkeet ovat erityinen uhka ihmisille, joita syrjintä koskettaa, ja koko yhteiskunnalle; toteaa, että perusoikeusviraston mukaan EU:ssa on viitteitä järjestelmällisestä rasismista, myös lainvalvonnassa; katsoo, että intersektionaalinen syrjintä on otettava huomioon rasismin ja syrjinnän torjuntaan tähtäävissä toimintapolitiikoissa ja toimenpiteissä;</w:t>
      </w:r>
    </w:p>
    <w:p w14:paraId="0323BAE2" w14:textId="77777777" w:rsidR="007455F5" w:rsidRPr="00E42873" w:rsidRDefault="007455F5" w:rsidP="00A248D2">
      <w:pPr>
        <w:pStyle w:val="NormalHanging12a"/>
        <w:widowControl/>
        <w:rPr>
          <w:szCs w:val="24"/>
        </w:rPr>
      </w:pPr>
      <w:r w:rsidRPr="00E42873">
        <w:t>S.</w:t>
      </w:r>
      <w:r w:rsidRPr="00E42873">
        <w:tab/>
        <w:t>ottaa huomioon, että EU:ssa asuvat vammaiset henkilöt kohtaavat edelleen syrjintää, mukaan lukien kohtuullisen mukauttamisen epääminen, häirintä sekä moninkertainen ja intersektionaalinen syrjintä kaikilla heidän elämänalueillaan, mukaan lukien, sosioekonomiset haitat, sosiaalinen eristäminen, kaltoinkohtelu ja väkivalta, myös sukupuolistunut väkivalta, pakkosterilisaatio ja -abortti, yhteisön palvelujen puutteellinen saatavuus, heikkolaatuiset asunnot, laitoksiin sijoittaminen, riittämätön terveydenhuolto ja aktiivista yhteiskuntaan osallistumista koskevan mahdollisuuden epääminen;</w:t>
      </w:r>
    </w:p>
    <w:p w14:paraId="0CC52FB8" w14:textId="77777777" w:rsidR="007455F5" w:rsidRPr="00E42873" w:rsidRDefault="007455F5" w:rsidP="00A248D2">
      <w:pPr>
        <w:pStyle w:val="NormalHanging12a"/>
        <w:widowControl/>
        <w:rPr>
          <w:szCs w:val="24"/>
        </w:rPr>
      </w:pPr>
      <w:r w:rsidRPr="00E42873">
        <w:t>T.</w:t>
      </w:r>
      <w:r w:rsidRPr="00E42873">
        <w:tab/>
        <w:t>toteaa, että merkittävä osa Euroopan romaniväestöstä</w:t>
      </w:r>
      <w:r w:rsidRPr="00E42873">
        <w:rPr>
          <w:vertAlign w:val="superscript"/>
        </w:rPr>
        <w:footnoteReference w:id="44"/>
      </w:r>
      <w:r w:rsidRPr="00E42873">
        <w:t xml:space="preserve"> elää äärimmäisen epävarmoissa oloissa sekä maaseudulla että kaupunkialueilla ja heidän sosioekonomiset olosuhteensa ovat hyvin heikot; ottaa huomioon, että romaniväestön valtaosalta on riistetty perusihmisoikeudet kaikilla elämänalueilla; toteaa, että lasten sijoittaminen erillisiin kouluihin ja syrjivä käytäntö, jossa etnisiin ja rodullisiin vähemmistöihin kuuluvia lapsia sijoitetaan kehitysvammaisten lasten kouluihin, jatkuvat yhä eräissä jäsenvaltioissa;</w:t>
      </w:r>
    </w:p>
    <w:p w14:paraId="03C4617E" w14:textId="77777777" w:rsidR="007455F5" w:rsidRPr="00E42873" w:rsidRDefault="007455F5" w:rsidP="00A248D2">
      <w:pPr>
        <w:pStyle w:val="NormalHanging12a"/>
        <w:widowControl/>
        <w:rPr>
          <w:szCs w:val="24"/>
        </w:rPr>
      </w:pPr>
      <w:r w:rsidRPr="00E42873">
        <w:t>U.</w:t>
      </w:r>
      <w:r w:rsidRPr="00E42873">
        <w:tab/>
        <w:t>toteaa, että eri puolilla EU:ta esiintyy edelleen hlbtiq+-henkilöihin ja hlbtiq+-oikeuksien puolustajiin kohdistuva jatkuva syrjinnän, vihapuheen ja väkivallan lisääntymistä koskeva suuntaus; huomauttaa, että hlbtiq+-henkilöt kohtaavat edelleen syrjintää ja syrjäytymistä useissa jäsenvaltioissa sosiaalisen suojelun, sosiaaliturvan, terveydenhuollon saatavuuden, koulutuksen, oikeusturvan sekä yleisön saatavilla olevien tavaroiden ja muiden palvelujen, myös asumisen, saatavuuden ja tarjonnan osalta; ottaa huomioon, että unionin tuomioistuimen oikeuskäytäntöä, jolla suojellaan samaa sukupuolta olevien parien ja samaa sukupuolta oleville vanhemmille syntyneiden lasten sosiaalisia oikeuksia ja yksityiselämää, ei ole pantu täytäntöön, kuten asiassa Coman (C-673/16) ja asiassa Baby Sara (C-490/20); ottaa huomioon, että intersukupuolisille lapsille tehdään leikkauksia ja annetaan lääketieteellistä hoitoa ilman heidän itsensä antamaa täyttä tietoon perustuvaa etukäteissuostumusta; ottaa huomioon, että intersukupuolisten sukuelinten silpominen voi aiheuttaa elinikäisiä seuraamuksia, kuten psykologisia traumoja ja fyysisiä vammoja;</w:t>
      </w:r>
    </w:p>
    <w:p w14:paraId="1FDCD95C" w14:textId="77777777" w:rsidR="007455F5" w:rsidRPr="00E42873" w:rsidRDefault="007455F5" w:rsidP="00A248D2">
      <w:pPr>
        <w:pStyle w:val="NormalHanging12a"/>
        <w:widowControl/>
      </w:pPr>
      <w:r w:rsidRPr="00E42873">
        <w:t>V.</w:t>
      </w:r>
      <w:r w:rsidRPr="00E42873">
        <w:tab/>
        <w:t>huomauttaa, että viharikokset ja vihapuhetapaukset ovat kasvaneet tasaisesti kaikkialla EU:ssa viime vuosina</w:t>
      </w:r>
      <w:r w:rsidRPr="00E42873">
        <w:rPr>
          <w:vertAlign w:val="superscript"/>
        </w:rPr>
        <w:footnoteReference w:id="45"/>
      </w:r>
      <w:r w:rsidRPr="00E42873">
        <w:t>, mikä johtuu pitkälti sosiaalisen median käyttäjämäärien kasvusta sekä siitä, että vihapuhe rehottaa verkossa; ottaa huomioon, että mikrokohdennettuun mainontaan perustuva sosiaalisen median alustojen liiketoimintamalli edistää ja voimistaa syrjintään ja väkivaltaan yllyttävää vihapuhetta; toteaa, että koulutusjärjestelmät ovat avainasemassa tarjottaessa digitaalista koulutusta, digitaalista lukutaitoa ja digitaalisia taitoja kaikille, jotta voidaan edistää käyttäjien ymmärrystä digitaaliteknologioista, poistaa eriarvoisuutta, parantaa digitaalista osallisuutta ja voimaannuttaa yksilöitä ja suojella heitä ja heidän oikeuksiaan sekä samalla antaa tietoja heidän velvollisuuksistaan; ottaa huomioon, että vihapuhe voi johtaa viharikoksiin; ottaa huomioon, että perusoikeusviraston mukaan jopa yhdeksän kymmenestä viharikoksesta ja vihaperusteisesta hyökkäyksestä EU:ssa jää ilmoittamatta eikä niistä siksi määrätä seuraamuksia;</w:t>
      </w:r>
    </w:p>
    <w:p w14:paraId="768B6AA6" w14:textId="77777777" w:rsidR="007455F5" w:rsidRPr="00E42873" w:rsidRDefault="007455F5" w:rsidP="00A248D2">
      <w:pPr>
        <w:pStyle w:val="NormalHanging12a"/>
        <w:widowControl/>
        <w:rPr>
          <w:szCs w:val="24"/>
        </w:rPr>
      </w:pPr>
      <w:r w:rsidRPr="00E42873">
        <w:t>W.</w:t>
      </w:r>
      <w:r w:rsidRPr="00E42873">
        <w:tab/>
        <w:t>ottaa huomioon, että perusoikeuskirjan 21 artiklassa kielletään kaikenlainen kieleen tai kansalliseen vähemmistöön kuulumiseen perustuva syrjintä; ottaa huomioon, että perusoikeuskirjan 22 artiklassa taataan kielellisen monimuotoisuuden kunnioittaminen;</w:t>
      </w:r>
    </w:p>
    <w:p w14:paraId="5D875F82" w14:textId="77777777" w:rsidR="007455F5" w:rsidRPr="00E42873" w:rsidRDefault="007455F5" w:rsidP="00A248D2">
      <w:pPr>
        <w:pStyle w:val="NormalHanging12a"/>
        <w:widowControl/>
        <w:rPr>
          <w:szCs w:val="24"/>
        </w:rPr>
      </w:pPr>
      <w:r w:rsidRPr="00E42873">
        <w:t>X.</w:t>
      </w:r>
      <w:r w:rsidRPr="00E42873">
        <w:tab/>
        <w:t>huomauttaa, että EU perustuu sosiaalisten, sivistyksellisten ja taloudellisten oikeuksien edistämiseen; toteaa, että köyhyydessä elävien ihmisten määrä on edelleen suuri EU:ssa, koska useampi kuin joka viides lapsi elää köyhyysriskissä ja lähes joka neljättä EU:n kansalaista koskettaa köyhyysriski tai sosiaalisen syrjäytymisen riski; ottaa huomioon, että köyhyyden kierre pahentaa muita eriarvoisuustekijöitä, kuten ihmisten mahdollisuuksia saada koulutusta, kohtuuhintaisia asuntoja ja päästä terveydenhuollon ja työllistymismahdollisuuksien piiriin; toteaa, että energiakriisi ja inflaatio ovat lisänneet turvattomuuden, köyhyyden ja sosiaalisen syrjäytymisen koettelemien ihmisten määrää; ottaa huomioon, että SEUT 151 artiklassa viitataan sosiaalisiin perusoikeuksiin sellaisina kuin ne ovat Euroopan sosiaalisessa peruskirjassa; ottaa huomioon, että Euroopan sosiaalisten oikeuksien pilari ja sen toimintasuunnitelman täytäntöönpano ovat keskeisiä välineitä sosiaalisten painopisteiden valtavirtaistamiseksi kaikkiin EU:n toimintapolitiikan aloihin ja ne toimivat oppaana pilarin 20 periaatteen tosiasiallista täytäntöönpanoa varten;</w:t>
      </w:r>
    </w:p>
    <w:p w14:paraId="2D67EC26" w14:textId="77777777" w:rsidR="007455F5" w:rsidRPr="00E42873" w:rsidRDefault="007455F5" w:rsidP="00A248D2">
      <w:pPr>
        <w:pStyle w:val="NormalHanging12a"/>
        <w:widowControl/>
      </w:pPr>
      <w:r w:rsidRPr="00E42873">
        <w:t>Y.</w:t>
      </w:r>
      <w:r w:rsidRPr="00E42873">
        <w:tab/>
        <w:t>toteaa, että EU:n liittyminen Euroopan ihmisoikeussopimukseen on SEU</w:t>
      </w:r>
      <w:r w:rsidR="00E741B8">
        <w:t xml:space="preserve"> </w:t>
      </w:r>
      <w:r w:rsidRPr="00E42873">
        <w:t>6 artiklan 2 kohdan mukainen velvoite ja se on edelleen tärkeä prioriteetti;</w:t>
      </w:r>
    </w:p>
    <w:p w14:paraId="06DB3331" w14:textId="77777777" w:rsidR="007455F5" w:rsidRPr="00E42873" w:rsidRDefault="007455F5" w:rsidP="00A248D2">
      <w:pPr>
        <w:pStyle w:val="NormalHanging12a"/>
        <w:widowControl/>
        <w:rPr>
          <w:szCs w:val="24"/>
        </w:rPr>
      </w:pPr>
      <w:r w:rsidRPr="00E42873">
        <w:t>Z.</w:t>
      </w:r>
      <w:r w:rsidRPr="00E42873">
        <w:tab/>
        <w:t>katsoo, että jäsenvaltioilla ja EU:n toimielimillä ja elimillä, kuten Euroopan unionin tuomioistuimella, perusoikeusvirastolla ja EPPOlla, on kaikilla ratkaiseva rooli EU:n arvojen ylläpitämisessä ja perusoikeuksien kunnioittamisen varmistamisessa;</w:t>
      </w:r>
    </w:p>
    <w:p w14:paraId="224799EC" w14:textId="77777777" w:rsidR="007455F5" w:rsidRPr="00E42873" w:rsidRDefault="007455F5" w:rsidP="00A248D2">
      <w:pPr>
        <w:pStyle w:val="NormalHanging12a"/>
        <w:widowControl/>
        <w:rPr>
          <w:szCs w:val="24"/>
        </w:rPr>
      </w:pPr>
      <w:r w:rsidRPr="00E42873">
        <w:t>AA.</w:t>
      </w:r>
      <w:r w:rsidRPr="00E42873">
        <w:tab/>
        <w:t>ottaa huomioon, että Euroopan oikeusasiamies suoritti tutkinnan covid-19-rokotteiden hankintaa koskevista henkilökohtaisista viesteistä ja puheluista komission puheenjohtajan ja Pfizerin toimitusjohtajan välillä ja että komissio on kieltäytynyt julkistamasta tietoja jälkikäteen; ottaa huomioon, että oikeusasiamies totesi heinäkuussa 2022, että kieltäytyminen muodosti hallinnollisen epäkohdan</w:t>
      </w:r>
      <w:r w:rsidRPr="00E42873">
        <w:rPr>
          <w:vertAlign w:val="superscript"/>
        </w:rPr>
        <w:footnoteReference w:id="46"/>
      </w:r>
      <w:r w:rsidRPr="00E42873">
        <w:t>;</w:t>
      </w:r>
    </w:p>
    <w:p w14:paraId="2FE8B246" w14:textId="77777777" w:rsidR="007455F5" w:rsidRPr="00E42873" w:rsidRDefault="007455F5" w:rsidP="00A248D2">
      <w:pPr>
        <w:pStyle w:val="NormalHanging12a"/>
        <w:widowControl/>
        <w:rPr>
          <w:szCs w:val="24"/>
        </w:rPr>
      </w:pPr>
      <w:r w:rsidRPr="00E42873">
        <w:t>AB.</w:t>
      </w:r>
      <w:r w:rsidRPr="00E42873">
        <w:tab/>
        <w:t>ottaa huomioon, että oikeusvaltioperiaate on heikentynyt monien vuosien ajan useissa jäsenvaltioissa niiden hallitusten järjestelmällisten toimien seurauksena, erityisesti Unkarissa ja Puolassa, joita vastaan on käynnissä SEU 7 artiklan 1 kohdan mukaisia menettelyjä; toteaa, että oikeusvaltiota ja perusoikeuksia koskevat huolenaiheet lisääntyvät nopeasti muissa jäsenvaltioissa; katsoo, että on ratkaisevan tärkeää varmistaa, että jäsenvaltiot noudattavat Etyjin sitoumuksia ja muita demokraattisia vaaleja koskevia kansainvälisiä velvoitteita ja normeja, Venetsian komissio mukaan lukien;</w:t>
      </w:r>
    </w:p>
    <w:p w14:paraId="0D0C0279" w14:textId="77777777" w:rsidR="007455F5" w:rsidRPr="00E42873" w:rsidRDefault="007455F5" w:rsidP="00A248D2">
      <w:pPr>
        <w:pStyle w:val="NormalHanging12a"/>
        <w:widowControl/>
        <w:rPr>
          <w:szCs w:val="24"/>
        </w:rPr>
      </w:pPr>
      <w:r w:rsidRPr="00E42873">
        <w:t>AC.</w:t>
      </w:r>
      <w:r w:rsidRPr="00E42873">
        <w:tab/>
        <w:t>katsoo, että köyhyys on yksi rakenteellisen ja sosiaalisen epäoikeudenmukaisuuden muoto, joka perustuu sukupuolten eriarvoisuuteen, syrjintään ja epätasa-arvoisiin mahdollisuuksiin saada tavaroita ja palveluita, mikä johtaa perusoikeuksien loukkaamiseen; katsoo, että köyhyyden torjunta edellyttää intersektionaalisen lähestymistavan huomioon ottamista ja erityisen huomion kiinnittämistä haavoittuvassa asemassa oleviin henkilöihin, kuten lapsiin, naisiin, rodullistettuihin ja etnisiin yhteisöihin, hlbtiq+-henkilöihin, muuttajiin ja turvapaikanhakijoihin sekä vammaisiin ja sosioekonomisesti heikommassa asemassa oleviin henkilöihin;</w:t>
      </w:r>
    </w:p>
    <w:p w14:paraId="20C783AC" w14:textId="77777777" w:rsidR="007455F5" w:rsidRPr="00E42873" w:rsidRDefault="007455F5" w:rsidP="00A248D2">
      <w:pPr>
        <w:pStyle w:val="NormalHanging12a"/>
        <w:widowControl/>
        <w:rPr>
          <w:szCs w:val="24"/>
        </w:rPr>
      </w:pPr>
      <w:r w:rsidRPr="00E42873">
        <w:t>AD.</w:t>
      </w:r>
      <w:r w:rsidRPr="00E42873">
        <w:tab/>
        <w:t>toteaa, että Euroopan ympäristökeskuksen raportin ”Air quality in Europe 2022” mukaan unionissa tapahtui pelkästään vuonna 2020 238 000 ennenaikaista kuolemaa, jotka johtuivat altistumisesta pienhiukkaspäästöille;</w:t>
      </w:r>
    </w:p>
    <w:p w14:paraId="21131B4D" w14:textId="77777777" w:rsidR="007455F5" w:rsidRPr="00E42873" w:rsidRDefault="007455F5" w:rsidP="00E741B8">
      <w:pPr>
        <w:pStyle w:val="Normal12a24b"/>
        <w:keepNext/>
        <w:widowControl/>
        <w:spacing w:before="0"/>
        <w:rPr>
          <w:i/>
        </w:rPr>
      </w:pPr>
      <w:r w:rsidRPr="00E42873">
        <w:rPr>
          <w:rStyle w:val="Bold"/>
          <w:i/>
        </w:rPr>
        <w:t>Oikeusvaltio ja oikeussuojakeinojen saatavuus</w:t>
      </w:r>
    </w:p>
    <w:p w14:paraId="750B2D30" w14:textId="77777777" w:rsidR="007455F5" w:rsidRPr="00E42873" w:rsidRDefault="007455F5" w:rsidP="00A248D2">
      <w:pPr>
        <w:pStyle w:val="NormalHanging12a"/>
        <w:widowControl/>
      </w:pPr>
      <w:r w:rsidRPr="00E42873">
        <w:t>1.</w:t>
      </w:r>
      <w:r w:rsidRPr="00E42873">
        <w:tab/>
        <w:t>palauttaa mieliin vapaiden tiedotusvälineiden merkityksen demokratian ylläpitämisessä, julkisten ja yksityisten instituutioiden asettamisessa vastuuseen ja sen mahdollistamisessa, että kansalaiset saavat tosiasioihin perustuvaa tietoa; korostaa tiedotusvälineiden moniarvoisuuden ja journalistisen vapauden merkitystä; tuomitsee jyrkästi sen, että vuonna 2022 maailmassa tehtiin jälleen uusi ennätys vangittujen toimittajien määrässä, ja kehottaa selvittämään oikeudessa perinpohjaisesti tutkivien journalistien surmaamisen EU:ssa;</w:t>
      </w:r>
    </w:p>
    <w:p w14:paraId="2AB1FC77" w14:textId="0FD19FF2" w:rsidR="00D8349A" w:rsidRPr="00D8349A" w:rsidRDefault="007455F5" w:rsidP="00A248D2">
      <w:pPr>
        <w:pStyle w:val="NormalHanging12a"/>
        <w:widowControl/>
        <w:rPr>
          <w:szCs w:val="24"/>
        </w:rPr>
      </w:pPr>
      <w:r w:rsidRPr="00E42873">
        <w:t>2.</w:t>
      </w:r>
      <w:r w:rsidRPr="00E42873">
        <w:tab/>
        <w:t>kehottaa jäsenvaltioita panemaan täytäntöön komission suosituksen julkista osallistumista harjoittavien toimittajien ja ihmisoikeuksien puolustajien suojelemisesta ilmeisen perusteettomilta tai aiheettomilta kanteilta ja erityisesti poistamaan kunnianloukkaustapauksissa määrättävät vankeusrangaistukset sekä poistamaan kunnianloukkauksen rangaistavuuden ja suosimaan sen sijaan siviiliprosesseja tai hallinnollisia prosesseja; kehottaa painokkaasti komissiota puuttumaan rikosoikeudellisissa menettelyissä nostettujen SLAPP-kanteiden vakavuuteen ehdottamalla toimenpiteitä, joilla varmistetaan, että kunnianloukkauksia, herjauksia ja panettelua, jotka ovat useimmissa jäsenvaltioissa rikoksia, ei voida käyttää SLAPP-kanteissa julkis- tai yksityisoikeudellisten vaatimusten esittämiseen; painottaa, että SLAPP-kanteet ovat vain yksi keino hiljentää toimittajat, ja kehottaa komissiota tutkimaan lisää muita käytäntöjä ja puuttumaan niihin; kehottaa poliitikkoja tuomitsemaan julkisesti toimittajiin kohdistuvat uhkaukset ja hyökkäykset;</w:t>
      </w:r>
    </w:p>
    <w:p w14:paraId="092F1A54" w14:textId="77777777" w:rsidR="007455F5" w:rsidRPr="00E42873" w:rsidRDefault="007455F5" w:rsidP="00A248D2">
      <w:pPr>
        <w:pStyle w:val="NormalHanging12a"/>
        <w:widowControl/>
        <w:rPr>
          <w:szCs w:val="24"/>
        </w:rPr>
      </w:pPr>
      <w:r w:rsidRPr="00E42873">
        <w:t>3.</w:t>
      </w:r>
      <w:r w:rsidRPr="00E42873">
        <w:tab/>
        <w:t>toistaa huolensa perusoikeuksien rikkomisesta, joka liittyy Pegasus-ohjelman ja vastaavien vakoiluohjelmien käyttöön, kun niitä kohdistetaan yksityishenkilöihin ja näkyvästi julkisessa elämässä oleviin henkilöihin, kuten toimittajiin, bloginpitäjiin, ihmisoikeuksien puolustajiin, poliitikkoihin tai muihin toimijoihin; korostaa, että kansallisten hallitusten laiton vakoiluohjelmien käyttö vaikuttaa suoraan ja välillisesti päätöksentekoprosessin luotettavuuteen ja heikentää siten EU:n demokratiaa ja että sen vuoksi valvontateollisuuden avoimuutta ja oikeudellista vastuuvelvollisuutta on lisättävä kiireellisesti;</w:t>
      </w:r>
    </w:p>
    <w:p w14:paraId="6F11CBB9" w14:textId="77777777" w:rsidR="007455F5" w:rsidRPr="00E42873" w:rsidRDefault="007455F5" w:rsidP="00A248D2">
      <w:pPr>
        <w:pStyle w:val="NormalHanging12a"/>
        <w:widowControl/>
        <w:rPr>
          <w:szCs w:val="24"/>
        </w:rPr>
      </w:pPr>
      <w:r w:rsidRPr="00E42873">
        <w:t>4.</w:t>
      </w:r>
      <w:r w:rsidRPr="00E42873">
        <w:tab/>
        <w:t>kehottaa jäsenvaltioita, erityisesti Kreikkaa, Unkaria, Puolaa, Espanjaa ja Kyprosta, noudattamaan Pegasus-ohjelman ja vastaavien vakoiluohjelmien käyttöä koskevan mietintönsä suosituksia; palauttaa mieliin suosituksensa, jotka koskevat EU:n yhteisten normien noudattamista, sillä yksilön oikeuksia ei saa vaarantaa sallimalla rajoittamattomat mahdollisuudet tarkkailutoimintaan;</w:t>
      </w:r>
    </w:p>
    <w:p w14:paraId="18C175CA" w14:textId="77777777" w:rsidR="007455F5" w:rsidRPr="00E42873" w:rsidRDefault="007455F5" w:rsidP="00A248D2">
      <w:pPr>
        <w:pStyle w:val="NormalHanging12a"/>
        <w:widowControl/>
        <w:rPr>
          <w:szCs w:val="24"/>
        </w:rPr>
      </w:pPr>
      <w:r w:rsidRPr="00E42873">
        <w:t>5.</w:t>
      </w:r>
      <w:r w:rsidRPr="00E42873">
        <w:tab/>
        <w:t>kehottaa jäsenvaltioita laatimaan toimittajien turvallisuutta koskevia kansallisia toimintasuunnitelmia ja luomaan suotuisan ympäristön moniarvoisille ja riippumattomille tiedotusvälineille, jotta ne voivat kukoistaa ja toimia keskeisessä asemassaan hallitusten ja muiden toimijoiden vastuuvelvollisuutta valvovana vallan vahtikoirana;</w:t>
      </w:r>
    </w:p>
    <w:p w14:paraId="50D08A58" w14:textId="77777777" w:rsidR="007455F5" w:rsidRPr="00E42873" w:rsidRDefault="007455F5" w:rsidP="00A248D2">
      <w:pPr>
        <w:pStyle w:val="NormalHanging12a"/>
        <w:widowControl/>
        <w:rPr>
          <w:szCs w:val="24"/>
        </w:rPr>
      </w:pPr>
      <w:r w:rsidRPr="00E42873">
        <w:t>6.</w:t>
      </w:r>
      <w:r w:rsidRPr="00E42873">
        <w:tab/>
        <w:t>muistuttaa, että vakoiluohjelmien kauppaa ja käyttöä on säänneltävä tiukasti; korostaa, että vakoiluohjelmien käyttö on sallittava vain poikkeus- ja erityistapauksissa ja ainoastaan tutkittaessa rajattuun ja tyhjentävään luetteloon kuuluvia selkeästi ja täsmällisesti määriteltyjä vakavia rikoksia ja että käytön on oltava tapauskohtaisesti perusteltua sekä perusoikeuskirjan ja muun asiaankuuluvan unionin oikeuden mukaista, riippumattoman ja puolueettoman oikeusviranomaisen on määrättävä siitä ennakkoon ja sen yhteydessä on oltava käytettävissä tehokkaat, tunnetut ja saatavilla olevat oikeussuojakeinot; korostaa, että kaiken vakoiluohjelmien käytön on oltava riippumattoman jälkikäteisvalvontaviranomaisen valvonnassa ja tämän on varmistettava, että kaikki tarkkailutoiminta, johon on annettu lupa, toteutetaan perusoikeuksia sekä Euroopan unionin tuomioistuimen, Euroopan ihmisoikeustuomioistuimen ja Venetsian komission asettamia ehtoja noudattaen; vaatii, että henkilöillä, joita on tarkkailtu vakoiluohjelman avulla, on käytössään todelliset ja merkitykselliset oikeussuojakeinot;</w:t>
      </w:r>
    </w:p>
    <w:p w14:paraId="6B582224" w14:textId="77777777" w:rsidR="007455F5" w:rsidRPr="00E42873" w:rsidRDefault="007455F5" w:rsidP="00A248D2">
      <w:pPr>
        <w:pStyle w:val="NormalHanging12a"/>
        <w:widowControl/>
        <w:rPr>
          <w:szCs w:val="24"/>
        </w:rPr>
      </w:pPr>
      <w:r w:rsidRPr="00E42873">
        <w:t>7.</w:t>
      </w:r>
      <w:r w:rsidRPr="00E42873">
        <w:tab/>
        <w:t>painottaa, että korruptio on ristiriidassa demokratian ja oikeusvaltion arvojen kanssa, koska se syventää eriarvoisuutta ja heikentää kansalaisten luottamusta hyvään hallintotapaan; on syvästi huolissaan lisääntyvästä korruptiosta monissa jäsenvaltioissa ja erityisesti tapauksista, joissa on osallisina korkean tason viranhaltijoita ja poliitikkoja; toistaa tuomitsevansa väitetyt korruptiotapaukset, joissa on osallisina Euroopan parlamentin nykyisiä ja entisiä jäseniä; korostaa tässä yhteydessä, että sen työjärjestykseen on tehty muutoksia, joilla pyritään vahvistamaan sen nuhteettomuutta, riippumattomuutta ja vastuuvelvollisuutta; on huolissaan siitä, että EU:n korruptiontorjuntakehyksen täytäntöönpanoaste vaihtelee jäsenvaltioissa; vaatii, että korruptiota koskevan nollatoleranssin on oltava sääntö; vaatii riippumattoman eettisen elimen perustamista; kehottaa jäsenvaltioita varmistamaan, että väärinkäytösten paljastajia koskeva direktiivi</w:t>
      </w:r>
      <w:r w:rsidRPr="00E42873">
        <w:rPr>
          <w:rStyle w:val="FootnoteReference"/>
        </w:rPr>
        <w:footnoteReference w:id="47"/>
      </w:r>
      <w:r w:rsidRPr="00E42873">
        <w:t xml:space="preserve"> pannaan täytäntöön kaikilta osin;</w:t>
      </w:r>
    </w:p>
    <w:p w14:paraId="2F22A68E" w14:textId="77777777" w:rsidR="007455F5" w:rsidRPr="00E42873" w:rsidRDefault="007455F5" w:rsidP="00A248D2">
      <w:pPr>
        <w:pStyle w:val="NormalHanging12a"/>
        <w:widowControl/>
      </w:pPr>
      <w:r w:rsidRPr="00E42873">
        <w:t>8.</w:t>
      </w:r>
      <w:r w:rsidRPr="00E42873">
        <w:tab/>
        <w:t>korostaa, että oikeuslaitoksen riippumattomuus ja tehokas keskinäinen valvonta, jonka keinot voivat vaihdella jäsenvaltiosta toiseen, ovat oikeusvaltion keskeisiä osatekijöitä; korostaa, että oikeusvaltioon ja oikeuslaitoksen riippumattomuuteen liittyy edelleen vakavia huolenaiheita useissa jäsenvaltioissa; tuomitsee jäsenvaltioiden hallitusten yritykset käyttää poliittista vaikutusvaltaa tuomioistuinlaitoksen riippumattomaan päätöksentekoon tai valvoa sitä joko suoraan tai organisatorisin keinoin;</w:t>
      </w:r>
    </w:p>
    <w:p w14:paraId="5F5C6994" w14:textId="77777777" w:rsidR="007455F5" w:rsidRPr="00E42873" w:rsidRDefault="007455F5" w:rsidP="00A248D2">
      <w:pPr>
        <w:pStyle w:val="NormalHanging12a"/>
        <w:widowControl/>
        <w:rPr>
          <w:szCs w:val="24"/>
        </w:rPr>
      </w:pPr>
      <w:r w:rsidRPr="00E42873">
        <w:t>9.</w:t>
      </w:r>
      <w:r w:rsidRPr="00E42873">
        <w:tab/>
        <w:t>kannattaa sellaisen EU:n strategian luomista, jolla varmistetaan konkreettinen ja koordinoitu toiminta EU:n tasolla muun muassa perustamalla EU:n ulkopolitiikan esimerkkien pohjalta Euroopan ihmisoikeuksien puolustajien suojelumekanismi ennaltaehkäisyn, suoran avun ja vastuuvelvollisuuden varmistamiseksi;</w:t>
      </w:r>
    </w:p>
    <w:p w14:paraId="774B445B" w14:textId="77777777" w:rsidR="007455F5" w:rsidRPr="00E42873" w:rsidRDefault="007455F5" w:rsidP="00A248D2">
      <w:pPr>
        <w:pStyle w:val="NormalHanging12a"/>
        <w:widowControl/>
      </w:pPr>
      <w:r w:rsidRPr="00E42873">
        <w:t>10.</w:t>
      </w:r>
      <w:r w:rsidRPr="00E42873">
        <w:tab/>
        <w:t>tukee elpymis- ja palautumistukivälineen sekä horisontaalisten mahdollistavien edellytysten käyttöä EU:n rahoituksen jäädyttämiseksi, jotta voidaan torjua korruptiota ja oikeusvaltioperiaatteesta lipsumista jäsenvaltioissa; korostaa, että eri ehdollisuustoimenpiteiden kautta pidätettyjä varoja saa vapauttaa vasta, kun keskeiset mahdollistavat edellytykset täyttyvät; kehottaa jäsenvaltioita toteuttamaan asianmukaiset toimenpiteet niiden elpymis- ja palautumissuunnitelmissa asetettujen välitavoitteiden saavuttamiseksi; kehottaa Eurooppa-neuvostoa ryhtymään toimiin ja määrittämään, onko Unkari loukannut vakavasti ja jatkuvasti EU:n arvoja SEU 7 artiklan 2 kohdan nojalla; pitää erittäin valitettavana, että Unkarin viranomaiset ovat järjestelmällisesti mustamaalanneet hlbtqi+-yhteisöä; korostaa, että neuvostolla on yhteinen vastuu SEU 2 artiklassa vahvistettujen arvojen suojelusta ja että sen laiminlyönnillä olisi pitkäaikaisia ja mahdollisesti haitallisia seurauksia; vaatii kunnioittamaan parlamentin roolia ja toimivaltaa;</w:t>
      </w:r>
    </w:p>
    <w:p w14:paraId="1D8A3EFD" w14:textId="77777777" w:rsidR="007455F5" w:rsidRPr="00E42873" w:rsidRDefault="007455F5" w:rsidP="00A248D2">
      <w:pPr>
        <w:pStyle w:val="NormalHanging12a"/>
        <w:widowControl/>
        <w:rPr>
          <w:szCs w:val="24"/>
        </w:rPr>
      </w:pPr>
      <w:r w:rsidRPr="00E42873">
        <w:t>11.</w:t>
      </w:r>
      <w:r w:rsidRPr="00E42873">
        <w:tab/>
        <w:t>pitää valitettavana, että jotkin jäsenvaltiot jatkavat poikkeustilatoimenpiteitä pidempään kuin on tarpeen ja oikeasuhteista ja että ne kiirehtivät hyväksymään lainsäädäntöä ilman asianmukaista kuulemista;</w:t>
      </w:r>
    </w:p>
    <w:p w14:paraId="5B9F20FD" w14:textId="77777777" w:rsidR="007455F5" w:rsidRPr="00E42873" w:rsidRDefault="007455F5" w:rsidP="00A248D2">
      <w:pPr>
        <w:pStyle w:val="NormalHanging12a"/>
        <w:widowControl/>
        <w:rPr>
          <w:szCs w:val="24"/>
        </w:rPr>
      </w:pPr>
      <w:r w:rsidRPr="00E42873">
        <w:t>12.</w:t>
      </w:r>
      <w:r w:rsidRPr="00E42873">
        <w:tab/>
        <w:t>toteaa jälleen välittömän tarpeen perustaa demokratiaa, oikeusvaltiota ja perusoikeuksia koskeva EU:n mekanismi ja kehottaa komissiota ja neuvostoa aloittamaan parlamentin kanssa välittömästi neuvottelut tästä sopimuksesta;</w:t>
      </w:r>
    </w:p>
    <w:p w14:paraId="02C162C7" w14:textId="77777777" w:rsidR="007455F5" w:rsidRPr="00E42873" w:rsidRDefault="007455F5" w:rsidP="00A248D2">
      <w:pPr>
        <w:pStyle w:val="NormalHanging12a"/>
        <w:widowControl/>
        <w:rPr>
          <w:szCs w:val="24"/>
        </w:rPr>
      </w:pPr>
      <w:r w:rsidRPr="00E42873">
        <w:t>13.</w:t>
      </w:r>
      <w:r w:rsidRPr="00E42873">
        <w:tab/>
        <w:t>pitää myönteisenä, että unionin tuomioistuin otti vuonna 2022 käyttöön yleisradiolähetykset ja suorat lähetykset helpottaakseen yleisön osittaista mahdollisuutta tutustua sen oikeudelliseen toimintaan;</w:t>
      </w:r>
    </w:p>
    <w:p w14:paraId="4FF7301A" w14:textId="77777777" w:rsidR="007455F5" w:rsidRPr="00E42873" w:rsidRDefault="007455F5" w:rsidP="00E741B8">
      <w:pPr>
        <w:pStyle w:val="Normal12a24b"/>
        <w:keepNext/>
        <w:widowControl/>
        <w:spacing w:before="0"/>
        <w:rPr>
          <w:i/>
        </w:rPr>
      </w:pPr>
      <w:r w:rsidRPr="00E42873">
        <w:rPr>
          <w:rStyle w:val="Bold"/>
          <w:i/>
        </w:rPr>
        <w:t>Vapaudet</w:t>
      </w:r>
    </w:p>
    <w:p w14:paraId="58FD3E0C" w14:textId="77777777" w:rsidR="007455F5" w:rsidRPr="00E42873" w:rsidRDefault="007455F5" w:rsidP="00A248D2">
      <w:pPr>
        <w:pStyle w:val="NormalHanging12a"/>
        <w:widowControl/>
        <w:rPr>
          <w:szCs w:val="24"/>
        </w:rPr>
      </w:pPr>
      <w:r w:rsidRPr="00E42873">
        <w:t>14.</w:t>
      </w:r>
      <w:r w:rsidRPr="00E42873">
        <w:tab/>
        <w:t>ilmaisee syvän huolensa yhdistymis-, sanan- ja kokoontumisvapauteen kohdistuvasta kasvavasta uhasta; toistaa, että oikeutta kokoontua rauhanomaisesti voidaan rajoittaa vain lailla ja ainoastaan, kun se on välttämätöntä ja oikeasuhteista unionin tunnustaman yleisen edun tai muiden henkilöiden oikeuksien ja vapauksien suojelemiseksi; tuomitsee lainvalvontaviranomaisten joissakin tapauksissa väkivaltaiset ja kohtuuttomat toimenpiteet rauhanomaisten mielenosoitusten aikana ja tuomitsee mahdollisten mielenosoittajien mielivaltaiset joukkopidätykset; kehottaa asiasta vastaavia kansallisia viranomaisia varmistamaan avoimet, puolueettomat, riippumattomat ja tehokkaat tutkinnat tapauksista, joissa voimankäytön epäillään tai väitetään olleen kohtuutonta; kehottaa jäsenvaltioita käyttämään yleisen järjestyksen ylläpitämiseen vaihtoehtoisia käytäntöjä, jotka ovat jo osoittautuneet tehokkaiksi muissa jäsenvaltioissa;</w:t>
      </w:r>
    </w:p>
    <w:p w14:paraId="064232B9" w14:textId="77777777" w:rsidR="007455F5" w:rsidRPr="00E42873" w:rsidRDefault="007455F5" w:rsidP="00A248D2">
      <w:pPr>
        <w:pStyle w:val="NormalHanging12a"/>
        <w:widowControl/>
      </w:pPr>
      <w:r w:rsidRPr="00E42873">
        <w:t>15.</w:t>
      </w:r>
      <w:r w:rsidRPr="00E42873">
        <w:tab/>
        <w:t>painottaa, että kaikkien demokratioiden perustana oleva oikeus sananvapauteen ja tiedonvälityksen vapauteen voidaan varmistaa vain, jos tietoa on yleisesti saatavilla ja se on monimuotoista; korostaa, että taiteellinen vapaus on taattava; korostaa, että disinformaatio voi olla erittäin vahingollista demokraattisten yhteiskuntien, talouksien ja poliittisten järjestelmien toiminnalle; muistuttaa, että medialukutaito ja digitaalinen lukutaito on sisällytettävä kansalaiskasvatukseen disinformaation leviämisen torjumiseksi; toistaa suosituksensa toteuttaa tehokkaita toimia vihamielisten ulkovaltojen disinformaation torjumiseksi erityisesti tulevia EU-vaaleja silmällä pitäen; painottaa, että riippumaton ja moniarvoinen mediaympäristö sekä verkossa että sen ulkopuolella on välttämätön disinformaation ja propagandan torjumiseksi tehokkaasti ja että tällaista mediaympäristöä on siksi edistettävä muun muassa tehokkailla toimilla tiedotusvälineiden keskittymistä vastaan;</w:t>
      </w:r>
    </w:p>
    <w:p w14:paraId="34A086F3" w14:textId="77777777" w:rsidR="007455F5" w:rsidRPr="00E42873" w:rsidRDefault="007455F5" w:rsidP="00A248D2">
      <w:pPr>
        <w:pStyle w:val="NormalHanging12a"/>
        <w:widowControl/>
        <w:rPr>
          <w:szCs w:val="24"/>
        </w:rPr>
      </w:pPr>
      <w:r w:rsidRPr="00E42873">
        <w:t>16.</w:t>
      </w:r>
      <w:r w:rsidRPr="00E42873">
        <w:tab/>
        <w:t xml:space="preserve"> korostaa, että unionin oikeuden mukaan kansallisten sääntelyviranomaisten ja/tai -elinten on oltava toiminnallisesti riippumattomia hallituksestaan eivätkä ne saa pyytää tai ottaa vastaan ohjeita miltään muulta elimeltä; toteaa, että jäsenvaltioiden ja komission toteuttaman tiedotusvälineiden sääntelyn ja valvonnan poliittinen riippumattomuus, toimituksellisen riippumattomuuden suojelu kaikkialla EU:ssa sekä toimittajien suojelu valvonnalta ja journalististen lähteiden suojelu ovat äärimmäisen tärkeitä; kehottaa tältä osin hyväksymään vakaan eurooppalaisen medianvapaussäädöksen, jolla taataan tiedotusvälineiden riippumattomuus, moniarvoisuus ja vapaus kaikkialla EU:ssa ja varmistetaan tiedotusvälineiden omistussuhteiden ja rahoituksen avoimuus;</w:t>
      </w:r>
    </w:p>
    <w:p w14:paraId="0D65E468" w14:textId="77777777" w:rsidR="007455F5" w:rsidRPr="00E42873" w:rsidRDefault="007455F5" w:rsidP="00A248D2">
      <w:pPr>
        <w:pStyle w:val="NormalHanging12a"/>
        <w:widowControl/>
        <w:rPr>
          <w:szCs w:val="24"/>
        </w:rPr>
      </w:pPr>
      <w:r w:rsidRPr="00E42873">
        <w:t>17.</w:t>
      </w:r>
      <w:r w:rsidRPr="00E42873">
        <w:tab/>
        <w:t>korostaa kansalaisyhteiskunnan järjestöjen keskeistä roolia aktiivisen kansalaisuuden, perusoikeuksien ja demokraattisen osallistumisen edistämisessä Euroopassa; kehottaa komissiota esittämään strategian ja laatimaan vähimmäisvaatimukset kansalaisyhteiskunnan järjestöjen suojelemiseksi kaikissa jäsenvaltioissa, jotta voidaan edistää sellaista sääntely- ja poliittista ympäristöä, joka on vapaa lamaannuttavista vaikutuksista, uhkauksista ja hyökkäyksistä, tarjota kansalaisyhteiskunnan järjestöille kestävä ja syrjimätön pääsy resursseihin ja tukea niiden osallistumista kansalaisvuoropuheluun ja poliittiseen päätöksentekoon; pitää valitettavana, että ihmisoikeuksien puolustajien tilanne EU:ssa on heikentynyt hälyttävästi viime vuosina; kehottaa komissiota ja jäsenvaltioita toteuttamaan tarvittavat toimenpiteet sen varmistamiseksi, että ihmisoikeuksien puolustajat voivat työskennellä esteettömästi ja turvallisesti;</w:t>
      </w:r>
    </w:p>
    <w:p w14:paraId="18F8323D" w14:textId="77777777" w:rsidR="007455F5" w:rsidRPr="00E42873" w:rsidRDefault="007455F5" w:rsidP="00A248D2">
      <w:pPr>
        <w:pStyle w:val="NormalHanging12a"/>
        <w:widowControl/>
        <w:rPr>
          <w:szCs w:val="24"/>
        </w:rPr>
      </w:pPr>
      <w:r w:rsidRPr="00E42873">
        <w:t>18.</w:t>
      </w:r>
      <w:r w:rsidRPr="00E42873">
        <w:tab/>
        <w:t>muistuttaa, että perusoikeuskirjan 6 artiklan nojalla jokaisella on oikeus vapauteen ja turvallisuuteen, mikä tarkoittaa, että jokaista EU:ssa olisi suojeltava laittomalta ja mielivaltaiselta pidätykseltä; kehottaa jäsenvaltioita noudattamaan epäiltyjen ja syytettyjen henkilöiden prosessuaalisista oikeuksista annettua komission suositusta vankeusolosuhteiden parantamiseksi ja siten vapautta ja turvallisuutta koskevan oikeuden korkeatasoisen suojelun varmistamiseksi;</w:t>
      </w:r>
    </w:p>
    <w:p w14:paraId="04AC1A71" w14:textId="77777777" w:rsidR="007455F5" w:rsidRPr="00E42873" w:rsidRDefault="007455F5" w:rsidP="00A248D2">
      <w:pPr>
        <w:pStyle w:val="NormalHanging12a"/>
        <w:widowControl/>
      </w:pPr>
      <w:r w:rsidRPr="00E42873">
        <w:t>19.</w:t>
      </w:r>
      <w:r w:rsidRPr="00E42873">
        <w:tab/>
        <w:t>tuomitsee uskontoon tai vakaumukseen perustuvan syrjinnän ja rasististen välikohtausten lisääntymisen EU:ssa; kehottaa komissiota ja jäsenvaltioita ryhtymään päättäväisiin toimiin tässä asiassa, myös kansainvälisellä tasolla; palauttaa mieliin, että perusoikeuskirjan 10 artiklan mukaan jokaisella on oikeus ajatuksen, omantunnon ja uskonnon vapauteen; pitää valitettavana, että syrjintään ja rasistisiin ja muukalaisvihamielisiin rikoksiin liittyvistä välikohtauksista ei usein ilmoiteta viranomaisille, mikä johtaa tosiasialliseen rankaisemattomuuteen; pitää valitettavana, että kaikki jäsenvaltiot eivät ole saattaneet täysimääräisesti osaksi kansallista lainsäädäntöä puitepäätöstä rasismin ja muukalaisvihan tiettyjen muotojen ja ilmentymien torjumisesta rikosoikeudellisin keinoin;</w:t>
      </w:r>
    </w:p>
    <w:p w14:paraId="597F1114" w14:textId="77777777" w:rsidR="007455F5" w:rsidRPr="00E42873" w:rsidRDefault="007455F5" w:rsidP="00A248D2">
      <w:pPr>
        <w:pStyle w:val="NormalHanging12a"/>
        <w:widowControl/>
        <w:rPr>
          <w:szCs w:val="24"/>
        </w:rPr>
      </w:pPr>
      <w:r w:rsidRPr="00E42873">
        <w:t>20.</w:t>
      </w:r>
      <w:r w:rsidRPr="00E42873">
        <w:tab/>
        <w:t>on huolestunut romaniväestöön kohdistuvien poliisiväkivaltatapausten lisääntymisestä; kehottaa jäsenvaltioita tutkimaan perusteellisesti nämä tapaukset sen varmistamiseksi, että yksittäisiin romaneihin tai romaniyhteisöihin kohdistuvien väkivaltaisten sortotoimien käyttöönotto ja/tai täytäntöönpano ei jää rankaisematta; kehottaa lisäksi jäsenvaltioita puuttumaan puolueellisiin poliisitallenteisiin, ilmoituksiin, syytteeseenpanoon ja tuomioistuinten tuomioihin sekä romaniväestön riittämättömään oikeussuojan saatavuuteen;</w:t>
      </w:r>
    </w:p>
    <w:p w14:paraId="7ABF16A9" w14:textId="77777777" w:rsidR="007455F5" w:rsidRPr="00E42873" w:rsidRDefault="007455F5" w:rsidP="00A248D2">
      <w:pPr>
        <w:pStyle w:val="NormalHanging12a"/>
        <w:widowControl/>
        <w:rPr>
          <w:szCs w:val="24"/>
        </w:rPr>
      </w:pPr>
      <w:r w:rsidRPr="00E42873">
        <w:t>21.</w:t>
      </w:r>
      <w:r w:rsidRPr="00E42873">
        <w:tab/>
        <w:t>huomauttaa, että arjen datafikaation ja dataskandaalien seurauksena oikeus henkilötietojen suojaan on yhä tärkeämpi; toistaa huolensa yleisen tietosuoja-asetuksen epäyhtenäisestä soveltamisesta; tukee aloitteita, joilla vahvistetaan tekoälyä koskevaan EU:n sääntelykehykseen liittyvää lainsäädäntöprosessia, joka tarjoaa vahvat takeet perusoikeuksille;</w:t>
      </w:r>
    </w:p>
    <w:p w14:paraId="0FD54EE7" w14:textId="77777777" w:rsidR="007455F5" w:rsidRPr="00E42873" w:rsidRDefault="007455F5" w:rsidP="00A248D2">
      <w:pPr>
        <w:pStyle w:val="NormalHanging12a"/>
        <w:widowControl/>
      </w:pPr>
      <w:r w:rsidRPr="00E42873">
        <w:t>22.</w:t>
      </w:r>
      <w:r w:rsidRPr="00E42873">
        <w:tab/>
        <w:t>tuomitsee jyrkästi laajalle levinneet perusoikeuksien loukkaukset ja suhteettoman väkivallan käytön EU:n rajoilla muuttajia, myös pakolaisia, vastaan, kuten mielivaltaiset vangitsemiset, epäinhimilliset elinolot ja terveydenhuollon saatavuuden puute, laittomat palautukset ja väkivaltaiset pakkokäännyttämiset; on erityisen huolestunut siitä, että jäsenvaltiot kodifioivat pakkokäännytysten käytön kansalliseen lainsäädäntöönsä; tuomitsee kaikki jäsenvaltioiden lait, jotka heikentävät pakolaisten, turvapaikanhakijoiden ja muuttajien ihmisoikeuksien tehokasta suojelua maalla ja merellä, ja humanitaaristen työntekijöiden ja aktivistien kriminalisoinnin; painottaa, että lähes kolmasosa turvapaikanhakijoista on lapsia, ja toteaa jälleen, että maahanmuuton yhteydessä tapahtuvaa lasten säilöönottoa ei pitäisi sallia;</w:t>
      </w:r>
    </w:p>
    <w:p w14:paraId="0540B0FD" w14:textId="77777777" w:rsidR="007455F5" w:rsidRPr="00E42873" w:rsidRDefault="007455F5" w:rsidP="00A248D2">
      <w:pPr>
        <w:pStyle w:val="NormalHanging12a"/>
        <w:widowControl/>
        <w:rPr>
          <w:szCs w:val="24"/>
        </w:rPr>
      </w:pPr>
      <w:r w:rsidRPr="00E42873">
        <w:t>23.</w:t>
      </w:r>
      <w:r w:rsidRPr="00E42873">
        <w:tab/>
        <w:t>kehottaa EU:ta ja jäsenvaltioita varmistamaan, että käyttöön otetaan tehokkaat valvontamekanismit, joilla varmistetaan perusoikeuksien noudattaminen ulkorajoilla ja joiden olisi katettava myös rajavalvontatoimien seuranta; kehottaa lisäksi komissiota ja jäsenvaltioita varmistamaan, että henkilöille, joiden tietoja säilytetään EU:n laaja-alaisten tietojärjestelmien tietokannoissa, tiedotetaan heidän oikeuksistaan ja että heillä on käytettävissään oikeussuojakeinoja;</w:t>
      </w:r>
    </w:p>
    <w:p w14:paraId="1DD28ED0" w14:textId="77777777" w:rsidR="007455F5" w:rsidRPr="00E42873" w:rsidRDefault="007455F5" w:rsidP="00A248D2">
      <w:pPr>
        <w:pStyle w:val="NormalHanging12a"/>
        <w:widowControl/>
        <w:rPr>
          <w:szCs w:val="24"/>
        </w:rPr>
      </w:pPr>
      <w:r w:rsidRPr="00E42873">
        <w:t>24.</w:t>
      </w:r>
      <w:r w:rsidRPr="00E42873">
        <w:tab/>
        <w:t>pitää erittäin valitettavana pakolaisten ja maahanmuuttajien lukuisia kuolemantapauksia merellä ja toteaa, että he ovat usein ihmiskaupan uhreja ja joutuvat kohtaamaan epäinhimillistä ja halventavaa kohtelua ilman, että heidän turvallisuuttaan otetaan millään tavoin huomioon; palauttaa mieliin, että jäsenvaltioilla on kansainvälisen merioikeuden mukainen velvollisuus auttaa hädässä olevia henkilöitä, ja kehottaa kiireellisesti suorittamaan jatkuvia koordinoituja etsintä- ja pelastusoperaatioita ja kehottaa jäsenvaltioita toteuttamaan kaikkia mahdollisia toimia merihädässä olevien ihmisten hengen pelastamiseksi; kehottaa kunnioittamaan kaikkien merellä pelastettujen henkilöiden oikeutta turvapaikkaan arvioimalla yksilölliset olosuhteet tapauskohtaisesti;</w:t>
      </w:r>
    </w:p>
    <w:p w14:paraId="31BD7E2E" w14:textId="77777777" w:rsidR="007455F5" w:rsidRPr="00E42873" w:rsidRDefault="007455F5" w:rsidP="00A248D2">
      <w:pPr>
        <w:pStyle w:val="NormalHanging12a"/>
        <w:widowControl/>
        <w:rPr>
          <w:szCs w:val="24"/>
        </w:rPr>
      </w:pPr>
      <w:r w:rsidRPr="00E42873">
        <w:t>25.</w:t>
      </w:r>
      <w:r w:rsidRPr="00E42873">
        <w:tab/>
        <w:t>toteaa, että monet jäsenvaltiot käyttävät kansallista turvallisuutta sisäpolitiikkaa määrittävänä tekijänä, kuten muuttoliikkeen kohdalla; korostaa, että kansallisen turvallisuuden perusteella toteutettavien toimenpiteiden on oltava välttämättömiä ja oikeasuhteisia eivätkä ne saa heikentää perusoikeuskirjassa taattuja oikeuksia; muistuttaa, että perusoikeuskirjan 19 artiklassa määrätään suojasta palauttamis-, karkottamis- ja luovuttamistapauksissa kieltämällä joukkokarkotukset ja siten edellytetään yksilöllistä arviointia ja kielletään kansainvälistä suojelua koskevien hakemusten hylkääminen yksinomaan tietyn kansalaisuuden perusteella;</w:t>
      </w:r>
    </w:p>
    <w:p w14:paraId="4D9E8287" w14:textId="77777777" w:rsidR="007455F5" w:rsidRPr="00E42873" w:rsidRDefault="007455F5" w:rsidP="00A248D2">
      <w:pPr>
        <w:pStyle w:val="NormalHanging12a"/>
        <w:widowControl/>
        <w:rPr>
          <w:szCs w:val="24"/>
        </w:rPr>
      </w:pPr>
      <w:r w:rsidRPr="00E42873">
        <w:t>26.</w:t>
      </w:r>
      <w:r w:rsidRPr="00E42873">
        <w:tab/>
        <w:t>suhtautuu myönteisesti EU:n tilapäistä suojelua koskevan direktiivin</w:t>
      </w:r>
      <w:r w:rsidRPr="00E42873">
        <w:rPr>
          <w:rStyle w:val="FootnoteReference"/>
        </w:rPr>
        <w:footnoteReference w:id="48"/>
      </w:r>
      <w:r w:rsidRPr="00E42873">
        <w:t xml:space="preserve"> käyttöönottoon Ukrainan sodan seurauksena ja toteaa, että direktiivin tavoitteena on varmistaa pakolaisten ja turvapaikanhakijoiden suojelu heidän alkuperästään riippumatta; palauttaa mieliin, että tilapäistä suojelua koskevan direktiivin mukaisissa majoitus-, työllisyys-, koulutus-, terveydenhuolto- ja sosiaalipalveluissa on otettava huomioon sukupuolinäkökulma; pitää valitettavana eriarvoista kohtelua, rotusyrjintää ja väkivaltaa, jota konfliktia pakenevat muut kuin ukrainalaiset ja erityisesti tummaihoiset henkilöt sekä hlbtiq+-henkilöt kohtaavat; pitää valitettavana maahanmuuttajia ja pakolaisia koskevaa kaksinaismoraalia EU:ssa ja kehottaa tekemään tästä tilanteesta lopun;</w:t>
      </w:r>
    </w:p>
    <w:p w14:paraId="55024A63" w14:textId="77777777" w:rsidR="007455F5" w:rsidRPr="00E42873" w:rsidRDefault="007455F5" w:rsidP="00A248D2">
      <w:pPr>
        <w:pStyle w:val="NormalHanging12a"/>
        <w:widowControl/>
        <w:rPr>
          <w:szCs w:val="24"/>
        </w:rPr>
      </w:pPr>
      <w:r w:rsidRPr="00E42873">
        <w:t>27.</w:t>
      </w:r>
      <w:r w:rsidRPr="00E42873">
        <w:tab/>
        <w:t>suhtautuu myönteisesti Euroopan neuvoston ministerikomitean suositukseen maahanmuuttaja-, pakolais- ja turvapaikanhakijanaisten ja -tyttöjen oikeuksien suojelemisesta ja kehottaa jäsenvaltioita toteuttamaan toimenpiteitä tällaisten naisten syrjinnän estämiseksi muun muassa edistämällä työllistymistä ja seksuaali- ja lisääntymisterveydenhuoltoa sekä helpottamalla palvelujen ja oikeuden saatavuutta sukupuolistuneen väkivallan uhreille</w:t>
      </w:r>
      <w:r w:rsidRPr="00E42873">
        <w:rPr>
          <w:vertAlign w:val="superscript"/>
        </w:rPr>
        <w:footnoteReference w:id="49"/>
      </w:r>
      <w:r w:rsidRPr="00E42873">
        <w:t>;</w:t>
      </w:r>
    </w:p>
    <w:p w14:paraId="53EC8D88" w14:textId="77777777" w:rsidR="007455F5" w:rsidRPr="00E42873" w:rsidRDefault="007455F5" w:rsidP="00A248D2">
      <w:pPr>
        <w:pStyle w:val="NormalHanging12a"/>
        <w:widowControl/>
        <w:rPr>
          <w:szCs w:val="24"/>
        </w:rPr>
      </w:pPr>
      <w:r w:rsidRPr="00E42873">
        <w:t>28.</w:t>
      </w:r>
      <w:r w:rsidRPr="00E42873">
        <w:tab/>
        <w:t>panee huolestuneena merkille kansalaisuudettomien henkilöiden suuren määrän EU:ssa ja erityisesti lasten syntymisen kansalaisuudettomina; kehottaa komissiota laatimaan kattavan strategian ja toimintasuunnitelman, joilla puututaan kansalaisuudettomuuteen EU:ssa ja suojellaan näitä henkilöitä karkottamiselta; pyytää, että jäsenvaltiot asianmukaisesti tunnistavat ja tunnustavat kansalaisuudettomat henkilöt, suojelevat heitä ja puuttuvat kansalaisuudettomien henkilöiden erityisiin haavoittuvuustekijöihin;</w:t>
      </w:r>
    </w:p>
    <w:p w14:paraId="34FE84E1" w14:textId="77777777" w:rsidR="007455F5" w:rsidRPr="00E42873" w:rsidRDefault="007455F5" w:rsidP="00E741B8">
      <w:pPr>
        <w:pStyle w:val="Normal12a24b"/>
        <w:keepNext/>
        <w:widowControl/>
        <w:spacing w:before="0"/>
        <w:rPr>
          <w:i/>
        </w:rPr>
      </w:pPr>
      <w:r w:rsidRPr="00E42873">
        <w:rPr>
          <w:rStyle w:val="Bold"/>
          <w:i/>
        </w:rPr>
        <w:t>Tasa-arvo ja ihmisarvo</w:t>
      </w:r>
    </w:p>
    <w:p w14:paraId="233C89DA" w14:textId="77777777" w:rsidR="007455F5" w:rsidRPr="00E42873" w:rsidRDefault="007455F5" w:rsidP="00A248D2">
      <w:pPr>
        <w:pStyle w:val="NormalHanging12a"/>
        <w:widowControl/>
      </w:pPr>
      <w:r w:rsidRPr="00E42873">
        <w:t>29.</w:t>
      </w:r>
      <w:r w:rsidRPr="00E42873">
        <w:tab/>
        <w:t>kehottaa komissiota varmistamaan, että oikeutta syrjimättömyyteen ja yhdenvertaiseen kohteluun kunnioitetaan kaikkialla EU:ssa; pitää valitettavana, että ehdotus horisontaaliseksi syrjinnän vastaiseksi direktiiviksi on ollut pysähdyksissä neuvostossa vuodesta 2008; katsoo, että jos komissio tekee tähän ehdotukseensa päivityksiä, niiden on perustuttava parlamentin kantaan, niissä on käsiteltävä intersektionaalista syrjintää ja niillä on nimenomaisesti kiellettävä syrjintä minkä tahansa perusoikeuskirjassa lueteltujen perusteiden yhdistelmän perusteella; pahoittelee, että neuvosto on jättänyt nämä pyynnöt huomiotta, ja kehottaa neuvostoa sisällyttämään ne sen neuvotteluvaltuutukseen ja toteuttamaan kaikki tarvittavat toimet syrjinnän torjumiseksi EU:ssa;</w:t>
      </w:r>
    </w:p>
    <w:p w14:paraId="64812910" w14:textId="77777777" w:rsidR="007455F5" w:rsidRPr="00E42873" w:rsidRDefault="007455F5" w:rsidP="00A248D2">
      <w:pPr>
        <w:pStyle w:val="NormalHanging12a"/>
        <w:widowControl/>
        <w:rPr>
          <w:szCs w:val="24"/>
        </w:rPr>
      </w:pPr>
      <w:r w:rsidRPr="00E42873">
        <w:t>30.</w:t>
      </w:r>
      <w:r w:rsidRPr="00E42873">
        <w:tab/>
        <w:t>kehottaa komissiota valvomaan jäsenvaltioiden kansallisten rasismin vastaisten toimintasuunnitelmien ja EU:n rasismintorjunnan toimintasuunnitelman täytäntöönpanoa ja varmistamaan niiden asianmukaiset jatkotoimet; kehottaa lisäksi komissiota ottamaan rasismin ja syrjinnän torjunnan huomioon kaikissa EU:n toimintapolitiikoissa; kehottaa neuvoston tulevia puheenjohtajavaltioita harkitsemaan vakavasti sukupuolten tasa-arvoa ja yhdenvertaisuutta käsittelevän neuvoston kokoonpanon perustamista;</w:t>
      </w:r>
    </w:p>
    <w:p w14:paraId="4A1145D8" w14:textId="77777777" w:rsidR="007455F5" w:rsidRPr="00E42873" w:rsidRDefault="007455F5" w:rsidP="00A248D2">
      <w:pPr>
        <w:pStyle w:val="NormalHanging12a"/>
        <w:widowControl/>
        <w:rPr>
          <w:szCs w:val="24"/>
        </w:rPr>
      </w:pPr>
      <w:r w:rsidRPr="00E42873">
        <w:t>31.</w:t>
      </w:r>
      <w:r w:rsidRPr="00E42873">
        <w:tab/>
        <w:t>kehottaa komissiota ja jäsenvaltioita torjumaan rotusyrjintää kaikilla yhteiskunnan aloilla ja painottamaan erityisesti koulutusta ja koulusegregaation ehkäisemistä toteuttamalla tehokkaita lainsäädäntö- ja politiikkatoimenpiteitä sekä jäsenvaltioissa että laajentumisprosessissa mukana olevissa maissa;</w:t>
      </w:r>
    </w:p>
    <w:p w14:paraId="13B1530D" w14:textId="77777777" w:rsidR="00A248D2" w:rsidRDefault="007455F5" w:rsidP="00A248D2">
      <w:pPr>
        <w:pStyle w:val="NormalHanging12a"/>
        <w:widowControl/>
      </w:pPr>
      <w:r w:rsidRPr="00E42873">
        <w:t>32.</w:t>
      </w:r>
      <w:r w:rsidRPr="00E42873">
        <w:tab/>
        <w:t>muistuttaa digitalisaation osalta, että on kiinnitettävä erityistä huomiota tapauksiin, joissa uusiin teknologioihin sisällytetään syrjiviä ennakko-oletuksia, ja toteaa, että kehittäjiä ja käyttöönottajia on vaadittava antamaan julkisesti saatavilla olevia tietoja siitä, miten nämä järjestelmät on koulutettu; kehottaa komissiota ja jäsenvaltioita ottamaan käyttöön toimenpiteitä, joilla estetään se, että uusi teknologia, tekoäly mukaan luettuna, pahentaa syrjintää, olemassa olevaa eriarvoisuutta ja köyhyyttä; kehottaa komissiota ja jäsenvaltioita varmistamaan, että tekoälyjärjestelmiä ohjaavat avoimuuden, selitettävyyden, oikeudenmukaisuuden ja vastuuvelvollisuuden periaatteet ja että perusoikeusvaikutusten arvioinnit otetaan käyttöön; kehottaa lisäksi komissiota ja jäsenvaltioita puuttumaan sukupuolten väliseen kuiluun ja puutteelliseen moninaisuuteen tieto- ja viestintätekniikan alalla sekä luonnontieteiden, tekniikan, insinööritieteiden ja matematiikan (STEM) aloilla, erityisesti kehitettäessä uutta teknologiaa ja etenkin päätöksentekoasemissa toimivien kohdalla;</w:t>
      </w:r>
    </w:p>
    <w:p w14:paraId="14CBDC90" w14:textId="77777777" w:rsidR="007455F5" w:rsidRPr="00E42873" w:rsidRDefault="007455F5" w:rsidP="00A248D2">
      <w:pPr>
        <w:pStyle w:val="NormalHanging12a"/>
        <w:widowControl/>
        <w:rPr>
          <w:szCs w:val="24"/>
        </w:rPr>
      </w:pPr>
      <w:r w:rsidRPr="00E42873">
        <w:t>33.</w:t>
      </w:r>
      <w:r w:rsidRPr="00E42873">
        <w:tab/>
        <w:t>muistuttaa, että on tärkeää, että kansallisiin vähemmistöihin kuuluvat lapset voivat löytää kouluja, jotka tarjoavat opetusta heidän kielellään; kannustaa ottamaan kansallisten vähemmistöjen edustajat mukaan päätöksentekoprosesseihin, joilla on vaikutusta heidän koulutusjärjestelmiinsä;</w:t>
      </w:r>
    </w:p>
    <w:p w14:paraId="6BD934AF" w14:textId="77777777" w:rsidR="007455F5" w:rsidRPr="00E42873" w:rsidRDefault="007455F5" w:rsidP="00A248D2">
      <w:pPr>
        <w:pStyle w:val="NormalHanging12a"/>
        <w:widowControl/>
      </w:pPr>
      <w:r w:rsidRPr="00E42873">
        <w:t>34.</w:t>
      </w:r>
      <w:r w:rsidRPr="00E42873">
        <w:tab/>
        <w:t>muistuttaa, että sukupuolistunut väkivalta on erittäin yleistä kaikissa jäsenvaltioissa eri puolilla EU:ta; tuomitsee jyrkästi naisten ja hlbtiq+-henkilöiden oikeuksien nopean taantumisen useissa jäsenvaltioissa; tuomitsee jyrkästi sen, että naisilta evätään turvallinen ja laillinen aborttihoito, ja toteaa, että tämä on sukupuolistuneen väkivallan muoto; korostaa, että Euroopan ihmisoikeustuomioistuin on todennut, että rajoittavat aborttilait ja niiden puutteellinen täytäntöönpano loukkaavat naisten oikeutta fyysiseen itsemääräämisoikeuteen ja koskemattomuuteen; toteaa jälleen suhtautuvansa tuomitsevasti Puolan lainsäädäntöön, jossa abortti kielletään lähes kokonaan; muistuttaa, että kansalaisia, jotka auttavat ihmisiä pääsemään aborttipalvelujen piiriin tapauksissa, joissa niitä ei ole vapaasti ja laillisesti saatavilla, ei pitäisi vainota; kehottaa jälleen sisällyttämään aborttioikeuden perusoikeuskirjaan;</w:t>
      </w:r>
    </w:p>
    <w:p w14:paraId="06C71C82" w14:textId="77777777" w:rsidR="007455F5" w:rsidRPr="00E42873" w:rsidRDefault="007455F5" w:rsidP="00A248D2">
      <w:pPr>
        <w:pStyle w:val="NormalHanging12a"/>
        <w:widowControl/>
        <w:rPr>
          <w:szCs w:val="24"/>
        </w:rPr>
      </w:pPr>
      <w:r w:rsidRPr="00E42873">
        <w:t>35.</w:t>
      </w:r>
      <w:r w:rsidRPr="00E42873">
        <w:tab/>
        <w:t>suhtautuu myönteisesti komission ehdotukseen direktiiviksi naisiin kohdistuvan väkivallan ja lähisuhdeväkivallan torjumisesta ja kehottaa saattamaan neuvottelut nopeasti päätökseen ja sisällyttämään sukupuolistuneen väkivallan EU-rikosten luetteloon; korostaa, että tällaisella direktiivillä olisi taattava Istanbulin yleissopimuksessa asetetut velvoitteet vähimmäisnormina ja pyrittävä vahvistamaan näitä normeja suojelun tason korottamiseksi; suhtautuu myönteisesti siihen, että EU ratifioi Istanbulin yleissopimuksen ja että sopimus tuli voimaan 1. lokakuuta 2023; kehottaa kaikkia niitä jäsenvaltioita, jotka eivät ole vielä niin tehneet, ratifioimaan yleissopimuksen, jotta naisia suojellaan väkivallalta;</w:t>
      </w:r>
    </w:p>
    <w:p w14:paraId="1F9D4F51" w14:textId="77777777" w:rsidR="007455F5" w:rsidRPr="00E42873" w:rsidRDefault="007455F5" w:rsidP="00A248D2">
      <w:pPr>
        <w:pStyle w:val="NormalHanging12a"/>
        <w:widowControl/>
        <w:rPr>
          <w:szCs w:val="24"/>
        </w:rPr>
      </w:pPr>
      <w:r w:rsidRPr="00E42873">
        <w:t>36.</w:t>
      </w:r>
      <w:r w:rsidRPr="00E42873">
        <w:tab/>
        <w:t>painottaa, että vammaisiin henkilöihin ja erityisesti vammaisiin naisiin kohdistuu edelleen moninkertaista ja risteävää syrjintää, joka perustuu heidän vammaisuuteensa, sukupuoleensa, rotuunsa, etniseen alkuperäänsä, ikäänsä, uskontoonsa tai vakaumukseensa, seksuaaliseen suuntautumiseensa, maahanmuuttaja-asemaansa tai sosioekonomiseen taustaansa; korostaa, että vammaisiin naisiin ja tyttöihin kohdistuu erityisesti sukupuolistunutta väkivaltaa, johon sisältyy fyysistä, seksuaalista, henkistä ja taloudellista väkivaltaa; kehottaa komissiota ja jäsenvaltioita varmistamaan, että vammaisiin henkilöihin kohdistuvan väkivallan ilmoitusmekanismeja ja uhrien tukipalveluja otetaan käyttöön ja että niistä tehdään esteettömiä;</w:t>
      </w:r>
    </w:p>
    <w:p w14:paraId="70F890B8" w14:textId="77777777" w:rsidR="007455F5" w:rsidRPr="00E42873" w:rsidRDefault="007455F5" w:rsidP="00A248D2">
      <w:pPr>
        <w:pStyle w:val="NormalHanging12a"/>
        <w:widowControl/>
        <w:rPr>
          <w:szCs w:val="24"/>
        </w:rPr>
      </w:pPr>
      <w:r w:rsidRPr="00E42873">
        <w:t>37.</w:t>
      </w:r>
      <w:r w:rsidRPr="00E42873">
        <w:tab/>
        <w:t>korostaa, että lapsen oikeudet ovat yleismaailmallisia ja että jokaisella lapsella olisi oltava samat oikeudet ketään syrjimättä, kuten oikeus vanhemmuussuhteen tunnustamiseen, myös samaa sukupuolta olevien pariskuntien osalta; suhtautuu myönteisesti komission ehdotukseen asetukseksi toimivallasta, sovellettavasta laista, päätösten tunnustamisesta ja virallisten asiakirjojen hyväksymisestä vanhemmuusasioissa sekä eurooppalaisen vanhemmuustodistuksen käyttöönotosta, jotta kaikkien lasten oikeuksia voidaan suojella varmistamalla, että yhdessä jäsenvaltiossa syntyneet vanhemmuussuhteet, mukaan lukien erityisesti samaa sukupuolta olevat vanhemmat, tunnustetaan kaikissa EU:n jäsenvaltioissa;</w:t>
      </w:r>
    </w:p>
    <w:p w14:paraId="0AD4C8D3" w14:textId="77777777" w:rsidR="007455F5" w:rsidRPr="00E42873" w:rsidRDefault="007455F5" w:rsidP="00A248D2">
      <w:pPr>
        <w:pStyle w:val="NormalHanging12a"/>
        <w:widowControl/>
        <w:rPr>
          <w:szCs w:val="24"/>
        </w:rPr>
      </w:pPr>
      <w:r w:rsidRPr="00E42873">
        <w:t>38.</w:t>
      </w:r>
      <w:r w:rsidRPr="00E42873">
        <w:tab/>
        <w:t>kehottaa jäsenvaltioita tekemään pakkosteriloinnista rangaistavan rikoksen; toistaa kantansa, jonka mukaan pakkosterilointi olisi sisällytettävä naisiin kohdistuvan väkivallan ja lähisuhdeväkivallan torjumista koskevaan direktiiviin SEUT</w:t>
      </w:r>
      <w:r w:rsidR="00A248D2">
        <w:t xml:space="preserve"> </w:t>
      </w:r>
      <w:r w:rsidRPr="00E42873">
        <w:t>83</w:t>
      </w:r>
      <w:r w:rsidR="00A248D2">
        <w:t> artiklan 1 </w:t>
      </w:r>
      <w:r w:rsidRPr="00E42873">
        <w:t>kohdassa tarkoitettuna rikoksena;</w:t>
      </w:r>
    </w:p>
    <w:p w14:paraId="2029025F" w14:textId="77777777" w:rsidR="007455F5" w:rsidRPr="00E42873" w:rsidRDefault="007455F5" w:rsidP="00A248D2">
      <w:pPr>
        <w:pStyle w:val="NormalHanging12a"/>
        <w:widowControl/>
        <w:rPr>
          <w:szCs w:val="24"/>
        </w:rPr>
      </w:pPr>
      <w:r w:rsidRPr="00E42873">
        <w:t>39.</w:t>
      </w:r>
      <w:r w:rsidRPr="00E42873">
        <w:tab/>
        <w:t>muistuttaa, että viharikokset ja vihapuhe, joiden taustalla ovat rasismi, muukalaisviha tai uskonnollinen suvaitsemattomuus taikka henkilön vammaisuuteen, seksuaaliseen suuntautumiseen, sukupuoli-identiteettiin, sukupuolen ilmaisuun ja sukupuolitettuihin kehon piirteisiin perustuva vihamielisyys tai ennakkoluulo, ovat ääriesimerkkejä syrjinnästä; toteaa, että jäsenvaltioilla on velvollisuus torjua ja tutkia viharikoksia, rangaista rikoksentekijöitä ja toteuttaa ennaltaehkäiseviä toimenpiteitä; korostaa, että lainvalvontaviranomaisten on kirjattava viharikokset asianmukaisesti, jotta saadaan enemmän tietoa ilmiön luonteesta ja esiintyvyydestä sekä sen vaikutuksista uhreihin ja jotta sen perimmäisiin syihin voidaan puuttua;</w:t>
      </w:r>
    </w:p>
    <w:p w14:paraId="604CC76F" w14:textId="77777777" w:rsidR="007455F5" w:rsidRPr="00E42873" w:rsidRDefault="007455F5" w:rsidP="00A248D2">
      <w:pPr>
        <w:pStyle w:val="NormalHanging12a"/>
        <w:widowControl/>
      </w:pPr>
      <w:r w:rsidRPr="00E42873">
        <w:t>40.</w:t>
      </w:r>
      <w:r w:rsidRPr="00E42873">
        <w:tab/>
        <w:t>pitää tervetulleena komission aloitetta SEUT 83 artiklan 1 kohdassa olevan EU-rikosten luettelon laajentamisesta kattamaan vihapuheen ja viharikokset ja korostaa tarvetta varmistaa EU:n vankka rikosoikeudellinen reagointi vihapuheeseen ja viharikoksiin; pitää erittäin valitettavana, että aloitteen hyväksyminen on viivästynyt, ja kehottaa jälleen neuvostoa työskentelemään ahkerasti yhteisymmärryksen saavuttamiseksi;</w:t>
      </w:r>
    </w:p>
    <w:p w14:paraId="7C8BCDC1" w14:textId="77777777" w:rsidR="007455F5" w:rsidRPr="00E42873" w:rsidRDefault="007455F5" w:rsidP="00A248D2">
      <w:pPr>
        <w:pStyle w:val="NormalHanging12a"/>
        <w:widowControl/>
        <w:rPr>
          <w:szCs w:val="24"/>
        </w:rPr>
      </w:pPr>
      <w:r w:rsidRPr="00E42873">
        <w:t>41.</w:t>
      </w:r>
      <w:r w:rsidRPr="00E42873">
        <w:tab/>
        <w:t>palauttaa mieliin, että vihapuhetta ja viharikoksia koskevalla EU:n lainsäädännöllä olisi suojeltava yleismaailmallisesti ihmisarvoa ja torjuttava vihaa ja suvaitsemattomuutta riippumatta niiden perusteista ja että siinä olisi keskityttävä erityisesti kohteena oleviin henkilöihin, ryhmiin ja yhteisöihin; tuomitsee jyrkästi kaikenlaisen vihapuheen ja loanheittokampanjat julkisissa tiedotusvälineissä toimittajia, poliitikkoja, viranhaltijoita, aktivisteja ja muita toimijoita vastaan;</w:t>
      </w:r>
    </w:p>
    <w:p w14:paraId="1A615C8D" w14:textId="77777777" w:rsidR="007455F5" w:rsidRPr="00E42873" w:rsidRDefault="007455F5" w:rsidP="00A248D2">
      <w:pPr>
        <w:pStyle w:val="NormalHanging12a"/>
        <w:widowControl/>
        <w:rPr>
          <w:szCs w:val="24"/>
        </w:rPr>
      </w:pPr>
      <w:r w:rsidRPr="00E42873">
        <w:t>42.</w:t>
      </w:r>
      <w:r w:rsidRPr="00E42873">
        <w:tab/>
        <w:t>kehottaa komissiota seuraamaan tehokkaasti eri tasa-arvostrategioihin, kuten EU:n hlbtiq+-henkilöitä koskevaan tasa-arvostrategiaan 2020–2025, sukupuolten tasa-arvoa koskevaan EU-strategiaan 2020–2025, romanien tasa-arvoa, osallisuutta ja osallistumista koskevaan EU:n strategiakehykseen sekä EU:n rasismintorjunnan toimintasuunnitelmaan 2020–2025, sisältyvien toimenpiteiden täytäntöönpanoa; kehottaa jäsenvaltioita nopeasti laatimaan ja panemaan täytäntöön kansallisia rasismin vastaisia toimintasuunnitelmia;</w:t>
      </w:r>
    </w:p>
    <w:p w14:paraId="24285561" w14:textId="77777777" w:rsidR="007455F5" w:rsidRPr="00E42873" w:rsidRDefault="007455F5" w:rsidP="00A248D2">
      <w:pPr>
        <w:pStyle w:val="NormalHanging12a"/>
        <w:widowControl/>
      </w:pPr>
      <w:r w:rsidRPr="00E42873">
        <w:t>43.</w:t>
      </w:r>
      <w:r w:rsidRPr="00E42873">
        <w:tab/>
        <w:t>pitää myönteisenä, että komissio vetosi ensimmäisen kerran SEU 2 artiklan erilliseen rikkomiseen, kun se saattoi EU:n tuomioistuimen käsiteltäväksi Unkarin ”lastensuojelulain”, jonka taustalle kätkeytyy muita tavoitteita;</w:t>
      </w:r>
    </w:p>
    <w:p w14:paraId="3A604102" w14:textId="77777777" w:rsidR="007455F5" w:rsidRPr="00E42873" w:rsidRDefault="007455F5" w:rsidP="00E741B8">
      <w:pPr>
        <w:pStyle w:val="Normal12a24b"/>
        <w:keepNext/>
        <w:widowControl/>
        <w:spacing w:before="0"/>
        <w:rPr>
          <w:b/>
          <w:i/>
        </w:rPr>
      </w:pPr>
      <w:r w:rsidRPr="00E42873">
        <w:rPr>
          <w:rStyle w:val="Bold"/>
          <w:i/>
        </w:rPr>
        <w:t>Sosiaaliset, taloudelliset ja ympäristöön liittyvät oikeudet</w:t>
      </w:r>
    </w:p>
    <w:p w14:paraId="19AAAA3E" w14:textId="77777777" w:rsidR="007455F5" w:rsidRPr="00E42873" w:rsidRDefault="007455F5" w:rsidP="00A248D2">
      <w:pPr>
        <w:pStyle w:val="NormalHanging12a"/>
        <w:widowControl/>
      </w:pPr>
      <w:r w:rsidRPr="00E42873">
        <w:t>44.</w:t>
      </w:r>
      <w:r w:rsidRPr="00E42873">
        <w:tab/>
        <w:t>toteaa, että köyhyys on yksi syrjinnän muoto, joka johtaa perusoikeuksien loukkaamiseen ja eriarvoisiin mahdollisuuksiin saada tavaroita ja palveluja; korostaa lasten erityistä haavoittuvuutta ja köyhyyden vaikutusta heihin sekä heidän fyysiseen ja psyykkiseen kehitykseensä; kehottaa komissiota, neuvostoa ja jäsenvaltioita kehittämään köyhyyden ja sosiaalisen syrjäytymisen vähentämiseen tähtääviä politiikkatoimia, ottamaan niissä huomioon intersektionaalisen lähestymistavan ja kiinnittämään erityistä huomiota haavoittuvassa asemassa oleviin henkilöihin; suhtautuu myönteisesti eurooppalaisen lapsitakuun hyväksymiseen mutta katsoo, että erityisesti sosiaalisen suojelun alalla tarvitaan lisätoimia; kehottaa jäsenvaltioita takaamaan yhdenvertaiset mahdollisuudet saada laadukasta koulutusta ja laadukkaita työpaikkoja, koska ne ovat ratkaisevassa asemassa pyrittäessä lievittämään eriarvoisuutta ja auttamaan ihmisiä selviytymään köyhyydestä;</w:t>
      </w:r>
    </w:p>
    <w:p w14:paraId="4351CF0F" w14:textId="77777777" w:rsidR="007455F5" w:rsidRPr="00E42873" w:rsidRDefault="007455F5" w:rsidP="00A248D2">
      <w:pPr>
        <w:pStyle w:val="NormalHanging12a"/>
        <w:widowControl/>
        <w:rPr>
          <w:szCs w:val="24"/>
        </w:rPr>
      </w:pPr>
      <w:r w:rsidRPr="00E42873">
        <w:t>45.</w:t>
      </w:r>
      <w:r w:rsidRPr="00E42873">
        <w:tab/>
        <w:t>on erittäin huolestunut köyhyyden, eriarvoisuuden ja sosiaalisen syrjäytymisen lisääntymisestä EU:ssa; kehottaa jäsenvaltioita torjumaan ”kuukautisköyhyyttä” ja poistamaan henkilökohtaisten hygieniatuotteiden arvonlisäveron; painottaa, että covid-19-pandemian pitkän aikavälin taloudelliset seuraukset sekä elintarvikkeiden ja energian hintojen nousu ovat vaikuttaneet vakavasti pienituloisten tai köyhyydessä elävien oikeuksiin, myös riittävään elintasoon, ruokaan, terveyteen, asumiseen ja sosiaaliturvaan; kehottaa komissiota ja neuvostoa kehittämään makrotalouspolitiikkaa, jota ohjaavat talouskasvun lisäksi myös sosiaaliset normit, ja muistuttaa sosiaalisten normien merkityksestä eurooppalaisessa ohjausjaksossa;</w:t>
      </w:r>
    </w:p>
    <w:p w14:paraId="348157AE" w14:textId="77777777" w:rsidR="007455F5" w:rsidRPr="00E42873" w:rsidRDefault="007455F5" w:rsidP="00A248D2">
      <w:pPr>
        <w:pStyle w:val="NormalHanging12a"/>
        <w:widowControl/>
        <w:rPr>
          <w:szCs w:val="24"/>
        </w:rPr>
      </w:pPr>
      <w:r w:rsidRPr="00E42873">
        <w:t>46.</w:t>
      </w:r>
      <w:r w:rsidRPr="00E42873">
        <w:tab/>
        <w:t>on ilahtunut riittävästä vähimmäistoimeentulosta aktiivisen osallisuuden varmistamiseksi 30. tammikuuta 2023 annetusta neuvoston suosituksesta</w:t>
      </w:r>
      <w:r w:rsidRPr="00E42873">
        <w:rPr>
          <w:vertAlign w:val="superscript"/>
        </w:rPr>
        <w:footnoteReference w:id="50"/>
      </w:r>
      <w:r w:rsidRPr="00E42873">
        <w:t>, sillä se on edistysaskel Euroopan sosiaalisten oikeuksien pilarin periaatteen 14 täytäntöönpanossa; pitää kuitenkin valitettavana, että haavoittuvassa asemassa oleviin ryhmiin kohdistuvan rakenteellisen syrjinnän poistamiseksi ei ole toteutettu konkreettisia toimenpiteitä; kehottaa jäsenvaltioita keräämään vähimmäistoimeentuloa koskevia tietoja näiden ryhmien perusteella eriytettynä;</w:t>
      </w:r>
    </w:p>
    <w:p w14:paraId="610D70E5" w14:textId="77777777" w:rsidR="007455F5" w:rsidRPr="00E42873" w:rsidRDefault="007455F5" w:rsidP="00A248D2">
      <w:pPr>
        <w:pStyle w:val="NormalHanging12a"/>
        <w:widowControl/>
        <w:rPr>
          <w:szCs w:val="24"/>
        </w:rPr>
      </w:pPr>
      <w:r w:rsidRPr="00E42873">
        <w:t>47.</w:t>
      </w:r>
      <w:r w:rsidRPr="00E42873">
        <w:tab/>
        <w:t>korostaa, että digitalisaatio on läpileikkaava prosessi, joka vaikuttaa kaikkien palvelujen, erityisesti terveydenhuollon, saatavuuteen ja perusoikeuksien käyttämiseen; korostaa, että digitaalista köyhyyttä EU:ssa olisi seurattava ja arvioitava suhteessa keskeisten palvelujen ja perusoikeuksien saatavuuteen, myös ikääntyneiden, syrjäisillä alueilla asuvien, asunnottomien ja romanien osalta; muistuttaa vammaisyleissopimuksen mukaisesta jäsenvaltioiden velvollisuudesta varmistaa, että vammaisilla henkilöillä on täysimittainen mahdollisuus osallistua yhteiskuntaan; palauttaa mieliin, että teknologiariippuvuudet muodostavat kansanterveysongelman, joka vaikuttaa erityisesti alaikäisiin ja heidän fyysiseen ja henkiseen koskemattomuuteensa;</w:t>
      </w:r>
    </w:p>
    <w:p w14:paraId="5BB0F45B" w14:textId="77777777" w:rsidR="007455F5" w:rsidRPr="00E42873" w:rsidRDefault="007455F5" w:rsidP="00A248D2">
      <w:pPr>
        <w:pStyle w:val="NormalHanging12a"/>
        <w:widowControl/>
        <w:rPr>
          <w:szCs w:val="24"/>
        </w:rPr>
      </w:pPr>
      <w:r w:rsidRPr="00E42873">
        <w:t>48.</w:t>
      </w:r>
      <w:r w:rsidRPr="00E42873">
        <w:tab/>
        <w:t>huomauttaa, että asuminen ei ole hyödyke vaan välttämättömyys ja että se on edellytys täysimääräiselle osallistumiselle yhteiskuntaan; kehottaa jäsenvaltioita lisäämään investointeja sosiaaliseen ja kohtuuhintaiseen asuntotuotantoon kohtuuttoman asumismenorasituksen poistamiseksi, erityisesti epäsuotuisassa ja haavoittuvassa asemassa olevien ryhmien keskuudessa, ja välttämään näiden ryhmien välistä kilpailua;</w:t>
      </w:r>
    </w:p>
    <w:p w14:paraId="2E9B27DE" w14:textId="77777777" w:rsidR="007455F5" w:rsidRPr="00E42873" w:rsidRDefault="007455F5" w:rsidP="00A248D2">
      <w:pPr>
        <w:pStyle w:val="NormalHanging12a"/>
        <w:widowControl/>
        <w:rPr>
          <w:szCs w:val="24"/>
        </w:rPr>
      </w:pPr>
      <w:r w:rsidRPr="00E42873">
        <w:t>49.</w:t>
      </w:r>
      <w:r w:rsidRPr="00E42873">
        <w:tab/>
        <w:t>on ilahtunut, että YK:n ihmisoikeusneuvosto tunnusti 8. lokakuuta 2021 yleismaailmallisen oikeuden terveelliseen ja kestävään ympäristöön; korostaa, että ympäristövahingoilla ja sillä, että jotkin viranomaiset laiminlyövät tiedottamisen vakavista ympäristöriskeistä, joille ihmiset altistuvat, voi olla heille vakavia haitallisia seurauksia; palauttaa mieliin, että EU:n ilmanlaatunormit on mukautettava kaikilta osin Maailman terveysjärjestön uusimpiin ohjeisiin vuoteen 2030 mennessä;</w:t>
      </w:r>
    </w:p>
    <w:p w14:paraId="11553D34" w14:textId="77777777" w:rsidR="007455F5" w:rsidRPr="00E42873" w:rsidRDefault="007455F5" w:rsidP="00E741B8">
      <w:pPr>
        <w:pStyle w:val="Normal12a24b"/>
        <w:keepNext/>
        <w:widowControl/>
        <w:spacing w:before="0"/>
        <w:rPr>
          <w:i/>
        </w:rPr>
      </w:pPr>
      <w:r w:rsidRPr="00E42873">
        <w:rPr>
          <w:rStyle w:val="Bold"/>
          <w:i/>
        </w:rPr>
        <w:t>Perusoikeuksien institutionaaliset takeet</w:t>
      </w:r>
    </w:p>
    <w:p w14:paraId="0E19A74B" w14:textId="77777777" w:rsidR="007455F5" w:rsidRPr="00E42873" w:rsidRDefault="007455F5" w:rsidP="00A248D2">
      <w:pPr>
        <w:pStyle w:val="NormalHanging12a"/>
        <w:widowControl/>
        <w:rPr>
          <w:szCs w:val="24"/>
        </w:rPr>
      </w:pPr>
      <w:r w:rsidRPr="00E42873">
        <w:t>50.</w:t>
      </w:r>
      <w:r w:rsidRPr="00E42873">
        <w:tab/>
        <w:t>on ilahtunut edistymisestä EU:n liittymisessä Euroopan ihmisoikeussopimukseen sitten neuvottelujen jatkamisen kesäkuussa 2020 sekä siitä, että alustava yhteisymmärrys luonnoksista tarkistetuiksi sopimusvälineiksi saavutettiin maaliskuussa 2023; kehottaa komissiota ja neuvostoa ratkaisemaan mahdollisimman nopeasti vielä ratkaisemattoman kysymyksen EU:n säädösten tilanteesta yhteisen ulko- ja turvallisuuspolitiikan alalla, jotta liittymisprosessi saadaan päätökseen;</w:t>
      </w:r>
    </w:p>
    <w:p w14:paraId="0933B2F4" w14:textId="77777777" w:rsidR="007455F5" w:rsidRPr="00E42873" w:rsidRDefault="007455F5" w:rsidP="00A248D2">
      <w:pPr>
        <w:pStyle w:val="NormalHanging12a"/>
        <w:widowControl/>
      </w:pPr>
      <w:r w:rsidRPr="00E42873">
        <w:t>51.</w:t>
      </w:r>
      <w:r w:rsidRPr="00E42873">
        <w:tab/>
        <w:t>tukee perusoikeusviraston työtä datan analysoimiseksi, jotta syrjintää voidaan dokumentoida, ja suhtautuu myönteisesti tulevaan edistymiseen tällä alalla; suhtautuu myönteisesti komission ehdotuksiin kahdeksi direktiiviksi, joissa vahvistetaan normeja tasa-arvoelimille ja joiden tarkoituksena on varmistaa EU:n syrjinnänvastaisten sääntöjen täytäntöönpano ja sen valvonta; kehottaa perusoikeusviraston kanssa yhteistyötä tekeviä kansallisia elimiä toimittamaan puolueettomia tietoja; kehottaa perusoikeusvirastoa kuulemaan lisälähteitä, jos tietojen laatuun liittyy edelleen vakavia huolenaiheita;</w:t>
      </w:r>
    </w:p>
    <w:p w14:paraId="1F64F1CA" w14:textId="77777777" w:rsidR="007455F5" w:rsidRPr="00E42873" w:rsidRDefault="007455F5" w:rsidP="00A248D2">
      <w:pPr>
        <w:pStyle w:val="NormalHanging12a"/>
        <w:widowControl/>
        <w:rPr>
          <w:szCs w:val="24"/>
        </w:rPr>
      </w:pPr>
      <w:r w:rsidRPr="00E42873">
        <w:t>52.</w:t>
      </w:r>
      <w:r w:rsidRPr="00E42873">
        <w:tab/>
        <w:t>tähdentää, että on tärkeää tukea ja vahvistaa yhteistyötä EU:n toimielinten, jäsenvaltioiden, OLAFin ja EPPOn välillä; kehottaa komissiota esittämään kertomuksen, jossa arvioidaan mahdollisuutta laajentaa SEUT 86 artiklassa määrättyä EPPOn toimeksiantoa kattamaan vakavat ympäristörikokset, jotka vahingoittavat unionin etuja tai vaikuttavat ympäristönsuojeluun liittyvien EU:n toimintapolitiikkojen johdonmukaiseen soveltamiseen, sekä tällaisen laajentamisen yksityiskohtaisia järjestelyjä;</w:t>
      </w:r>
    </w:p>
    <w:p w14:paraId="7E9CA03B" w14:textId="77777777" w:rsidR="007455F5" w:rsidRPr="00E42873" w:rsidRDefault="007455F5" w:rsidP="00A248D2">
      <w:pPr>
        <w:pStyle w:val="NormalHanging12a"/>
        <w:widowControl/>
        <w:rPr>
          <w:szCs w:val="24"/>
        </w:rPr>
      </w:pPr>
      <w:r w:rsidRPr="00E42873">
        <w:t>53.</w:t>
      </w:r>
      <w:r w:rsidRPr="00E42873">
        <w:tab/>
        <w:t>kehottaa perustamaan perusoikeusviraston kansallisten ihmisoikeusinstituutioiden kaltaiseksi riippumattomaksi ihmisoikeusviranomaiseksi YK:n yleiskokouksessa vuonna 1993 hyväksyttyjen Pariisin periaatteiden mukaisesti, jotta suojataan ja edistetään unionin toimielinten, elinten, toimistojen ja virastojen sekä jäsenvaltioiden – viimeksi mainittujen soveltaessa EU:n oikeutta – perusoikeuskirjan mukaisia toimintapolitiikkoja ja käytäntöjä; katsoo, että tämä edellyttää, että perussopimuksissa on EU:n perusoikeusviranomaisen perustamiseksi oikeusperusta, jolla vahvistetaan sen riippumattomuus ja otetaan käyttöön tavallinen lainsäätämisjärjestys sen toimeksiannon hyväksymistä ja muuttamista varten; kehottaa antamaan tälle uudelle viranomaiselle oikeuden nostaa kanteita SEUT 263 artiklan nojalla perusoikeuskirjan noudattamatta jättämisen vuoksi; kehottaa sisällyttämään perusoikeusviraston toimeksiantoon sen, että sillä on toimivalta käsitellä kanteluja ja että komission on kuultava sitä valmistellessaan ehdotuksia lainsäätämisjärjestyksessä hyväksyttäviksi säädöksiksi tai suosituksia, jotka vaikuttavat perusoikeuksiin;</w:t>
      </w:r>
    </w:p>
    <w:p w14:paraId="59BBED12" w14:textId="77777777" w:rsidR="007455F5" w:rsidRPr="00E42873" w:rsidRDefault="007455F5" w:rsidP="00A248D2">
      <w:pPr>
        <w:pStyle w:val="NormalHanging12a"/>
        <w:widowControl/>
      </w:pPr>
      <w:r w:rsidRPr="00E42873">
        <w:t>54.</w:t>
      </w:r>
      <w:r w:rsidRPr="00E42873">
        <w:tab/>
        <w:t>muistuttaa asiaan liittyvän Euroopan unionin tuomioistuimen oikeuskäytännön merkityksestä perusoikeuksien kunnioittamisen vaalimisessa ja oikeusvaltioperiaatteen tarkemmassa määrittelyssä; on huolestunut siitä, että jotkin jäsenvaltiot kieltäytyvät jatkuvasti panemasta täytäntöön kansallisia, Euroopan unionin tuomioistuimen ja Euroopan ihmisoikeustuomioistuimen tuomioita, ja toteaa, että tämä osaltaan rapauttaa oikeusvaltiota; korostaa, että tuomioiden täytäntöönpanon laiminlyönti voi johtaa siihen, että ihmisoikeusloukkauksiin ei puututa; korostaa, että EU:n oikeuden ensisijaisuus muodostaa EU:n oikeusjärjestyksen perustan; kehottaa komissiota varmistamaan asianmukaiset jatkotoimet, jos tätä periaatetta ei noudateta;</w:t>
      </w:r>
    </w:p>
    <w:p w14:paraId="1982AC46" w14:textId="77777777" w:rsidR="007455F5" w:rsidRPr="00E42873" w:rsidRDefault="007455F5" w:rsidP="00A248D2">
      <w:pPr>
        <w:pStyle w:val="NormalHanging12a"/>
        <w:widowControl/>
      </w:pPr>
      <w:r w:rsidRPr="00E42873">
        <w:t>55.</w:t>
      </w:r>
      <w:r w:rsidRPr="00E42873">
        <w:tab/>
        <w:t>painottaa kansallisen ja paikallisen hallinnon sekä jäsenvaltioiden parlamenttien ja lainvalvontaviranomaisten asemaa perusoikeuskirjassa taattujen oikeuksien edistämisessä ja suojelemisessa;</w:t>
      </w:r>
    </w:p>
    <w:p w14:paraId="4517C003" w14:textId="77777777" w:rsidR="007455F5" w:rsidRPr="00E42873" w:rsidRDefault="007455F5" w:rsidP="00A248D2">
      <w:pPr>
        <w:pStyle w:val="NormalHanging12a"/>
        <w:widowControl/>
      </w:pPr>
      <w:r w:rsidRPr="00E42873">
        <w:t>56.</w:t>
      </w:r>
      <w:r w:rsidRPr="00E42873">
        <w:tab/>
        <w:t>ottaa huomioon perusoikeusviraston havainnon, jonka mukaan jäsenvaltiot eivät vaikuta olevan järjestelmällisesti sitoutuneet panemaan täytäntöön komission strategiaa perusoikeuskirjan soveltamisen vahvistamiseksi, esimerkiksi määrittämällä selkeitä tavoitteita, välitavoitteita ja aikatauluja; kehottaa jäsenvaltioita panemaan strategian kaikilta osin täytäntöön;</w:t>
      </w:r>
    </w:p>
    <w:p w14:paraId="3B2E10FA" w14:textId="77777777" w:rsidR="007455F5" w:rsidRPr="00E42873" w:rsidRDefault="007455F5" w:rsidP="00A248D2">
      <w:pPr>
        <w:pStyle w:val="NormalHanging12a"/>
        <w:widowControl/>
        <w:rPr>
          <w:szCs w:val="24"/>
        </w:rPr>
      </w:pPr>
      <w:r w:rsidRPr="00E42873">
        <w:t>57.</w:t>
      </w:r>
      <w:r w:rsidRPr="00E42873">
        <w:tab/>
        <w:t>palauttaa mieliin, että oikeutta osallistua demokraattiseen toimintaan ja velvoitetta varmistaa, että päätökset tehdään mahdollisimman avoimesti ja mahdollisimman lähellä kansalaisia, suojellaan perussopimuksilla ja erityisesti Euroopan unionista tehdyn sopimuksen 10 artiklalla; kehottaa EU:n toimielimiä ja jäsenvaltioita varmistamaan, että julkiselle kuulemiselle ja avoimuudelle on riittävästi aikaa, sekä julkaisemaan julkiset asiakirjat ennakoivasti;</w:t>
      </w:r>
    </w:p>
    <w:p w14:paraId="714E1126" w14:textId="77777777" w:rsidR="007455F5" w:rsidRPr="00E42873" w:rsidRDefault="007455F5" w:rsidP="00A248D2">
      <w:pPr>
        <w:pStyle w:val="NormalHanging12a"/>
        <w:widowControl/>
        <w:jc w:val="center"/>
      </w:pPr>
    </w:p>
    <w:p w14:paraId="5AF4BFD6" w14:textId="77777777" w:rsidR="007455F5" w:rsidRPr="00E42873" w:rsidRDefault="007455F5" w:rsidP="00A248D2">
      <w:pPr>
        <w:pStyle w:val="NormalHanging12a"/>
        <w:widowControl/>
        <w:jc w:val="center"/>
      </w:pPr>
      <w:r w:rsidRPr="00E42873">
        <w:t>°</w:t>
      </w:r>
      <w:r w:rsidRPr="00E42873">
        <w:tab/>
        <w:t>°</w:t>
      </w:r>
    </w:p>
    <w:p w14:paraId="7A705745" w14:textId="77777777" w:rsidR="007455F5" w:rsidRPr="00E42873" w:rsidRDefault="007455F5" w:rsidP="00A248D2">
      <w:pPr>
        <w:pStyle w:val="NormalHanging12a"/>
        <w:widowControl/>
      </w:pPr>
      <w:r w:rsidRPr="00E42873">
        <w:t>58.</w:t>
      </w:r>
      <w:r w:rsidRPr="00E42873">
        <w:tab/>
        <w:t>kehottaa puhemiestä välittämään tämän päätöslauselman neuvostolle ja komissiolle.</w:t>
      </w:r>
    </w:p>
    <w:sectPr w:rsidR="007455F5" w:rsidRPr="00E42873" w:rsidSect="00E4287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B5637" w14:textId="77777777" w:rsidR="00912776" w:rsidRPr="00E42873" w:rsidRDefault="00912776">
      <w:r w:rsidRPr="00E42873">
        <w:separator/>
      </w:r>
    </w:p>
  </w:endnote>
  <w:endnote w:type="continuationSeparator" w:id="0">
    <w:p w14:paraId="10E7661B" w14:textId="77777777" w:rsidR="00912776" w:rsidRPr="00E42873" w:rsidRDefault="00912776">
      <w:r w:rsidRPr="00E428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94EDC" w14:textId="77777777" w:rsidR="00912776" w:rsidRPr="00E42873" w:rsidRDefault="00912776">
      <w:r w:rsidRPr="00E42873">
        <w:separator/>
      </w:r>
    </w:p>
  </w:footnote>
  <w:footnote w:type="continuationSeparator" w:id="0">
    <w:p w14:paraId="20828157" w14:textId="77777777" w:rsidR="00912776" w:rsidRPr="00E42873" w:rsidRDefault="00912776">
      <w:r w:rsidRPr="00E42873">
        <w:continuationSeparator/>
      </w:r>
    </w:p>
  </w:footnote>
  <w:footnote w:id="1">
    <w:p w14:paraId="0C68A14F" w14:textId="77777777" w:rsidR="007455F5" w:rsidRPr="00A248D2" w:rsidRDefault="007455F5" w:rsidP="00E42873">
      <w:pPr>
        <w:pStyle w:val="FootnoteText"/>
        <w:ind w:left="567" w:hanging="567"/>
        <w:rPr>
          <w:sz w:val="24"/>
          <w:vertAlign w:val="superscript"/>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Muun muassa: komissio v. Unkari, asia C-78/18 (järjestöjen avoimuus), ECLI:EU:C:2020:476;</w:t>
      </w:r>
    </w:p>
    <w:p w14:paraId="25011CC2" w14:textId="77777777" w:rsidR="007455F5" w:rsidRPr="00A248D2" w:rsidRDefault="00E42873" w:rsidP="00E42873">
      <w:pPr>
        <w:pStyle w:val="FootnoteText"/>
        <w:ind w:left="567" w:hanging="567"/>
        <w:rPr>
          <w:sz w:val="24"/>
          <w:lang w:val="fi-FI"/>
        </w:rPr>
      </w:pPr>
      <w:r w:rsidRPr="00A248D2">
        <w:rPr>
          <w:sz w:val="24"/>
          <w:lang w:val="fi-FI"/>
        </w:rPr>
        <w:t xml:space="preserve"> </w:t>
      </w:r>
      <w:r w:rsidRPr="00A248D2">
        <w:rPr>
          <w:sz w:val="24"/>
          <w:lang w:val="fi-FI"/>
        </w:rPr>
        <w:tab/>
      </w:r>
      <w:r w:rsidR="007455F5" w:rsidRPr="00A248D2">
        <w:rPr>
          <w:sz w:val="24"/>
          <w:lang w:val="fi-FI"/>
        </w:rPr>
        <w:t>unionin tuomioistuimen (toinen jaosto) tuomio 6.10.2022, I. L. v. Politsei- ja Piirivalveamet, asia C-241/21, ECLI:EU:C:2022:753.</w:t>
      </w:r>
    </w:p>
  </w:footnote>
  <w:footnote w:id="2">
    <w:p w14:paraId="36B8F5C6" w14:textId="0C8269AD" w:rsidR="007455F5" w:rsidRPr="00E741B8" w:rsidRDefault="007455F5" w:rsidP="00E42873">
      <w:pPr>
        <w:pStyle w:val="FootnoteText"/>
        <w:ind w:left="567" w:hanging="567"/>
        <w:rPr>
          <w:sz w:val="24"/>
          <w:u w:val="single" w:color="0000FF"/>
          <w:lang w:val="da-DK"/>
        </w:rPr>
      </w:pPr>
      <w:r w:rsidRPr="00A248D2">
        <w:rPr>
          <w:rStyle w:val="FootnoteReference"/>
          <w:sz w:val="24"/>
          <w:lang w:val="fi-FI"/>
        </w:rPr>
        <w:footnoteRef/>
      </w:r>
      <w:r w:rsidR="00E42873" w:rsidRPr="00E741B8">
        <w:rPr>
          <w:sz w:val="24"/>
          <w:lang w:val="da-DK"/>
        </w:rPr>
        <w:t xml:space="preserve"> </w:t>
      </w:r>
      <w:r w:rsidR="00E42873" w:rsidRPr="00E741B8">
        <w:rPr>
          <w:sz w:val="24"/>
          <w:lang w:val="da-DK"/>
        </w:rPr>
        <w:tab/>
      </w:r>
      <w:r w:rsidRPr="00E741B8">
        <w:rPr>
          <w:sz w:val="24"/>
          <w:lang w:val="da-DK"/>
        </w:rPr>
        <w:t>EUVL L 433 I, 22.12.2020, s. 1</w:t>
      </w:r>
      <w:hyperlink r:id="rId1" w:history="1">
        <w:r w:rsidRPr="00E741B8">
          <w:rPr>
            <w:rStyle w:val="Hyperlink"/>
            <w:color w:val="auto"/>
            <w:sz w:val="24"/>
            <w:lang w:val="da-DK"/>
          </w:rPr>
          <w:t>.</w:t>
        </w:r>
      </w:hyperlink>
    </w:p>
  </w:footnote>
  <w:footnote w:id="3">
    <w:p w14:paraId="70B988B7" w14:textId="77777777" w:rsidR="007455F5" w:rsidRPr="00E741B8" w:rsidRDefault="007455F5" w:rsidP="00E42873">
      <w:pPr>
        <w:pStyle w:val="FootnoteText"/>
        <w:ind w:left="567" w:hanging="567"/>
        <w:rPr>
          <w:sz w:val="24"/>
          <w:u w:val="single" w:color="0000FF"/>
          <w:lang w:val="da-DK"/>
        </w:rPr>
      </w:pPr>
      <w:r w:rsidRPr="00A248D2">
        <w:rPr>
          <w:rStyle w:val="FootnoteReference"/>
          <w:sz w:val="24"/>
          <w:lang w:val="fi-FI"/>
        </w:rPr>
        <w:footnoteRef/>
      </w:r>
      <w:r w:rsidR="00E42873" w:rsidRPr="00E741B8">
        <w:rPr>
          <w:sz w:val="24"/>
          <w:lang w:val="da-DK"/>
        </w:rPr>
        <w:t xml:space="preserve"> </w:t>
      </w:r>
      <w:r w:rsidR="00E42873" w:rsidRPr="00E741B8">
        <w:rPr>
          <w:sz w:val="24"/>
          <w:lang w:val="da-DK"/>
        </w:rPr>
        <w:tab/>
      </w:r>
      <w:r w:rsidRPr="00E741B8">
        <w:rPr>
          <w:sz w:val="24"/>
          <w:lang w:val="da-DK"/>
        </w:rPr>
        <w:t>EUVL L 156, 5.5.2021, s. 1</w:t>
      </w:r>
      <w:hyperlink r:id="rId2" w:history="1">
        <w:r w:rsidRPr="00E741B8">
          <w:rPr>
            <w:rStyle w:val="Hyperlink"/>
            <w:color w:val="auto"/>
            <w:sz w:val="24"/>
            <w:lang w:val="da-DK"/>
          </w:rPr>
          <w:t>.</w:t>
        </w:r>
      </w:hyperlink>
    </w:p>
  </w:footnote>
  <w:footnote w:id="4">
    <w:p w14:paraId="18BEC1E1" w14:textId="77777777" w:rsidR="007455F5" w:rsidRPr="00E741B8" w:rsidRDefault="007455F5" w:rsidP="00E42873">
      <w:pPr>
        <w:pStyle w:val="FootnoteText"/>
        <w:ind w:left="567" w:hanging="567"/>
        <w:rPr>
          <w:sz w:val="24"/>
          <w:lang w:val="da-DK"/>
        </w:rPr>
      </w:pPr>
      <w:r w:rsidRPr="00A248D2">
        <w:rPr>
          <w:rStyle w:val="FootnoteReference"/>
          <w:sz w:val="24"/>
          <w:lang w:val="fi-FI"/>
        </w:rPr>
        <w:footnoteRef/>
      </w:r>
      <w:r w:rsidR="00E42873" w:rsidRPr="00E741B8">
        <w:rPr>
          <w:sz w:val="24"/>
          <w:lang w:val="da-DK"/>
        </w:rPr>
        <w:t xml:space="preserve"> </w:t>
      </w:r>
      <w:r w:rsidR="00E42873" w:rsidRPr="00E741B8">
        <w:rPr>
          <w:sz w:val="24"/>
          <w:lang w:val="da-DK"/>
        </w:rPr>
        <w:tab/>
      </w:r>
      <w:r w:rsidRPr="00E741B8">
        <w:rPr>
          <w:sz w:val="24"/>
          <w:lang w:val="da-DK"/>
        </w:rPr>
        <w:t>EUVL L 283, 31.10.2017, s. 1.</w:t>
      </w:r>
    </w:p>
  </w:footnote>
  <w:footnote w:id="5">
    <w:p w14:paraId="69208FB4" w14:textId="77777777" w:rsidR="007455F5" w:rsidRPr="00E741B8" w:rsidRDefault="007455F5" w:rsidP="00E42873">
      <w:pPr>
        <w:pStyle w:val="FootnoteText"/>
        <w:ind w:left="567" w:hanging="567"/>
        <w:rPr>
          <w:sz w:val="24"/>
          <w:lang w:val="da-DK"/>
        </w:rPr>
      </w:pPr>
      <w:r w:rsidRPr="00A248D2">
        <w:rPr>
          <w:rStyle w:val="FootnoteReference"/>
          <w:sz w:val="24"/>
          <w:lang w:val="fi-FI"/>
        </w:rPr>
        <w:footnoteRef/>
      </w:r>
      <w:r w:rsidR="00E42873" w:rsidRPr="00E741B8">
        <w:rPr>
          <w:sz w:val="24"/>
          <w:lang w:val="da-DK"/>
        </w:rPr>
        <w:t xml:space="preserve"> </w:t>
      </w:r>
      <w:r w:rsidR="00E42873" w:rsidRPr="00E741B8">
        <w:rPr>
          <w:sz w:val="24"/>
          <w:lang w:val="da-DK"/>
        </w:rPr>
        <w:tab/>
      </w:r>
      <w:r w:rsidRPr="00E741B8">
        <w:rPr>
          <w:sz w:val="24"/>
          <w:lang w:val="da-DK"/>
        </w:rPr>
        <w:t>EUVL L 119, 4.5.2016, s. 1.</w:t>
      </w:r>
    </w:p>
  </w:footnote>
  <w:footnote w:id="6">
    <w:p w14:paraId="2135EAB9" w14:textId="77777777" w:rsidR="007455F5" w:rsidRPr="00E741B8" w:rsidRDefault="007455F5" w:rsidP="00E42873">
      <w:pPr>
        <w:pStyle w:val="FootnoteText"/>
        <w:ind w:left="567" w:hanging="567"/>
        <w:rPr>
          <w:sz w:val="24"/>
          <w:lang w:val="da-DK"/>
        </w:rPr>
      </w:pPr>
      <w:r w:rsidRPr="00A248D2">
        <w:rPr>
          <w:rStyle w:val="FootnoteReference"/>
          <w:sz w:val="24"/>
          <w:lang w:val="fi-FI"/>
        </w:rPr>
        <w:footnoteRef/>
      </w:r>
      <w:r w:rsidR="00E42873" w:rsidRPr="00E741B8">
        <w:rPr>
          <w:sz w:val="24"/>
          <w:lang w:val="da-DK"/>
        </w:rPr>
        <w:t xml:space="preserve"> </w:t>
      </w:r>
      <w:r w:rsidR="00E42873" w:rsidRPr="00E741B8">
        <w:rPr>
          <w:sz w:val="24"/>
          <w:lang w:val="da-DK"/>
        </w:rPr>
        <w:tab/>
      </w:r>
      <w:r w:rsidRPr="00E741B8">
        <w:rPr>
          <w:sz w:val="24"/>
          <w:lang w:val="da-DK"/>
        </w:rPr>
        <w:t>EUVL L 198, 28.7.2017, s. 29.</w:t>
      </w:r>
    </w:p>
  </w:footnote>
  <w:footnote w:id="7">
    <w:p w14:paraId="2C7A7820" w14:textId="77777777" w:rsidR="007455F5" w:rsidRPr="00E741B8" w:rsidRDefault="007455F5" w:rsidP="00E42873">
      <w:pPr>
        <w:pStyle w:val="FootnoteText"/>
        <w:ind w:left="567" w:hanging="567"/>
        <w:rPr>
          <w:sz w:val="24"/>
          <w:lang w:val="da-DK"/>
        </w:rPr>
      </w:pPr>
      <w:r w:rsidRPr="00A248D2">
        <w:rPr>
          <w:rStyle w:val="FootnoteReference"/>
          <w:sz w:val="24"/>
          <w:lang w:val="fi-FI"/>
        </w:rPr>
        <w:footnoteRef/>
      </w:r>
      <w:r w:rsidR="00E42873" w:rsidRPr="00E741B8">
        <w:rPr>
          <w:sz w:val="24"/>
          <w:lang w:val="da-DK"/>
        </w:rPr>
        <w:t xml:space="preserve"> </w:t>
      </w:r>
      <w:r w:rsidR="00E42873" w:rsidRPr="00E741B8">
        <w:rPr>
          <w:sz w:val="24"/>
          <w:lang w:val="da-DK"/>
        </w:rPr>
        <w:tab/>
      </w:r>
      <w:r w:rsidRPr="00E741B8">
        <w:rPr>
          <w:sz w:val="24"/>
          <w:lang w:val="da-DK"/>
        </w:rPr>
        <w:t>EUVL L 328, 6.12.2008, s. 55.</w:t>
      </w:r>
    </w:p>
  </w:footnote>
  <w:footnote w:id="8">
    <w:p w14:paraId="715F30F3" w14:textId="77777777" w:rsidR="007455F5" w:rsidRPr="00E741B8" w:rsidRDefault="007455F5" w:rsidP="00E42873">
      <w:pPr>
        <w:pStyle w:val="FootnoteText"/>
        <w:ind w:left="567" w:hanging="567"/>
        <w:rPr>
          <w:sz w:val="24"/>
          <w:lang w:val="da-DK"/>
        </w:rPr>
      </w:pPr>
      <w:r w:rsidRPr="00A248D2">
        <w:rPr>
          <w:rStyle w:val="FootnoteReference"/>
          <w:sz w:val="24"/>
          <w:lang w:val="fi-FI"/>
        </w:rPr>
        <w:footnoteRef/>
      </w:r>
      <w:r w:rsidR="00E42873" w:rsidRPr="00E741B8">
        <w:rPr>
          <w:sz w:val="24"/>
          <w:lang w:val="da-DK"/>
        </w:rPr>
        <w:t xml:space="preserve"> </w:t>
      </w:r>
      <w:r w:rsidR="00E42873" w:rsidRPr="00E741B8">
        <w:rPr>
          <w:sz w:val="24"/>
          <w:lang w:val="da-DK"/>
        </w:rPr>
        <w:tab/>
      </w:r>
      <w:r w:rsidRPr="00E741B8">
        <w:rPr>
          <w:sz w:val="24"/>
          <w:lang w:val="da-DK"/>
        </w:rPr>
        <w:t>EUVL L 180, 19.7.2000, s. 22.</w:t>
      </w:r>
    </w:p>
  </w:footnote>
  <w:footnote w:id="9">
    <w:p w14:paraId="6BE5C57F"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 xml:space="preserve">EUVL C 93, 19.3.2021, s. </w:t>
      </w:r>
      <w:proofErr w:type="gramStart"/>
      <w:r w:rsidRPr="00E741B8">
        <w:rPr>
          <w:sz w:val="24"/>
          <w:lang w:val="en-GB"/>
        </w:rPr>
        <w:t>1</w:t>
      </w:r>
      <w:proofErr w:type="gramEnd"/>
      <w:r w:rsidRPr="00E741B8">
        <w:rPr>
          <w:sz w:val="24"/>
          <w:lang w:val="en-GB"/>
        </w:rPr>
        <w:t>.</w:t>
      </w:r>
    </w:p>
  </w:footnote>
  <w:footnote w:id="10">
    <w:p w14:paraId="68D696A4"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 xml:space="preserve">EUVL L 331, 20.9.2021, s. </w:t>
      </w:r>
      <w:proofErr w:type="gramStart"/>
      <w:r w:rsidRPr="00E741B8">
        <w:rPr>
          <w:sz w:val="24"/>
          <w:lang w:val="en-GB"/>
        </w:rPr>
        <w:t>8</w:t>
      </w:r>
      <w:proofErr w:type="gramEnd"/>
      <w:r w:rsidRPr="00E741B8">
        <w:rPr>
          <w:sz w:val="24"/>
          <w:lang w:val="en-GB"/>
        </w:rPr>
        <w:t>.</w:t>
      </w:r>
    </w:p>
  </w:footnote>
  <w:footnote w:id="11">
    <w:p w14:paraId="0B5DF503"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L 86, 24.3.2023, s. 44.</w:t>
      </w:r>
    </w:p>
  </w:footnote>
  <w:footnote w:id="12">
    <w:p w14:paraId="2E8D28FE"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L 245, 22.9.2022, s. 56.</w:t>
      </w:r>
    </w:p>
  </w:footnote>
  <w:footnote w:id="13">
    <w:p w14:paraId="786A54E3" w14:textId="40DB4C13" w:rsidR="007455F5" w:rsidRPr="00E741B8" w:rsidRDefault="007455F5" w:rsidP="00E42873">
      <w:pPr>
        <w:pStyle w:val="FootnoteText"/>
        <w:ind w:left="567" w:hanging="567"/>
        <w:rPr>
          <w:sz w:val="24"/>
          <w:u w:val="single" w:color="0000FF"/>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Euroopan neuvosto</w:t>
      </w:r>
      <w:proofErr w:type="gramStart"/>
      <w:r w:rsidRPr="00E741B8">
        <w:rPr>
          <w:sz w:val="24"/>
          <w:lang w:val="en-GB"/>
        </w:rPr>
        <w:t>, ”</w:t>
      </w:r>
      <w:proofErr w:type="gramEnd"/>
      <w:r w:rsidR="00BF6590">
        <w:fldChar w:fldCharType="begin"/>
      </w:r>
      <w:r w:rsidR="00BF6590">
        <w:instrText xml:space="preserve"> HYPERLINK "https://rm.coe.int/report-on-the-round-table-human-rights-defenders-in-the-council-of-eur/1680aaa813." </w:instrText>
      </w:r>
      <w:r w:rsidR="00BF6590">
        <w:fldChar w:fldCharType="separate"/>
      </w:r>
      <w:r w:rsidRPr="00E741B8">
        <w:rPr>
          <w:rStyle w:val="Hyperlink"/>
          <w:color w:val="auto"/>
          <w:sz w:val="24"/>
          <w:lang w:val="en-GB"/>
        </w:rPr>
        <w:t>Human Rights Defenders in the Council of Europe Area in Times of Crises</w:t>
      </w:r>
      <w:r w:rsidR="00BF6590">
        <w:rPr>
          <w:rStyle w:val="Hyperlink"/>
          <w:color w:val="auto"/>
          <w:sz w:val="24"/>
          <w:lang w:val="en-GB"/>
        </w:rPr>
        <w:fldChar w:fldCharType="end"/>
      </w:r>
      <w:r w:rsidRPr="00E741B8">
        <w:rPr>
          <w:sz w:val="24"/>
          <w:lang w:val="en-GB"/>
        </w:rPr>
        <w:t>”, 23. </w:t>
      </w:r>
      <w:proofErr w:type="gramStart"/>
      <w:r w:rsidRPr="00E741B8">
        <w:rPr>
          <w:sz w:val="24"/>
          <w:lang w:val="en-GB"/>
        </w:rPr>
        <w:t>maaliskuuta</w:t>
      </w:r>
      <w:proofErr w:type="gramEnd"/>
      <w:r w:rsidRPr="00E741B8">
        <w:rPr>
          <w:sz w:val="24"/>
          <w:lang w:val="en-GB"/>
        </w:rPr>
        <w:t> 2023</w:t>
      </w:r>
      <w:r w:rsidR="0026261E">
        <w:rPr>
          <w:sz w:val="24"/>
          <w:lang w:val="en-GB"/>
        </w:rPr>
        <w:t>.</w:t>
      </w:r>
    </w:p>
  </w:footnote>
  <w:footnote w:id="14">
    <w:p w14:paraId="224786A5"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363, 28.10.2020, s. 13.</w:t>
      </w:r>
    </w:p>
  </w:footnote>
  <w:footnote w:id="15">
    <w:p w14:paraId="2D053D49"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411, 27.11.2020, s. 38.</w:t>
      </w:r>
    </w:p>
  </w:footnote>
  <w:footnote w:id="16">
    <w:p w14:paraId="3D0CEF17"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 xml:space="preserve">EUVL C 205, 20.5.2022, s. </w:t>
      </w:r>
      <w:proofErr w:type="gramStart"/>
      <w:r w:rsidRPr="00E741B8">
        <w:rPr>
          <w:sz w:val="24"/>
          <w:lang w:val="en-GB"/>
        </w:rPr>
        <w:t>2</w:t>
      </w:r>
      <w:proofErr w:type="gramEnd"/>
      <w:r w:rsidRPr="00E741B8">
        <w:rPr>
          <w:sz w:val="24"/>
          <w:lang w:val="en-GB"/>
        </w:rPr>
        <w:t>.</w:t>
      </w:r>
    </w:p>
  </w:footnote>
  <w:footnote w:id="17">
    <w:p w14:paraId="343D0977"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251, 30.6.2022, s. 48.</w:t>
      </w:r>
    </w:p>
  </w:footnote>
  <w:footnote w:id="18">
    <w:p w14:paraId="24A0F858"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342, 6.9.2022, s. 225.</w:t>
      </w:r>
    </w:p>
  </w:footnote>
  <w:footnote w:id="19">
    <w:p w14:paraId="4E6400D7"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 xml:space="preserve">EUVL C 347, 9.9.2022, s. </w:t>
      </w:r>
      <w:proofErr w:type="gramStart"/>
      <w:r w:rsidRPr="00E741B8">
        <w:rPr>
          <w:sz w:val="24"/>
          <w:lang w:val="en-GB"/>
        </w:rPr>
        <w:t>2</w:t>
      </w:r>
      <w:proofErr w:type="gramEnd"/>
      <w:r w:rsidRPr="00E741B8">
        <w:rPr>
          <w:sz w:val="24"/>
          <w:lang w:val="en-GB"/>
        </w:rPr>
        <w:t>.</w:t>
      </w:r>
    </w:p>
  </w:footnote>
  <w:footnote w:id="20">
    <w:p w14:paraId="6D810CC6"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347, 9.9.2022, s. 168.</w:t>
      </w:r>
    </w:p>
  </w:footnote>
  <w:footnote w:id="21">
    <w:p w14:paraId="0AD3EB83"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493, 27.12.2022, s. 108.</w:t>
      </w:r>
    </w:p>
  </w:footnote>
  <w:footnote w:id="22">
    <w:p w14:paraId="7EFEC37F"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47, 7.2.2023, s. 184.</w:t>
      </w:r>
    </w:p>
  </w:footnote>
  <w:footnote w:id="23">
    <w:p w14:paraId="0E9EE736"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125, 5.4.2023, s. 463.</w:t>
      </w:r>
    </w:p>
  </w:footnote>
  <w:footnote w:id="24">
    <w:p w14:paraId="0118B0B4"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132, 14.4.2023, s. 29.</w:t>
      </w:r>
    </w:p>
  </w:footnote>
  <w:footnote w:id="25">
    <w:p w14:paraId="2B3F91B4"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177, 17.5.2023, s. 109.</w:t>
      </w:r>
    </w:p>
  </w:footnote>
  <w:footnote w:id="26">
    <w:p w14:paraId="40C57597"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47, 7.2.2023, s. 268.</w:t>
      </w:r>
    </w:p>
  </w:footnote>
  <w:footnote w:id="27">
    <w:p w14:paraId="723D06F8"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465, 6.12.2022, s. 33.</w:t>
      </w:r>
    </w:p>
  </w:footnote>
  <w:footnote w:id="28">
    <w:p w14:paraId="2A4149D6"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EUVL C 465, 6.12.2022, s. 147.</w:t>
      </w:r>
    </w:p>
  </w:footnote>
  <w:footnote w:id="29">
    <w:p w14:paraId="25BA6665"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EUVL L 45, 14.2.2023, s. 13.</w:t>
      </w:r>
      <w:r w:rsidRPr="00A248D2">
        <w:rPr>
          <w:b/>
          <w:i/>
          <w:sz w:val="24"/>
          <w:lang w:val="fi-FI"/>
        </w:rPr>
        <w:t xml:space="preserve"> </w:t>
      </w:r>
    </w:p>
  </w:footnote>
  <w:footnote w:id="30">
    <w:p w14:paraId="7AF6E763"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EUVL C 149, 28.4.2023, s. 22.</w:t>
      </w:r>
      <w:r w:rsidRPr="00A248D2">
        <w:rPr>
          <w:b/>
          <w:i/>
          <w:sz w:val="24"/>
          <w:lang w:val="fi-FI"/>
        </w:rPr>
        <w:t xml:space="preserve"> </w:t>
      </w:r>
    </w:p>
  </w:footnote>
  <w:footnote w:id="31">
    <w:p w14:paraId="6D17B1BB"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EUVL C 161, 5.5.2023, s. 10.</w:t>
      </w:r>
    </w:p>
  </w:footnote>
  <w:footnote w:id="32">
    <w:p w14:paraId="410A3B02"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EUVL C 177, 17.5.2023, s. 13.</w:t>
      </w:r>
      <w:r w:rsidRPr="00A248D2">
        <w:rPr>
          <w:b/>
          <w:i/>
          <w:sz w:val="24"/>
          <w:lang w:val="fi-FI"/>
        </w:rPr>
        <w:t xml:space="preserve"> </w:t>
      </w:r>
    </w:p>
  </w:footnote>
  <w:footnote w:id="33">
    <w:p w14:paraId="4086A11B"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000B276A" w:rsidRPr="00A248D2">
        <w:rPr>
          <w:sz w:val="24"/>
          <w:lang w:val="fi-FI"/>
        </w:rPr>
        <w:t xml:space="preserve">Hyväksytyt tekstit, </w:t>
      </w:r>
      <w:r w:rsidRPr="00A248D2">
        <w:rPr>
          <w:sz w:val="24"/>
          <w:lang w:val="fi-FI"/>
        </w:rPr>
        <w:t>P9_</w:t>
      </w:r>
      <w:proofErr w:type="gramStart"/>
      <w:r w:rsidRPr="00A248D2">
        <w:rPr>
          <w:sz w:val="24"/>
          <w:lang w:val="fi-FI"/>
        </w:rPr>
        <w:t>TA(</w:t>
      </w:r>
      <w:proofErr w:type="gramEnd"/>
      <w:r w:rsidRPr="00A248D2">
        <w:rPr>
          <w:sz w:val="24"/>
          <w:lang w:val="fi-FI"/>
        </w:rPr>
        <w:t>2023)0111.</w:t>
      </w:r>
    </w:p>
  </w:footnote>
  <w:footnote w:id="34">
    <w:p w14:paraId="07DF596F"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Hyväksytyt tekstit, P9_</w:t>
      </w:r>
      <w:proofErr w:type="gramStart"/>
      <w:r w:rsidRPr="00A248D2">
        <w:rPr>
          <w:sz w:val="24"/>
          <w:lang w:val="fi-FI"/>
        </w:rPr>
        <w:t>TA(</w:t>
      </w:r>
      <w:proofErr w:type="gramEnd"/>
      <w:r w:rsidRPr="00A248D2">
        <w:rPr>
          <w:sz w:val="24"/>
          <w:lang w:val="fi-FI"/>
        </w:rPr>
        <w:t>2023)0196.</w:t>
      </w:r>
    </w:p>
  </w:footnote>
  <w:footnote w:id="35">
    <w:p w14:paraId="1E76BBE3"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Hyväksytyt tekstit, P9_</w:t>
      </w:r>
      <w:proofErr w:type="gramStart"/>
      <w:r w:rsidRPr="00A248D2">
        <w:rPr>
          <w:sz w:val="24"/>
          <w:lang w:val="fi-FI"/>
        </w:rPr>
        <w:t>TA(</w:t>
      </w:r>
      <w:proofErr w:type="gramEnd"/>
      <w:r w:rsidRPr="00A248D2">
        <w:rPr>
          <w:sz w:val="24"/>
          <w:lang w:val="fi-FI"/>
        </w:rPr>
        <w:t>2023)0204.</w:t>
      </w:r>
    </w:p>
  </w:footnote>
  <w:footnote w:id="36">
    <w:p w14:paraId="4C12AEA8"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Hyväksytyt tekstit, P9_</w:t>
      </w:r>
      <w:proofErr w:type="gramStart"/>
      <w:r w:rsidRPr="00A248D2">
        <w:rPr>
          <w:sz w:val="24"/>
          <w:lang w:val="fi-FI"/>
        </w:rPr>
        <w:t>TA(</w:t>
      </w:r>
      <w:proofErr w:type="gramEnd"/>
      <w:r w:rsidRPr="00A248D2">
        <w:rPr>
          <w:sz w:val="24"/>
          <w:lang w:val="fi-FI"/>
        </w:rPr>
        <w:t>2023)0216.</w:t>
      </w:r>
    </w:p>
  </w:footnote>
  <w:footnote w:id="37">
    <w:p w14:paraId="03C34FE8"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Hyväksytyt tekstit, P9_</w:t>
      </w:r>
      <w:proofErr w:type="gramStart"/>
      <w:r w:rsidRPr="00A248D2">
        <w:rPr>
          <w:sz w:val="24"/>
          <w:lang w:val="fi-FI"/>
        </w:rPr>
        <w:t>TA(</w:t>
      </w:r>
      <w:proofErr w:type="gramEnd"/>
      <w:r w:rsidRPr="00A248D2">
        <w:rPr>
          <w:sz w:val="24"/>
          <w:lang w:val="fi-FI"/>
        </w:rPr>
        <w:t>2023)0295.</w:t>
      </w:r>
    </w:p>
  </w:footnote>
  <w:footnote w:id="38">
    <w:p w14:paraId="76DD27D5"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Hyväksytyt tekstit, P9_</w:t>
      </w:r>
      <w:proofErr w:type="gramStart"/>
      <w:r w:rsidRPr="00A248D2">
        <w:rPr>
          <w:sz w:val="24"/>
          <w:lang w:val="fi-FI"/>
        </w:rPr>
        <w:t>TA(</w:t>
      </w:r>
      <w:proofErr w:type="gramEnd"/>
      <w:r w:rsidRPr="00A248D2">
        <w:rPr>
          <w:sz w:val="24"/>
          <w:lang w:val="fi-FI"/>
        </w:rPr>
        <w:t>2023)0342.</w:t>
      </w:r>
    </w:p>
  </w:footnote>
  <w:footnote w:id="39">
    <w:p w14:paraId="1D4E0B32"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Komissio v. Unkari (järjestöjen avoimuus), asia C-78/18, ECLI:EU:C:2020:476.</w:t>
      </w:r>
    </w:p>
  </w:footnote>
  <w:footnote w:id="40">
    <w:p w14:paraId="56103788"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Avun antaminen merihädässä oleville henkilöille on EU:n jäsenvaltioiden oikeudellinen velvoite, joka on vahvistettu kansainvälisessä tapaoikeudessa ja sopimusoikeudessa (kansainvälinen yleissopimus ihmishengen turvallisuudesta merellä – SOLAS-yleissopimus, 1974; Yhdistyneiden kansakuntien merioikeusyleissopimus – UNCLOS, 1982; kansainvälinen yleissopimus etsintä- ja pelastuspalvelusta merellä – SAR-yleissopimus, 1979) sekä EU:n oikeudessa.</w:t>
      </w:r>
    </w:p>
  </w:footnote>
  <w:footnote w:id="41">
    <w:p w14:paraId="472F495A"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Unionin tuomioistuimen (toinen jaosto) tuomio 6.10.2022, I. L. v. Politsei- ja Piirivalveamet, asia C-241/21, ECLI:EU:C:2022:753.</w:t>
      </w:r>
    </w:p>
  </w:footnote>
  <w:footnote w:id="42">
    <w:p w14:paraId="7C1DDF94"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Euroopan unionin perusoikeusvirasto, Fundamental Rights Report 2023, s. 148, 8. kesäkuuta 2023.</w:t>
      </w:r>
    </w:p>
  </w:footnote>
  <w:footnote w:id="43">
    <w:p w14:paraId="21172176"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Euroopan unionin perusoikeusvirasto, Fundamental Rights Report 2023, s. 148, 8. kesäkuuta 2023.</w:t>
      </w:r>
    </w:p>
  </w:footnote>
  <w:footnote w:id="44">
    <w:p w14:paraId="0F6B668A"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Termi ”romaniväestö” kattaa erilaisia ryhmiä, joita ovat esimerkiksi roma-, kale-, manouche-, ashkali-, traveller-, lovari-, rissende-romani-, boyash-, dom-, kalderaš-, romanichal- ja sinti-ryhmät. Yhteisesti sovittua terminologiaa ei ole, sillä jotkut yhteisöt pitävät parempana termiä ”romani/romaniväestö”.</w:t>
      </w:r>
    </w:p>
  </w:footnote>
  <w:footnote w:id="45">
    <w:p w14:paraId="2649783A"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Euroopan parlamentin tutkimuspalvelu, Lyhyesti-julkaisu ”Combating hate speech and hate crime in the EU”, kesäkuu 2022.</w:t>
      </w:r>
    </w:p>
  </w:footnote>
  <w:footnote w:id="46">
    <w:p w14:paraId="6B961678"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Euroopan oikeusasiamies, ”</w:t>
      </w:r>
      <w:hyperlink r:id="rId3" w:history="1">
        <w:r w:rsidRPr="00A248D2">
          <w:rPr>
            <w:rStyle w:val="Hyperlink"/>
            <w:color w:val="auto"/>
            <w:sz w:val="24"/>
            <w:lang w:val="fi-FI"/>
          </w:rPr>
          <w:t>Suositus, jonka aiheena on Euroopan komission kieltäytyminen antamasta julkisesti saataville komission puheenjohtajan ja lääkeyhtiön toimitusjohtajan välillä vaihdettuja tekstiviestejä covid-19-rokotteen ostamisesta (asia 1316/2021/MIG)</w:t>
        </w:r>
      </w:hyperlink>
      <w:r w:rsidRPr="00A248D2">
        <w:rPr>
          <w:sz w:val="24"/>
          <w:lang w:val="fi-FI"/>
        </w:rPr>
        <w:t>”.</w:t>
      </w:r>
    </w:p>
  </w:footnote>
  <w:footnote w:id="47">
    <w:p w14:paraId="77E8EBC8"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Euroopan parlamentin ja neuvoston direktiivi (EU) 2019/1937, annettu 23. lokakuuta 2019, unionin oikeuden rikkomisesta ilmoittavien henkilöiden suojelusta (EUVL L 305, 26.11.2019, s. 17).</w:t>
      </w:r>
    </w:p>
  </w:footnote>
  <w:footnote w:id="48">
    <w:p w14:paraId="3DAA50F7"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Neuvoston direktiivi 2001/55/EY, annettu 20. heinäkuuta 2001, vähimmäisvaatimuksista tilapäisen suojelun antamiseksi siirtymään joutuneiden henkilöiden joukottaisen maahantulon tilanteissa, ja toimenpiteistä näiden henkilöiden vastaanottamisen ja vastaanottamisesta jäsenvaltioille aiheutuvien rasitusten tasapuolisen jakautumisen edistämiseksi (EYVL L 212, 7.8.2001, s. 12).</w:t>
      </w:r>
    </w:p>
  </w:footnote>
  <w:footnote w:id="49">
    <w:p w14:paraId="49F0F091" w14:textId="77777777" w:rsidR="007455F5" w:rsidRPr="00E741B8" w:rsidRDefault="007455F5" w:rsidP="00E42873">
      <w:pPr>
        <w:pStyle w:val="FootnoteText"/>
        <w:ind w:left="567" w:hanging="567"/>
        <w:rPr>
          <w:sz w:val="24"/>
          <w:lang w:val="en-GB"/>
        </w:rPr>
      </w:pPr>
      <w:r w:rsidRPr="00A248D2">
        <w:rPr>
          <w:rStyle w:val="FootnoteReference"/>
          <w:sz w:val="24"/>
          <w:lang w:val="fi-FI"/>
        </w:rPr>
        <w:footnoteRef/>
      </w:r>
      <w:r w:rsidR="00E42873" w:rsidRPr="00E741B8">
        <w:rPr>
          <w:sz w:val="24"/>
          <w:lang w:val="en-GB"/>
        </w:rPr>
        <w:t xml:space="preserve"> </w:t>
      </w:r>
      <w:r w:rsidR="00E42873" w:rsidRPr="00E741B8">
        <w:rPr>
          <w:sz w:val="24"/>
          <w:lang w:val="en-GB"/>
        </w:rPr>
        <w:tab/>
      </w:r>
      <w:r w:rsidRPr="00E741B8">
        <w:rPr>
          <w:sz w:val="24"/>
          <w:lang w:val="en-GB"/>
        </w:rPr>
        <w:t>Euroopan neuvosto</w:t>
      </w:r>
      <w:proofErr w:type="gramStart"/>
      <w:r w:rsidRPr="00E741B8">
        <w:rPr>
          <w:sz w:val="24"/>
          <w:lang w:val="en-GB"/>
        </w:rPr>
        <w:t>, ”</w:t>
      </w:r>
      <w:proofErr w:type="gramEnd"/>
      <w:r w:rsidR="00BF6590">
        <w:fldChar w:fldCharType="begin"/>
      </w:r>
      <w:r w:rsidR="00BF6590">
        <w:instrText xml:space="preserve"> HYPERLIN</w:instrText>
      </w:r>
      <w:r w:rsidR="00BF6590">
        <w:instrText xml:space="preserve">K "https://search.coe.int/cm/Pages/result_details.aspx?ObjectId=0900001680a69407" </w:instrText>
      </w:r>
      <w:r w:rsidR="00BF6590">
        <w:fldChar w:fldCharType="separate"/>
      </w:r>
      <w:r w:rsidRPr="00E741B8">
        <w:rPr>
          <w:rStyle w:val="Hyperlink"/>
          <w:color w:val="auto"/>
          <w:sz w:val="24"/>
          <w:lang w:val="en-GB"/>
        </w:rPr>
        <w:t>Recommendation CM/Rec(2022)17 of the Ministers to Member States on protection the rights of migrants, Refugee and asylum-seeking women and girls</w:t>
      </w:r>
      <w:r w:rsidR="00BF6590">
        <w:rPr>
          <w:rStyle w:val="Hyperlink"/>
          <w:color w:val="auto"/>
          <w:sz w:val="24"/>
          <w:lang w:val="en-GB"/>
        </w:rPr>
        <w:fldChar w:fldCharType="end"/>
      </w:r>
      <w:r w:rsidRPr="00E741B8">
        <w:rPr>
          <w:sz w:val="24"/>
          <w:lang w:val="en-GB"/>
        </w:rPr>
        <w:t xml:space="preserve">”, 20. </w:t>
      </w:r>
      <w:proofErr w:type="gramStart"/>
      <w:r w:rsidRPr="00E741B8">
        <w:rPr>
          <w:sz w:val="24"/>
          <w:lang w:val="en-GB"/>
        </w:rPr>
        <w:t>toukokuuta</w:t>
      </w:r>
      <w:proofErr w:type="gramEnd"/>
      <w:r w:rsidRPr="00E741B8">
        <w:rPr>
          <w:sz w:val="24"/>
          <w:lang w:val="en-GB"/>
        </w:rPr>
        <w:t xml:space="preserve"> 2022.</w:t>
      </w:r>
    </w:p>
  </w:footnote>
  <w:footnote w:id="50">
    <w:p w14:paraId="3B49C68A" w14:textId="77777777" w:rsidR="007455F5" w:rsidRPr="00A248D2" w:rsidRDefault="007455F5" w:rsidP="00E42873">
      <w:pPr>
        <w:pStyle w:val="FootnoteText"/>
        <w:ind w:left="567" w:hanging="567"/>
        <w:rPr>
          <w:sz w:val="24"/>
          <w:lang w:val="fi-FI"/>
        </w:rPr>
      </w:pPr>
      <w:r w:rsidRPr="00A248D2">
        <w:rPr>
          <w:rStyle w:val="FootnoteReference"/>
          <w:sz w:val="24"/>
          <w:lang w:val="fi-FI"/>
        </w:rPr>
        <w:footnoteRef/>
      </w:r>
      <w:r w:rsidR="00E42873" w:rsidRPr="00A248D2">
        <w:rPr>
          <w:sz w:val="24"/>
          <w:lang w:val="fi-FI"/>
        </w:rPr>
        <w:t xml:space="preserve"> </w:t>
      </w:r>
      <w:r w:rsidR="00E42873" w:rsidRPr="00A248D2">
        <w:rPr>
          <w:sz w:val="24"/>
          <w:lang w:val="fi-FI"/>
        </w:rPr>
        <w:tab/>
      </w:r>
      <w:r w:rsidRPr="00A248D2">
        <w:rPr>
          <w:sz w:val="24"/>
          <w:lang w:val="fi-FI"/>
        </w:rPr>
        <w:t>Neuvoston suositus, annettu 30. tammikuuta 2023, riittävästä vähimmäistoimeentulosta aktiivisen osallisuuden varmistamiseksi (EUVL C 41, 3.2.2023,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FI"/>
    <w:docVar w:name="dvnumam" w:val="0"/>
    <w:docVar w:name="dvpe" w:val="749.923"/>
    <w:docVar w:name="dvrapporteur" w:val="Esittelijä: "/>
    <w:docVar w:name="dvtitre" w:val="Euroopan parlamentin päätöslauselma xx. tammikuuta 2024 perusoikeuksien tilanteesta Euroopan unionissa – vuosikertomus 2022 ja 2023(2023/2028(INI))"/>
  </w:docVars>
  <w:rsids>
    <w:rsidRoot w:val="00912776"/>
    <w:rsid w:val="00002272"/>
    <w:rsid w:val="00064002"/>
    <w:rsid w:val="000677B9"/>
    <w:rsid w:val="000831BA"/>
    <w:rsid w:val="000A42CC"/>
    <w:rsid w:val="000B276A"/>
    <w:rsid w:val="000E7DD9"/>
    <w:rsid w:val="0010095E"/>
    <w:rsid w:val="00125B37"/>
    <w:rsid w:val="00187494"/>
    <w:rsid w:val="001F32AE"/>
    <w:rsid w:val="0026261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58F"/>
    <w:rsid w:val="004C5D52"/>
    <w:rsid w:val="0050519A"/>
    <w:rsid w:val="005072A1"/>
    <w:rsid w:val="00514517"/>
    <w:rsid w:val="00545827"/>
    <w:rsid w:val="00560270"/>
    <w:rsid w:val="005C2568"/>
    <w:rsid w:val="006037C0"/>
    <w:rsid w:val="006631B6"/>
    <w:rsid w:val="00680577"/>
    <w:rsid w:val="006F74FA"/>
    <w:rsid w:val="00731ADD"/>
    <w:rsid w:val="00734777"/>
    <w:rsid w:val="007455F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776"/>
    <w:rsid w:val="00930C23"/>
    <w:rsid w:val="0093193B"/>
    <w:rsid w:val="009509D8"/>
    <w:rsid w:val="00950B64"/>
    <w:rsid w:val="00981893"/>
    <w:rsid w:val="00A1687D"/>
    <w:rsid w:val="00A248D2"/>
    <w:rsid w:val="00A43E52"/>
    <w:rsid w:val="00A4678D"/>
    <w:rsid w:val="00A778C7"/>
    <w:rsid w:val="00AB441E"/>
    <w:rsid w:val="00AB6293"/>
    <w:rsid w:val="00AE0928"/>
    <w:rsid w:val="00AF3B82"/>
    <w:rsid w:val="00B12E95"/>
    <w:rsid w:val="00B22876"/>
    <w:rsid w:val="00B558F0"/>
    <w:rsid w:val="00BD48FE"/>
    <w:rsid w:val="00BD7BD8"/>
    <w:rsid w:val="00BE6ADC"/>
    <w:rsid w:val="00BF6590"/>
    <w:rsid w:val="00C05BFE"/>
    <w:rsid w:val="00C23CD4"/>
    <w:rsid w:val="00C61C0C"/>
    <w:rsid w:val="00C941CB"/>
    <w:rsid w:val="00CC2357"/>
    <w:rsid w:val="00CF071A"/>
    <w:rsid w:val="00D058B8"/>
    <w:rsid w:val="00D56C11"/>
    <w:rsid w:val="00D8349A"/>
    <w:rsid w:val="00D834A0"/>
    <w:rsid w:val="00D872DF"/>
    <w:rsid w:val="00D91E21"/>
    <w:rsid w:val="00DA7FCD"/>
    <w:rsid w:val="00E365E1"/>
    <w:rsid w:val="00E42873"/>
    <w:rsid w:val="00E741B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DA7A8"/>
  <w15:chartTrackingRefBased/>
  <w15:docId w15:val="{C83B3B5B-AEAB-477F-B718-C8D8F94B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55F5"/>
    <w:pPr>
      <w:spacing w:after="240"/>
      <w:ind w:left="567" w:hanging="567"/>
    </w:pPr>
  </w:style>
  <w:style w:type="paragraph" w:customStyle="1" w:styleId="EPComma">
    <w:name w:val="EPComma"/>
    <w:basedOn w:val="Normal"/>
    <w:rsid w:val="007455F5"/>
    <w:pPr>
      <w:spacing w:before="480" w:after="240"/>
    </w:pPr>
  </w:style>
  <w:style w:type="character" w:styleId="Hyperlink">
    <w:name w:val="Hyperlink"/>
    <w:basedOn w:val="DefaultParagraphFont"/>
    <w:uiPriority w:val="99"/>
    <w:unhideWhenUsed/>
    <w:rsid w:val="007455F5"/>
    <w:rPr>
      <w:color w:val="0563C1" w:themeColor="hyperlink"/>
      <w:u w:val="single"/>
    </w:rPr>
  </w:style>
  <w:style w:type="paragraph" w:customStyle="1" w:styleId="Normal12a24b">
    <w:name w:val="Normal12a24b"/>
    <w:basedOn w:val="Normal"/>
    <w:rsid w:val="007455F5"/>
    <w:pPr>
      <w:snapToGrid w:val="0"/>
      <w:spacing w:before="360" w:after="240"/>
    </w:pPr>
    <w:rPr>
      <w:lang w:eastAsia="en-US"/>
    </w:rPr>
  </w:style>
  <w:style w:type="character" w:customStyle="1" w:styleId="Bold">
    <w:name w:val="Bold"/>
    <w:uiPriority w:val="1"/>
    <w:rsid w:val="007455F5"/>
    <w:rPr>
      <w:b/>
      <w:bCs w:val="0"/>
    </w:rPr>
  </w:style>
  <w:style w:type="character" w:customStyle="1" w:styleId="Italic">
    <w:name w:val="Italic"/>
    <w:uiPriority w:val="1"/>
    <w:rsid w:val="007455F5"/>
    <w:rPr>
      <w:i/>
      <w:iCs w:val="0"/>
    </w:rPr>
  </w:style>
  <w:style w:type="character" w:customStyle="1" w:styleId="NormalHanging12aChar">
    <w:name w:val="NormalHanging12a Char"/>
    <w:basedOn w:val="DefaultParagraphFont"/>
    <w:link w:val="NormalHanging12a"/>
    <w:rsid w:val="007455F5"/>
    <w:rPr>
      <w:sz w:val="24"/>
      <w:lang w:val="fi-FI"/>
    </w:rPr>
  </w:style>
  <w:style w:type="paragraph" w:styleId="Footer">
    <w:name w:val="footer"/>
    <w:basedOn w:val="Normal"/>
    <w:link w:val="FooterChar"/>
    <w:rsid w:val="00A248D2"/>
    <w:pPr>
      <w:tabs>
        <w:tab w:val="center" w:pos="4513"/>
        <w:tab w:val="right" w:pos="9026"/>
      </w:tabs>
    </w:pPr>
  </w:style>
  <w:style w:type="character" w:customStyle="1" w:styleId="FooterChar">
    <w:name w:val="Footer Char"/>
    <w:basedOn w:val="DefaultParagraphFont"/>
    <w:link w:val="Footer"/>
    <w:rsid w:val="00A248D2"/>
    <w:rPr>
      <w:sz w:val="24"/>
      <w:lang w:val="fi-FI"/>
    </w:rPr>
  </w:style>
  <w:style w:type="paragraph" w:styleId="BalloonText">
    <w:name w:val="Balloon Text"/>
    <w:basedOn w:val="Normal"/>
    <w:link w:val="BalloonTextChar"/>
    <w:rsid w:val="000B276A"/>
    <w:rPr>
      <w:rFonts w:ascii="Segoe UI" w:hAnsi="Segoe UI" w:cs="Segoe UI"/>
      <w:sz w:val="18"/>
      <w:szCs w:val="18"/>
    </w:rPr>
  </w:style>
  <w:style w:type="character" w:customStyle="1" w:styleId="BalloonTextChar">
    <w:name w:val="Balloon Text Char"/>
    <w:basedOn w:val="DefaultParagraphFont"/>
    <w:link w:val="BalloonText"/>
    <w:rsid w:val="000B276A"/>
    <w:rPr>
      <w:rFonts w:ascii="Segoe UI" w:hAnsi="Segoe UI" w:cs="Segoe UI"/>
      <w:sz w:val="18"/>
      <w:szCs w:val="18"/>
      <w:lang w:val="fi-FI"/>
    </w:rPr>
  </w:style>
  <w:style w:type="character" w:styleId="CommentReference">
    <w:name w:val="annotation reference"/>
    <w:basedOn w:val="DefaultParagraphFont"/>
    <w:rsid w:val="00D8349A"/>
    <w:rPr>
      <w:sz w:val="16"/>
      <w:szCs w:val="16"/>
    </w:rPr>
  </w:style>
  <w:style w:type="paragraph" w:styleId="CommentText">
    <w:name w:val="annotation text"/>
    <w:basedOn w:val="Normal"/>
    <w:link w:val="CommentTextChar"/>
    <w:rsid w:val="00D8349A"/>
    <w:rPr>
      <w:sz w:val="20"/>
    </w:rPr>
  </w:style>
  <w:style w:type="character" w:customStyle="1" w:styleId="CommentTextChar">
    <w:name w:val="Comment Text Char"/>
    <w:basedOn w:val="DefaultParagraphFont"/>
    <w:link w:val="CommentText"/>
    <w:rsid w:val="00D8349A"/>
    <w:rPr>
      <w:lang w:val="fi-FI"/>
    </w:rPr>
  </w:style>
  <w:style w:type="paragraph" w:styleId="CommentSubject">
    <w:name w:val="annotation subject"/>
    <w:basedOn w:val="CommentText"/>
    <w:next w:val="CommentText"/>
    <w:link w:val="CommentSubjectChar"/>
    <w:rsid w:val="00D8349A"/>
    <w:rPr>
      <w:b/>
      <w:bCs/>
    </w:rPr>
  </w:style>
  <w:style w:type="character" w:customStyle="1" w:styleId="CommentSubjectChar">
    <w:name w:val="Comment Subject Char"/>
    <w:basedOn w:val="CommentTextChar"/>
    <w:link w:val="CommentSubject"/>
    <w:rsid w:val="00D8349A"/>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ombudsman.europa.eu/fi/recommendation/fi/151678"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D30B2-3538-4074-BD37-17186E56A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6869</Words>
  <Characters>60511</Characters>
  <Application>Microsoft Office Word</Application>
  <DocSecurity>0</DocSecurity>
  <Lines>504</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3</cp:revision>
  <cp:lastPrinted>2004-11-19T15:42:00Z</cp:lastPrinted>
  <dcterms:created xsi:type="dcterms:W3CDTF">2024-01-18T14:31:00Z</dcterms:created>
  <dcterms:modified xsi:type="dcterms:W3CDTF">2024-02-19T15:43:00Z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A9-0376/2023</vt:lpwstr>
  </property>
  <property fmtid="{D5CDD505-2E9C-101B-9397-08002B2CF9AE}" pid="4" name="&lt;Type&gt;">
    <vt:lpwstr>RR</vt:lpwstr>
  </property>
</Properties>
</file>