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E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2E5D" w:rsidRDefault="005F4196" w:rsidP="0010095E">
            <w:pPr>
              <w:pStyle w:val="EPName"/>
            </w:pPr>
            <w:r w:rsidRPr="00882E5D">
              <w:t>Europski parlament</w:t>
            </w:r>
          </w:p>
          <w:p w:rsidR="00751A4A" w:rsidRPr="00882E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E5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2E5D" w:rsidRDefault="00187494" w:rsidP="0010095E">
            <w:pPr>
              <w:pStyle w:val="EPLogo"/>
            </w:pPr>
            <w:r w:rsidRPr="00882E5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2E5D" w:rsidRDefault="00D058B8" w:rsidP="004C5D52">
      <w:pPr>
        <w:pStyle w:val="LineTop"/>
      </w:pPr>
    </w:p>
    <w:p w:rsidR="00680577" w:rsidRPr="00882E5D" w:rsidRDefault="005F4196" w:rsidP="00680577">
      <w:pPr>
        <w:pStyle w:val="EPBodyTA1"/>
      </w:pPr>
      <w:r w:rsidRPr="00882E5D">
        <w:t>USVOJENI TEKSTOVI</w:t>
      </w:r>
    </w:p>
    <w:p w:rsidR="00D058B8" w:rsidRPr="00882E5D" w:rsidRDefault="00D058B8" w:rsidP="00D058B8">
      <w:pPr>
        <w:pStyle w:val="LineBottom"/>
      </w:pPr>
    </w:p>
    <w:p w:rsidR="005F4196" w:rsidRPr="00882E5D" w:rsidRDefault="005F4196" w:rsidP="005F4196">
      <w:pPr>
        <w:pStyle w:val="ATHeading1"/>
      </w:pPr>
      <w:bookmarkStart w:id="0" w:name="TANumber"/>
      <w:r w:rsidRPr="00882E5D">
        <w:t>P9_TA(2024)00</w:t>
      </w:r>
      <w:r w:rsidR="002E35E9">
        <w:t>5</w:t>
      </w:r>
      <w:r w:rsidRPr="00882E5D">
        <w:t>0</w:t>
      </w:r>
      <w:bookmarkEnd w:id="0"/>
    </w:p>
    <w:p w:rsidR="005F4196" w:rsidRPr="00882E5D" w:rsidRDefault="00C9294C" w:rsidP="005F4196">
      <w:pPr>
        <w:pStyle w:val="ATHeading2"/>
      </w:pPr>
      <w:bookmarkStart w:id="1" w:name="title"/>
      <w:r w:rsidRPr="00C9294C">
        <w:rPr>
          <w:bCs/>
          <w:szCs w:val="28"/>
          <w:shd w:val="clear" w:color="auto" w:fill="FFFFFF"/>
        </w:rPr>
        <w:t>Stanje temeljnih prava u EU-u 2022. i 2023.</w:t>
      </w:r>
      <w:bookmarkEnd w:id="1"/>
    </w:p>
    <w:p w:rsidR="005F4196" w:rsidRPr="00882E5D" w:rsidRDefault="005F4196" w:rsidP="005F4196">
      <w:pPr>
        <w:rPr>
          <w:i/>
          <w:vanish/>
        </w:rPr>
      </w:pPr>
      <w:r w:rsidRPr="00882E5D">
        <w:rPr>
          <w:i/>
        </w:rPr>
        <w:fldChar w:fldCharType="begin"/>
      </w:r>
      <w:r w:rsidRPr="00882E5D">
        <w:rPr>
          <w:i/>
        </w:rPr>
        <w:instrText xml:space="preserve"> TC"(</w:instrText>
      </w:r>
      <w:bookmarkStart w:id="2" w:name="DocNumber"/>
      <w:r w:rsidRPr="00882E5D">
        <w:rPr>
          <w:i/>
        </w:rPr>
        <w:instrText>A9-0376/2023</w:instrText>
      </w:r>
      <w:bookmarkEnd w:id="2"/>
      <w:r w:rsidRPr="00882E5D">
        <w:rPr>
          <w:i/>
        </w:rPr>
        <w:instrText xml:space="preserve"> - Izvjestiteljica: Katarina </w:instrText>
      </w:r>
      <w:proofErr w:type="spellStart"/>
      <w:r w:rsidRPr="00882E5D">
        <w:rPr>
          <w:i/>
        </w:rPr>
        <w:instrText>Barley</w:instrText>
      </w:r>
      <w:proofErr w:type="spellEnd"/>
      <w:r w:rsidRPr="00882E5D">
        <w:rPr>
          <w:i/>
        </w:rPr>
        <w:instrText xml:space="preserve">)"\l3 \n&gt; \* MERGEFORMAT </w:instrText>
      </w:r>
      <w:r w:rsidRPr="00882E5D">
        <w:rPr>
          <w:i/>
        </w:rPr>
        <w:fldChar w:fldCharType="end"/>
      </w:r>
    </w:p>
    <w:p w:rsidR="005F4196" w:rsidRPr="00882E5D" w:rsidRDefault="005F4196" w:rsidP="005F4196">
      <w:pPr>
        <w:rPr>
          <w:vanish/>
        </w:rPr>
      </w:pPr>
      <w:bookmarkStart w:id="3" w:name="Commission"/>
      <w:r w:rsidRPr="00882E5D">
        <w:rPr>
          <w:vanish/>
        </w:rPr>
        <w:t>Odbor za građanske slobode, pravosuđe i unutarnje poslove</w:t>
      </w:r>
      <w:bookmarkEnd w:id="3"/>
    </w:p>
    <w:p w:rsidR="005F4196" w:rsidRPr="00882E5D" w:rsidRDefault="005F4196" w:rsidP="005F4196">
      <w:pPr>
        <w:rPr>
          <w:vanish/>
        </w:rPr>
      </w:pPr>
      <w:bookmarkStart w:id="4" w:name="PE"/>
      <w:r w:rsidRPr="00882E5D">
        <w:rPr>
          <w:vanish/>
        </w:rPr>
        <w:t>PE749.923</w:t>
      </w:r>
      <w:bookmarkEnd w:id="4"/>
    </w:p>
    <w:p w:rsidR="005F4196" w:rsidRPr="00882E5D" w:rsidRDefault="005F4196" w:rsidP="005F4196">
      <w:pPr>
        <w:pStyle w:val="ATHeading3"/>
      </w:pPr>
      <w:bookmarkStart w:id="5" w:name="Sujet"/>
      <w:r w:rsidRPr="00882E5D">
        <w:t>Rezolu</w:t>
      </w:r>
      <w:r w:rsidR="00882E5D">
        <w:t xml:space="preserve">cija Europskog parlamenta od </w:t>
      </w:r>
      <w:r w:rsidR="00C9294C">
        <w:t>18</w:t>
      </w:r>
      <w:r w:rsidRPr="00882E5D">
        <w:t xml:space="preserve">. </w:t>
      </w:r>
      <w:r w:rsidR="00882E5D">
        <w:t xml:space="preserve">siječnja </w:t>
      </w:r>
      <w:r w:rsidRPr="00882E5D">
        <w:t>2024. o stanju temeljnih prava u Europskoj uniji – godišnje izvješće za 2022. i 2023.</w:t>
      </w:r>
      <w:bookmarkEnd w:id="5"/>
      <w:r w:rsidRPr="00882E5D">
        <w:t xml:space="preserve"> </w:t>
      </w:r>
      <w:bookmarkStart w:id="6" w:name="References"/>
      <w:r w:rsidRPr="00882E5D">
        <w:t>(2023/2028(INI))</w:t>
      </w:r>
      <w:bookmarkEnd w:id="6"/>
    </w:p>
    <w:p w:rsidR="007E5B29" w:rsidRPr="00882E5D" w:rsidRDefault="007E5B29" w:rsidP="007E5B29">
      <w:pPr>
        <w:pStyle w:val="EPComma"/>
      </w:pPr>
      <w:bookmarkStart w:id="7" w:name="TextBodyBegin"/>
      <w:bookmarkEnd w:id="7"/>
      <w:r w:rsidRPr="00882E5D">
        <w:rPr>
          <w:rStyle w:val="Italic"/>
        </w:rPr>
        <w:t>Europski parlament</w:t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Ugovor o Europskoj uniji (UEU) i Ugovor o funkcioniranju Europske unije (UFEU),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Povelju Europske unije o temeljnim pravima („Povelja”),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sudsku praksu Suda Europske unije</w:t>
      </w:r>
      <w:r w:rsidRPr="00882E5D">
        <w:rPr>
          <w:rStyle w:val="FootnoteReference"/>
        </w:rPr>
        <w:footnoteReference w:id="1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Uredbu (EU, Euratom) 2020/2092 Europskog parlamenta i Vijeća od 16. prosinca 2020. o općem režimu uvjetovanosti za zaštitu proračuna Unije</w:t>
      </w:r>
      <w:r w:rsidRPr="00882E5D">
        <w:rPr>
          <w:rStyle w:val="FootnoteReference"/>
        </w:rPr>
        <w:footnoteReference w:id="2"/>
      </w:r>
      <w:r w:rsidRPr="00882E5D">
        <w:t xml:space="preserve"> („Uredba o uvjetovanosti u pogledu vladavine prava”),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Uredbu (EU) 2021/692 Europskog parlamenta i Vijeća od 28. travnja 2021. o uspostavi programa Građani, jednakost, prava i vrijednosti te o stavljanju izvan snage Uredbe (EU) br. 1381/2013 Europskog parlamenta i Vijeća i Uredbe Vijeća (EU) br. 390/2014</w:t>
      </w:r>
      <w:r w:rsidRPr="00882E5D">
        <w:rPr>
          <w:rStyle w:val="FootnoteReference"/>
        </w:rPr>
        <w:footnoteReference w:id="3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Uredbu Vijeća (EU) 2017/1939 od 12. listopada 2017. o provedbi pojačane suradnje u vezi s osnivanjem Ureda europskog javnog tužitelja („EPPO”)</w:t>
      </w:r>
      <w:r w:rsidRPr="00882E5D">
        <w:rPr>
          <w:rStyle w:val="FootnoteReference"/>
        </w:rPr>
        <w:footnoteReference w:id="4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Uredbu (EU) 2016/679 Europskog parlamenta i Vijeća od 27. travnja 2016. o zaštiti pojedinaca u vezi s obradom osobnih podataka i o slobodnom kretanju takvih podataka te o stavljanju izvan snage Direktive 95/46/EZ (Opća uredba o </w:t>
      </w:r>
      <w:r w:rsidRPr="00882E5D">
        <w:lastRenderedPageBreak/>
        <w:t>zaštiti podataka)</w:t>
      </w:r>
      <w:r w:rsidRPr="00882E5D">
        <w:rPr>
          <w:rStyle w:val="FootnoteReference"/>
        </w:rPr>
        <w:footnoteReference w:id="5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Direktivu (EU) 2017/1371 Europskog parlamenta i Vijeća od 5. srpnja 2017. o suzbijanju prijevara počinjenih protiv financijskih interesa Unije kaznenopravnim sredstvima</w:t>
      </w:r>
      <w:r w:rsidRPr="00882E5D">
        <w:rPr>
          <w:rStyle w:val="FootnoteReference"/>
        </w:rPr>
        <w:footnoteReference w:id="6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Okvirnu odluku Vijeća 2008/913/PUP od 28. studenoga 2008. o suzbijanju određenih oblika i načina izražavanja rasizma i ksenofobije kazneno-pravnim sredstvima</w:t>
      </w:r>
      <w:r w:rsidRPr="00882E5D">
        <w:rPr>
          <w:rStyle w:val="FootnoteReference"/>
        </w:rPr>
        <w:footnoteReference w:id="7"/>
      </w:r>
      <w:r w:rsidRPr="00882E5D">
        <w:t xml:space="preserve">,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Direktivu Vijeća 2000/43/EZ od 29. lipnja 2000. o provedbi načela jednakog postupanja prema osobama bez obzira na njihovo rasno ili etničko podrijetlo</w:t>
      </w:r>
      <w:r w:rsidRPr="00882E5D">
        <w:rPr>
          <w:rStyle w:val="FootnoteReference"/>
        </w:rPr>
        <w:footnoteReference w:id="8"/>
      </w:r>
      <w:r w:rsidRPr="00882E5D">
        <w:t xml:space="preserve"> te aktualne postupke zbog povrede koje je Komisija pokrenula na temelju te direktive protiv nekoliko država članica, od kojih je jedan uputila Sudu,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Preporuku Vijeća od 12. ožujka 2021. o jednakosti, uključivanju i </w:t>
      </w:r>
      <w:r w:rsidRPr="00C9294C">
        <w:t xml:space="preserve">sudjelovanju </w:t>
      </w:r>
      <w:r w:rsidR="00C9294C" w:rsidRPr="00C9294C">
        <w:t>Roma</w:t>
      </w:r>
      <w:r w:rsidRPr="00C9294C">
        <w:t xml:space="preserve"> (2021/C 93/01)</w:t>
      </w:r>
      <w:r w:rsidRPr="00C9294C">
        <w:rPr>
          <w:rStyle w:val="FootnoteReference"/>
        </w:rPr>
        <w:footnoteReference w:id="9"/>
      </w:r>
      <w:r w:rsidRPr="00C9294C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komunikaciju Komisije od 9. siječnja 2023. naslovljenu „Izvješće o procjeni nacionalnih strateških okvira država članica za Rome” (COM(2023)</w:t>
      </w:r>
      <w:r w:rsidR="00C9294C">
        <w:t>0</w:t>
      </w:r>
      <w:r w:rsidRPr="00882E5D">
        <w:t>007),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Preporuku Komisije (EU) 2021/1534 od 16. rujna 2021. o jamčenju zaštite, sigurnosti i jačanja položaja novinara i drugih medijskih djelatnika u Europskoj uniji</w:t>
      </w:r>
      <w:r w:rsidRPr="00882E5D">
        <w:rPr>
          <w:rStyle w:val="FootnoteReference"/>
        </w:rPr>
        <w:footnoteReference w:id="10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komunikaciju Komisije od 9. prosinca 2021. naslovljenu „</w:t>
      </w:r>
      <w:proofErr w:type="spellStart"/>
      <w:r w:rsidRPr="00882E5D">
        <w:t>Uključivija</w:t>
      </w:r>
      <w:proofErr w:type="spellEnd"/>
      <w:r w:rsidRPr="00882E5D">
        <w:t xml:space="preserve"> Europa koja štiti: proširenje popisa područja kriminaliteta u EU-u na govor mržnje i zločine iz mržnje” (COM(2021)0777),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komunikaciju Komisije od 5. ožujka 2020. naslovljenu „Unija ravnopravnosti: Strategija za rodnu ravnopravnost 2020.–2025.” (COM(2020)0152),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komunikaciju Komisije od 24. lipnja 2020. naslovljenu „Strategija EU-a za prava žrtava (2020.–2025.)” (COM(2020)0258),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komunikaciju Komisije od 12. studenog 2020. naslovljenu „Unija ravnopravnosti: Strategija o ravnopravnosti LGBTIQ osoba 2020.–2025.” (COM(2020)0698),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Zaključke Vijeća od 2. ožujka 2022. o suzbijanju rasizma i antisemitizma,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komunikaciju Komisije od 2. prosinca 2020. naslovljenu „Strategija za jačanje primjene Povelje o temeljnim pravima u EU-u” (COM(2020)0711),</w:t>
      </w:r>
    </w:p>
    <w:p w:rsidR="007E5B29" w:rsidRPr="00882E5D" w:rsidRDefault="007E5B29" w:rsidP="007E5B29">
      <w:pPr>
        <w:pStyle w:val="NormalHanging12a"/>
      </w:pPr>
      <w:r w:rsidRPr="00882E5D">
        <w:lastRenderedPageBreak/>
        <w:t>–</w:t>
      </w:r>
      <w:r w:rsidRPr="00882E5D">
        <w:tab/>
        <w:t>uzimajući u obzir izvješće Komisije od 6. prosinca 2022. naslovljeno „Prostor za uspješno građansko djelovanje u području poštovanja temeljnih prava u EU-u – Godišnje izvješće o primjeni Povelje EU-a o temeljnim pravima za 2022.” (COM(2022)0716),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Preporuku Komisije (EU) 2023/681 od 8. prosinca 2022. o </w:t>
      </w:r>
      <w:proofErr w:type="spellStart"/>
      <w:r w:rsidRPr="00882E5D">
        <w:t>postupovnim</w:t>
      </w:r>
      <w:proofErr w:type="spellEnd"/>
      <w:r w:rsidRPr="00882E5D">
        <w:t xml:space="preserve"> pravima osumnjičenika i optuženika u istražnom zatvoru i o materijalnim uvjetima zadržavanja</w:t>
      </w:r>
      <w:r w:rsidRPr="00882E5D">
        <w:rPr>
          <w:rStyle w:val="FootnoteReference"/>
        </w:rPr>
        <w:footnoteReference w:id="11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komunikaciju Komisije od 5. srpnja 2023. naslovljenu „Izvješće o vladavini prava za 2023. – Stanje vladavine prava u Europskoj uniji” (COM(2023)0800), 27 poglavlja o državama članicama i popratne prep</w:t>
      </w:r>
      <w:r w:rsidR="00405EC0">
        <w:t>oruke državama članicama,</w:t>
      </w:r>
      <w:bookmarkStart w:id="8" w:name="_GoBack"/>
      <w:bookmarkEnd w:id="8"/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europski stup socijalnih prava, uključujući njegovo treće načelo o jednakim mogućnostima, i komunikaciju Komisije od 4. ožujka 2021. o akcijskom planu za provedbu europskog stupa socijalnih prava (COM(2021)0102),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Komisijin Prijedlog direktive Europskog parlamenta i Vijeća od 27. travnja 2022. o zaštiti osoba uključenih u javno sudjelovanje od očito neosnovanih ili zlonamjernih sudskih postupaka („strateške tužbe protiv javnog sudjelovanja”) (COM(2022)0177) („Direktiva protiv strateških tužbi protiv javnog sudjelovanja”) te njegovu popratnu preporuku,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Komisijin Prijedlog uredbe Europskog parlamenta i Vijeća od 16. rujna 2022. o uspostavi zajedničkog okvira za medijske usluge na unutarnjem tržištu (Europski akt o slobodi medija) i izmjeni Direktive 2010/13/EU (COM(2022)0457) („Akt o slobodi medija”) te njegovu popratnu preporuku o unutarnjim zaštitnim mjerama za uredničku neovisnost i transparentnost vlasništva u medijskom sektoru</w:t>
      </w:r>
      <w:r w:rsidRPr="00882E5D">
        <w:rPr>
          <w:rStyle w:val="FootnoteReference"/>
        </w:rPr>
        <w:footnoteReference w:id="12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Komisijin Prijedlog direktive Vijeća od 7. prosinca 2022. o standardima za tijela za jednakost u području jednakog postupanja prema osobama bez obzira na njihovo rasno ili etničko podrijetlo, jednakog postupanja u području zapošljavanja i rada prema osobama bez obzira na njihovu vjeru ili uvjerenje, invaliditet, dob ili seksualnu orijentaciju, jednakog postupanja prema ženama i muškarcima u pitanjima socijalne sigurnosti te u pristupu i nabavi robe, odnosno pružanju usluga, te o brisanju članka 13. Direktive 2000/43/EZ i članka 12. Direktive 2004/113/EZ (COM(2022)0689),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Komisijin Prijedlog uredbe Vijeća od 7. prosinca 2022. o nadležnosti, mjerodavnom pravu, priznavanju odluka i prihvaćanju javnih isprava u pitanjima roditeljstva i o uspostavi europske potvrde o roditeljstvu (COM(2022)0695),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Komisijin Prijedlog direktive Europskog parlamenta i Vijeća od 7. prosinca 2022. o standardima za tijela za jednakost u području jednakog postupanja prema ženama i muškarcima te njihovih jednakih mogućnosti u pitanjima zapošljavanja i rada te o brisanju članka 20. Direktive 2006/54/EZ i članka 11. Direktive 2010/41/EU (COM(2022)0688),</w:t>
      </w:r>
    </w:p>
    <w:p w:rsidR="007E5B29" w:rsidRPr="00882E5D" w:rsidRDefault="007E5B29" w:rsidP="007E5B29">
      <w:pPr>
        <w:pStyle w:val="NormalHanging12a"/>
      </w:pPr>
      <w:r w:rsidRPr="00882E5D">
        <w:lastRenderedPageBreak/>
        <w:t>–</w:t>
      </w:r>
      <w:r w:rsidRPr="00882E5D">
        <w:tab/>
        <w:t>uzimajući u obzir izvješća Agencije EU-a za temeljna prava (FRA), a posebno njezina izvješća o temeljnim pravima za 2022. i 2023., uključujući izvješća FRANET-a za pojedine zemlje,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Opću deklaraciju o ljudskim pravima,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instrumente UN-a za zaštitu ljudskih prava i temeljnih sloboda, uključujući Međunarodni pakt o građanskim i političkim pravima, Međunarodnu konvenciju o ukidanju svih oblika rasne diskriminacije, Konvenciju o ukidanju svih oblika diskriminacije žena i Konvenciju o pravima osoba s invaliditetom, preporuke i izvješća u okviru Univerzalnog periodičnog pregleda UN-a, sudsku praksu ugovornih tijela UN-a i posebne postupke Vijeća za ljudska prava,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Program UN-a za održivi razvoj do 2030.,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Europsku konvenciju o ljudskim pravima i sudsku praksu Europskog suda za ljudska prava, 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Konvenciju Vijeća Europe o sprečavanju i borbi protiv nasilja nad ženama i nasilja u obitelji, koja je 11. svibnja 2011. otvorena za potpisivanje u Istanbulu („</w:t>
      </w:r>
      <w:proofErr w:type="spellStart"/>
      <w:r w:rsidRPr="00882E5D">
        <w:t>Istanbulska</w:t>
      </w:r>
      <w:proofErr w:type="spellEnd"/>
      <w:r w:rsidRPr="00882E5D">
        <w:t xml:space="preserve"> konvencija”) i koju je Europska unija ratificirala 28. lipnja 2023.,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preporuke i izvješća Ureda za demokratske institucije i ljudska prava, visokog povjerenika za nacionalne manjine i drugih tijela Organizacije za europsku sigurnost i suradnju (OSCE),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izvješće Vijeća Europe od 23. ožujka 2023. naslovljeno „Human Rights </w:t>
      </w:r>
      <w:proofErr w:type="spellStart"/>
      <w:r w:rsidRPr="00882E5D">
        <w:t>Defenders</w:t>
      </w:r>
      <w:proofErr w:type="spellEnd"/>
      <w:r w:rsidRPr="00882E5D">
        <w:t xml:space="preserve"> </w:t>
      </w:r>
      <w:proofErr w:type="spellStart"/>
      <w:r w:rsidRPr="00882E5D">
        <w:t>in</w:t>
      </w:r>
      <w:proofErr w:type="spellEnd"/>
      <w:r w:rsidRPr="00882E5D">
        <w:t xml:space="preserve"> </w:t>
      </w:r>
      <w:proofErr w:type="spellStart"/>
      <w:r w:rsidRPr="00882E5D">
        <w:t>the</w:t>
      </w:r>
      <w:proofErr w:type="spellEnd"/>
      <w:r w:rsidRPr="00882E5D">
        <w:t xml:space="preserve"> </w:t>
      </w:r>
      <w:proofErr w:type="spellStart"/>
      <w:r w:rsidRPr="00882E5D">
        <w:t>Council</w:t>
      </w:r>
      <w:proofErr w:type="spellEnd"/>
      <w:r w:rsidRPr="00882E5D">
        <w:t xml:space="preserve"> </w:t>
      </w:r>
      <w:proofErr w:type="spellStart"/>
      <w:r w:rsidRPr="00882E5D">
        <w:t>of</w:t>
      </w:r>
      <w:proofErr w:type="spellEnd"/>
      <w:r w:rsidRPr="00882E5D">
        <w:t xml:space="preserve"> Europe </w:t>
      </w:r>
      <w:proofErr w:type="spellStart"/>
      <w:r w:rsidRPr="00882E5D">
        <w:t>Area</w:t>
      </w:r>
      <w:proofErr w:type="spellEnd"/>
      <w:r w:rsidRPr="00882E5D">
        <w:t xml:space="preserve"> </w:t>
      </w:r>
      <w:proofErr w:type="spellStart"/>
      <w:r w:rsidRPr="00882E5D">
        <w:t>in</w:t>
      </w:r>
      <w:proofErr w:type="spellEnd"/>
      <w:r w:rsidRPr="00882E5D">
        <w:t xml:space="preserve"> Times </w:t>
      </w:r>
      <w:proofErr w:type="spellStart"/>
      <w:r w:rsidRPr="00882E5D">
        <w:t>of</w:t>
      </w:r>
      <w:proofErr w:type="spellEnd"/>
      <w:r w:rsidRPr="00882E5D">
        <w:t xml:space="preserve"> </w:t>
      </w:r>
      <w:proofErr w:type="spellStart"/>
      <w:r w:rsidRPr="00882E5D">
        <w:t>Crises</w:t>
      </w:r>
      <w:proofErr w:type="spellEnd"/>
      <w:r w:rsidRPr="00882E5D">
        <w:t>” (Borci za ljudska prava u području Vijeća Europe u kriznim vremenima), objavljeno nakon okruglog stola s borcima za ljudska prava koji je organizirao Ured povjerenika Vijeća Europe za ljudska prava i koji je održan u Dublinu 24.–25. listopada 2022.</w:t>
      </w:r>
      <w:r w:rsidRPr="00882E5D">
        <w:rPr>
          <w:rStyle w:val="FootnoteReference"/>
        </w:rPr>
        <w:footnoteReference w:id="13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Okvirnu konvenciju Vijeća Europe za zaštitu nacionalnih manjina i Europsku povelju o regionalnim ili manjinskim jezicima,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Europsku socijalnu povelju Vijeća Europe,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izjave, preporuke i izvješća povjerenice Vijeća Europe za ljudska prava,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preporuke i izvješća Vijeća Europe, posebice Venecijanske komisije, Europske komisije protiv rasizma i netolerancije (ECRI), GREVIO-a i GRECO-a,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Rezoluciju od 13. studenoga 2018. o minimalnim standardima za manjine u EU-u</w:t>
      </w:r>
      <w:r w:rsidRPr="00882E5D">
        <w:rPr>
          <w:rStyle w:val="FootnoteReference"/>
        </w:rPr>
        <w:footnoteReference w:id="14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svoju Rezoluciju od 15. siječnja 2019. o ravnopravnosti spolova i </w:t>
      </w:r>
      <w:r w:rsidRPr="00882E5D">
        <w:lastRenderedPageBreak/>
        <w:t>politikama oporezivanja u EU-u</w:t>
      </w:r>
      <w:r w:rsidRPr="00882E5D">
        <w:rPr>
          <w:rStyle w:val="FootnoteReference"/>
        </w:rPr>
        <w:footnoteReference w:id="15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11. studenoga 2021. o jačanju demokracije te slobode i pluralizma medija u EU-u: neprikladna upotreba mjera građanskog i kaznenog prava za ušutkavanje novinara, nevladinih organizacija i civilnog društva</w:t>
      </w:r>
      <w:r w:rsidRPr="00882E5D">
        <w:rPr>
          <w:rStyle w:val="FootnoteReference"/>
        </w:rPr>
        <w:footnoteReference w:id="16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15. prosinca 2021. o evaluaciji preventivnih mjera za izbjegavanje korupcije, nepravilne potrošnje i zlouporabe sredstava EU-a i nacionalnih sredstava u slučaju kriznih fondova i rashodovnih područja povezanih s krizom</w:t>
      </w:r>
      <w:r w:rsidRPr="00882E5D">
        <w:rPr>
          <w:rStyle w:val="FootnoteReference"/>
        </w:rPr>
        <w:footnoteReference w:id="17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17. veljače 2022. s preporukama Komisiji o statutu za europska prekogranična udruženja i neprofitne organizacije</w:t>
      </w:r>
      <w:r w:rsidRPr="00882E5D">
        <w:rPr>
          <w:rStyle w:val="FootnoteReference"/>
        </w:rPr>
        <w:footnoteReference w:id="18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8. ožujka 2022. o smanjenju prostora za djelovanje civilnog društva u Europi</w:t>
      </w:r>
      <w:r w:rsidRPr="00882E5D">
        <w:rPr>
          <w:rStyle w:val="FootnoteReference"/>
        </w:rPr>
        <w:footnoteReference w:id="19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10. ožujka 2022. o vladavini prava i posljedicama presude Suda Europske unije</w:t>
      </w:r>
      <w:r w:rsidRPr="00882E5D">
        <w:rPr>
          <w:rStyle w:val="FootnoteReference"/>
        </w:rPr>
        <w:footnoteReference w:id="20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9</w:t>
      </w:r>
      <w:r w:rsidR="00990AA1">
        <w:t>.</w:t>
      </w:r>
      <w:r w:rsidRPr="00882E5D">
        <w:t> lipnja 2022. o vladavini prava i potencijalnom odobrenju poljskog nacionalnog plana za oporavak (Mehanizam za oporavak i otpornost)</w:t>
      </w:r>
      <w:r w:rsidRPr="00882E5D">
        <w:rPr>
          <w:rStyle w:val="FootnoteReference"/>
        </w:rPr>
        <w:footnoteReference w:id="21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svoju rezoluciju od 6. srpnja 2022. o </w:t>
      </w:r>
      <w:proofErr w:type="spellStart"/>
      <w:r w:rsidRPr="00882E5D">
        <w:t>intersekcijskoj</w:t>
      </w:r>
      <w:proofErr w:type="spellEnd"/>
      <w:r w:rsidRPr="00882E5D">
        <w:t xml:space="preserve"> diskriminaciji u Europskoj uniji: socioekonomski položaj žena afričkog, bliskoistočnog, latinoameričkog i azijskog podrijetla</w:t>
      </w:r>
      <w:r w:rsidRPr="00882E5D">
        <w:rPr>
          <w:rStyle w:val="FootnoteReference"/>
        </w:rPr>
        <w:footnoteReference w:id="22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15. rujna 2022. o prijedlogu odluke Vijeća o utvrđivanju, u skladu s člankom 7. stavkom 1. Ugovora o Europskoj uniji, da postoji očita opasnost da Mađarska teško prekrši vrijednosti na kojima se temelji Europska unija</w:t>
      </w:r>
      <w:r w:rsidRPr="00882E5D">
        <w:rPr>
          <w:rStyle w:val="FootnoteReference"/>
        </w:rPr>
        <w:footnoteReference w:id="23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5. listopada 2022. o položaju Roma koji žive u naseljima u EU-u</w:t>
      </w:r>
      <w:r w:rsidRPr="00882E5D">
        <w:rPr>
          <w:rStyle w:val="FootnoteReference"/>
        </w:rPr>
        <w:footnoteReference w:id="24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15. prosinca 2022. o sumnjama na korupciju od strane Katara i većoj potrebi za transparentnošću i odgovornošću u europskim institucijama</w:t>
      </w:r>
      <w:r w:rsidRPr="00882E5D">
        <w:rPr>
          <w:rStyle w:val="FootnoteReference"/>
        </w:rPr>
        <w:footnoteReference w:id="25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lastRenderedPageBreak/>
        <w:t>–</w:t>
      </w:r>
      <w:r w:rsidRPr="00882E5D">
        <w:tab/>
        <w:t>uzimajući u obzir svoju rezoluciju od 7. srpnja 2022. o odluci Vrhovnog suda SAD-a o ukidanju prava na pobačaj u Sjedinjenim Američkim Državama i potrebi za zaštitom prava na pobačaj i zdravlja žena u EU-u</w:t>
      </w:r>
      <w:r w:rsidRPr="00882E5D">
        <w:rPr>
          <w:rStyle w:val="FootnoteReference"/>
        </w:rPr>
        <w:footnoteReference w:id="26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3. svibnja 2022. o progonu manjina na temelju uvjerenja ili vjeroispovijesti</w:t>
      </w:r>
      <w:r w:rsidRPr="00882E5D">
        <w:rPr>
          <w:rStyle w:val="FootnoteReference"/>
        </w:rPr>
        <w:footnoteReference w:id="27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5. svibnja 2022. o tekućim saslušanjima u skladu s člankom 7. stavkom 1. UEU-a u pogledu Poljske i Mađarske</w:t>
      </w:r>
      <w:r w:rsidRPr="00882E5D">
        <w:rPr>
          <w:rStyle w:val="FootnoteReference"/>
        </w:rPr>
        <w:footnoteReference w:id="28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Odluku (EU) 2023/325 od 18. listopada 2022. o razrješnici za izvršenje proračuna Agencije za europsku graničnu i obalnu stražu za financijsku godinu 2020.</w:t>
      </w:r>
      <w:r w:rsidRPr="00882E5D">
        <w:rPr>
          <w:vertAlign w:val="superscript"/>
        </w:rPr>
        <w:footnoteReference w:id="29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Rezoluciju od 20. listopada 2022. o rastućem broju zločina iz mržnje protiv LGBTIQ+ osoba diljem Europe u svjetlu nedavnog homofobnog ubojstva u Slovačkoj</w:t>
      </w:r>
      <w:r w:rsidRPr="00882E5D">
        <w:rPr>
          <w:vertAlign w:val="superscript"/>
        </w:rPr>
        <w:footnoteReference w:id="30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Rezoluciju od 10. studenoga 2022. o rasnoj pravdi, nediskriminaciji i borbi protiv rasizma u EU-u</w:t>
      </w:r>
      <w:r w:rsidRPr="00882E5D">
        <w:rPr>
          <w:rStyle w:val="FootnoteReference"/>
        </w:rPr>
        <w:footnoteReference w:id="31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Rezoluciju od 13. prosinca 2022. o jednakim mogućnostima osoba s invaliditetom</w:t>
      </w:r>
      <w:r w:rsidRPr="00882E5D">
        <w:rPr>
          <w:vertAlign w:val="superscript"/>
        </w:rPr>
        <w:footnoteReference w:id="32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 xml:space="preserve">uzimajući u obzir svoju rezoluciju od 19. travnja 2023. o borbi protiv diskriminacije u EU-u – </w:t>
      </w:r>
      <w:proofErr w:type="spellStart"/>
      <w:r w:rsidRPr="00882E5D">
        <w:t>dugoočekivana</w:t>
      </w:r>
      <w:proofErr w:type="spellEnd"/>
      <w:r w:rsidRPr="00882E5D">
        <w:t xml:space="preserve"> horizontalna direktiva o suzbijanju diskriminacije</w:t>
      </w:r>
      <w:r w:rsidRPr="00882E5D">
        <w:rPr>
          <w:rStyle w:val="FootnoteReference"/>
        </w:rPr>
        <w:footnoteReference w:id="33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svoje stajalište od 10. svibnja 2023. o Nacrtu odluke Vijeća o sklapanju, od strane Europske unije, Konvencije Vijeća Europe o sprečavanju i borbi protiv nasilja nad ženama i nasilja u obitelji u odnosu na institucije i javnu upravu Unije</w:t>
      </w:r>
      <w:r w:rsidRPr="00882E5D">
        <w:rPr>
          <w:rStyle w:val="FootnoteReference"/>
        </w:rPr>
        <w:footnoteReference w:id="34"/>
      </w:r>
      <w:r w:rsidRPr="00882E5D">
        <w:t xml:space="preserve"> kao i u odnosu na pitanja povezana s pravosudnom suradnjom u kaznenim stvarima, azil i zabranu prisilnog udaljenja ili vraćanja,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11. svibnja 2023. o primjerenosti zaštite koju pruža okvir EU-a i SAD-a za zaštitu podataka</w:t>
      </w:r>
      <w:r w:rsidRPr="00882E5D">
        <w:rPr>
          <w:rStyle w:val="FootnoteReference"/>
          <w:szCs w:val="24"/>
        </w:rPr>
        <w:footnoteReference w:id="35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izvješće i preporuku od 22. svibnja 2023. o ispitivanju navodnih kršenja i nepravilnosti u primjeni prava Unije u pogledu uporabe </w:t>
      </w:r>
      <w:proofErr w:type="spellStart"/>
      <w:r w:rsidRPr="00882E5D">
        <w:t>Pegasusa</w:t>
      </w:r>
      <w:proofErr w:type="spellEnd"/>
      <w:r w:rsidRPr="00882E5D">
        <w:t xml:space="preserve"> i ekvivalentnog špijunskog softvera za nadzor,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 xml:space="preserve">uzimajući u obzir svoju Rezoluciju od 1. lipnja 2023. o povredama vladavine prava i </w:t>
      </w:r>
      <w:r w:rsidRPr="00882E5D">
        <w:lastRenderedPageBreak/>
        <w:t>temeljnih prava u Mađarskoj i zamrznutim sredstvima EU-a</w:t>
      </w:r>
      <w:r w:rsidRPr="00882E5D">
        <w:rPr>
          <w:rStyle w:val="FootnoteReference"/>
        </w:rPr>
        <w:footnoteReference w:id="36"/>
      </w:r>
      <w:r w:rsidRPr="00882E5D">
        <w:t>,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–</w:t>
      </w:r>
      <w:r w:rsidRPr="00882E5D">
        <w:tab/>
        <w:t>uzimajući u obzir svoju rezoluciju od 13. srpnja 2023. o javnom pristupu dokumentima – godišnja izvješća za razdoblje 2019. – 2021.</w:t>
      </w:r>
      <w:r w:rsidRPr="00882E5D">
        <w:rPr>
          <w:rStyle w:val="FootnoteReference"/>
        </w:rPr>
        <w:footnoteReference w:id="37"/>
      </w:r>
      <w:r w:rsidRPr="00882E5D">
        <w:t xml:space="preserve">, 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svoju Rezoluciju od 4. listopada 2023. o segregaciji i diskriminaciji romske djece u obrazovnom sustavu</w:t>
      </w:r>
      <w:r w:rsidRPr="00882E5D">
        <w:rPr>
          <w:rStyle w:val="FootnoteReference"/>
        </w:rPr>
        <w:footnoteReference w:id="38"/>
      </w:r>
      <w:r w:rsidRPr="00882E5D">
        <w:t>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članak 54. Poslovnika,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mišljenje Odbora za ustavna pitanja,</w:t>
      </w:r>
    </w:p>
    <w:p w:rsidR="007E5B29" w:rsidRPr="00882E5D" w:rsidRDefault="007E5B29" w:rsidP="007E5B29">
      <w:pPr>
        <w:pStyle w:val="NormalHanging12a"/>
      </w:pPr>
      <w:r w:rsidRPr="00882E5D">
        <w:t>–</w:t>
      </w:r>
      <w:r w:rsidRPr="00882E5D">
        <w:tab/>
        <w:t>uzimajući u obzir izvješće Odbora za građanske slobode, pravosuđe i unutarnje poslove (A9</w:t>
      </w:r>
      <w:r w:rsidRPr="00882E5D">
        <w:noBreakHyphen/>
        <w:t>0376/2023),</w:t>
      </w:r>
    </w:p>
    <w:p w:rsidR="007E5B29" w:rsidRPr="00882E5D" w:rsidRDefault="007E5B29" w:rsidP="007E5B29">
      <w:pPr>
        <w:pStyle w:val="NormalHanging12a"/>
      </w:pPr>
      <w:r w:rsidRPr="00882E5D">
        <w:t>A.</w:t>
      </w:r>
      <w:r w:rsidRPr="00882E5D">
        <w:tab/>
        <w:t>budući da se EU temelji na vrijednostima poštovanja ljudskog dostojanstva, slobode, demokracije, jednakosti, vladavine prava i ljudskih prava, uključujući prava pripadnika manjina, kako se navodi u članku 2. UEU-a i u Povelji, i koje su uvrštene u međunarodne sporazume o ljudskim pravima; budući da bi te vrijednosti trebali dijeliti i poštovati EU i države članice te ih aktivno promicati u svojem unutarnjem i vanjskom djelovanju; budući da je proteklih godina došlo do zabrinjavajućeg pada poštovanja tih vrijednosti u nekim državama članicama;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B.</w:t>
      </w:r>
      <w:r w:rsidRPr="00882E5D">
        <w:tab/>
        <w:t>budući da su demokracija, vladavina prava i temeljna prava vrijednosti koje se međusobno nadopunjuju i čije ugrožavanje predstavlja sustavnu prijetnju za Uniju i prava i slobode svih ljudi u EU-u; budući da je poštovanje vladavine prava obvezujuće za Uniju u cjelini i njezine države članice na svim razinama upravljanja;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C.</w:t>
      </w:r>
      <w:r w:rsidRPr="00882E5D">
        <w:tab/>
        <w:t>budući da su slobodni, neovisni i transparentni izbori stup demokracije;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D.</w:t>
      </w:r>
      <w:r w:rsidRPr="00882E5D">
        <w:tab/>
        <w:t>budući da sve veće širenje dezinformacija predstavlja prijetnju demokratskom funkcioniranju Unije; budući da je smanjenje manipulacije informacijama u javnom interesu; budući da dezinformacije smanjuju sposobnost građana i stanovnika EU-a da donose informirane odluke i slobodno sudjeluju u demokratskim procesima; budući da su neovisni i pluralistički mediji snažan alat u borbi protiv dezinformacija;</w:t>
      </w:r>
    </w:p>
    <w:p w:rsidR="007E5B29" w:rsidRPr="00882E5D" w:rsidRDefault="007E5B29" w:rsidP="007E5B29">
      <w:pPr>
        <w:pStyle w:val="NormalHanging12a"/>
      </w:pPr>
      <w:r w:rsidRPr="00882E5D">
        <w:t>E.</w:t>
      </w:r>
      <w:r w:rsidRPr="00882E5D">
        <w:tab/>
        <w:t xml:space="preserve">budući da su sloboda, pluralizam i neovisnost medija te sigurnost novinara ključne sastavnice prava na slobodu izražavanja i informacije te su presudni za demokratsko funkcioniranje EU-a i njegovih država članica; budući da su proteklih godina novinari i drugi medijski akteri u mnogim državama članicama i inozemstvu sve više izloženi prijetnjama, nepotrebnom pritisku, zastrašivanju, nasilju i drugim oblicima upletanja u rad, posebno kada je riječ o zlouporabi moći, korupciji, kršenju temeljnih prava i kriminalnim radnjama; budući da su strateške tužbe protiv javnog sudjelovanja i dalje važan problem u cijelom EU-u; budući da zabrinjavajuća situacija u pogledu prijetnji i napada nije isključivo ograničena na profesionalne novinare i druge tradicionalne medijske aktere; budući da je definicija medijskih aktera proširena kao rezultat pojave novih oblika medija u digitalnom dobu te stoga uključuje druge osobe koje pridonose javnoj raspravi i koje obavljaju novinarske aktivnosti ili ispunjavaju funkcije javnog </w:t>
      </w:r>
      <w:r w:rsidRPr="00882E5D">
        <w:lastRenderedPageBreak/>
        <w:t>nadzora;</w:t>
      </w:r>
    </w:p>
    <w:p w:rsidR="007E5B29" w:rsidRPr="00882E5D" w:rsidRDefault="007E5B29" w:rsidP="00C9294C">
      <w:pPr>
        <w:spacing w:after="240"/>
        <w:ind w:left="567" w:hanging="567"/>
      </w:pPr>
      <w:r w:rsidRPr="00882E5D">
        <w:t>F.</w:t>
      </w:r>
      <w:r w:rsidRPr="00882E5D">
        <w:tab/>
        <w:t xml:space="preserve">budući da su se vladina tijela u nekim državama članicama i zemljama izvan EU-a koristila </w:t>
      </w:r>
      <w:proofErr w:type="spellStart"/>
      <w:r w:rsidRPr="00882E5D">
        <w:t>Pegasusom</w:t>
      </w:r>
      <w:proofErr w:type="spellEnd"/>
      <w:r w:rsidRPr="00882E5D">
        <w:t xml:space="preserve"> i drugim špijunskim softverom za nadzor protiv novinara, političara, službenika odgovornih za kazneni progon, diplomata, odvjetnika, poduzetnika, aktera civilnog društva i drugih aktera, u političke, pa čak i kriminalne svrhe; budući da su takve prakse iznimno zabrinjavajuće te da pokazuju rizik od zlouporabe nadzornih tehnologija za ugrožavanje temeljnih prava, demokracije i izbornih procesa; </w:t>
      </w:r>
    </w:p>
    <w:p w:rsidR="007E5B29" w:rsidRPr="00882E5D" w:rsidRDefault="007E5B29" w:rsidP="007E5B29">
      <w:pPr>
        <w:pStyle w:val="NormalHanging12a"/>
      </w:pPr>
      <w:r w:rsidRPr="00882E5D">
        <w:t>G.</w:t>
      </w:r>
      <w:r w:rsidRPr="00882E5D">
        <w:tab/>
        <w:t>budući da je korupcija teška prijetnja demokraciji i vladavini prava; budući da postoje trajne i teške zabrinutosti u vezi s borbom protiv korupcije u nekim državama članicama; budući da su mehanizmi za sprečavanje korupcije slabi u nekoliko država članica, a manjak zaštite zviždača i dalje je vrlo rasprostranjen nedostatak; budući da je cilj Uredbe o uvjetovanosti u pogledu vladavine prava zaštititi proračun Unije od kršenjâ načelâ vladavine prava;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H.</w:t>
      </w:r>
      <w:r w:rsidRPr="00882E5D">
        <w:tab/>
        <w:t xml:space="preserve">budući da se novinari, medijske kuće i </w:t>
      </w:r>
      <w:proofErr w:type="spellStart"/>
      <w:r w:rsidRPr="00882E5D">
        <w:t>blogeri</w:t>
      </w:r>
      <w:proofErr w:type="spellEnd"/>
      <w:r w:rsidRPr="00882E5D">
        <w:t>, borci za ljudska prava te organizacije civilnog društva, aktivisti, sindikati, umjetnici, istraživači, zviždači i političari sve više suočavaju s prijetnjama, uznemiravanjem i drugim oblicima zastrašivanja zbog svojeg javnog sudjelovanja;</w:t>
      </w:r>
    </w:p>
    <w:p w:rsidR="007E5B29" w:rsidRPr="00882E5D" w:rsidRDefault="007E5B29" w:rsidP="007E5B29">
      <w:pPr>
        <w:pStyle w:val="NormalHanging12a"/>
      </w:pPr>
      <w:r w:rsidRPr="00882E5D">
        <w:t>I.</w:t>
      </w:r>
      <w:r w:rsidRPr="00882E5D">
        <w:tab/>
        <w:t>budući da je neovisnost pravosuđa – kao temeljan zahtjev za demokratsko načelo diobe vlasti koji je od središnje važnosti kako bi se zajamčilo poštovanje temeljnih prava – izložena ozbiljnim prijetnjama ili se čak u strukturnom smislu narušava u sve većem broju država članica;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J.</w:t>
      </w:r>
      <w:r w:rsidRPr="00882E5D">
        <w:tab/>
        <w:t>budući da je Sud podsjetio</w:t>
      </w:r>
      <w:r w:rsidRPr="00882E5D">
        <w:rPr>
          <w:vertAlign w:val="superscript"/>
        </w:rPr>
        <w:footnoteReference w:id="39"/>
      </w:r>
      <w:r w:rsidRPr="00882E5D">
        <w:t xml:space="preserve"> da je pravo na slobodu udruživanja sadržano u članku 12. stavku 1. Povelje jedna od ključnih osnova demokratskog i pluralističkog društva jer omogućava ljudima u EU-u da zajednički djeluju u područjima od zajedničkog interesa te da na taj način pridonose pravilnom funkcioniranju javnog života; budući da su u nekim državama članicama prijavljeni sve češći napadi na pravo na okupljanje i udruživanje putem nerazmjerne primjene sile nad mirnim prosvjednicima, uključujući i fizičko nasilje nad prosvjednicima;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K.</w:t>
      </w:r>
      <w:r w:rsidRPr="00882E5D">
        <w:tab/>
        <w:t xml:space="preserve">budući da su neke države članice nametnule ograničenja kako bi namjerno ograničile prostor za građansko djelovanje; budući da u mnogim državama članicama prostoru za građansko djelovanje prijeti pravno, administrativno i fiskalno uznemiravanje, kriminalizacija i negativna retorika usmjerena na stigmatizaciju i </w:t>
      </w:r>
      <w:proofErr w:type="spellStart"/>
      <w:r w:rsidRPr="00882E5D">
        <w:t>delegitimiziranje</w:t>
      </w:r>
      <w:proofErr w:type="spellEnd"/>
      <w:r w:rsidRPr="00882E5D">
        <w:t xml:space="preserve"> organizacija civilnog društva, aktivista i boraca za ljudska prava te iscrpljivanje njihovih kapaciteta za obavljanje posla;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L.</w:t>
      </w:r>
      <w:r w:rsidRPr="00882E5D">
        <w:tab/>
        <w:t xml:space="preserve">budući da je povjerenik Vijeća Europe za ljudska prava u ožujku 2023. ocijenio da se položaj boraca za ljudska prava u Europi alarmantno pogoršao i da su vlade sve više sklone odbacivanju svojih obveza u pogledu ljudskih prava, dajući prednost pitanjima nacionalne sigurnosti i javne sigurnosti u odnosu na ljudska prava; budući da je povjerenik izvijestio o sve većim ograničenjima njihove mogućnosti slobodnog i sigurnog rada te o raznim oblicima protumjera, uključujući sudsko uznemiravanje, </w:t>
      </w:r>
      <w:r w:rsidRPr="00882E5D">
        <w:lastRenderedPageBreak/>
        <w:t>progon, zlouporabu kontrole i nadzora, kampanje ocrnjivanja, prijetnje i zastrašivanje u državama članicama i susjednim zemljama; budući da izostanak učinkovitih istraga kršenja koja su počinili državni i nedržavni akteri protiv boraca za ljudska prava i dalje izaziva golemu zabrinutost; budući da se time podriva demokracija te je to dio šireg problema polarizacije u društvu koji karakterizira povećano izražavanje mržnje i nasilje protiv raznih društvenih skupina ili manjina;</w:t>
      </w:r>
    </w:p>
    <w:p w:rsidR="007E5B29" w:rsidRPr="00882E5D" w:rsidRDefault="007E5B29" w:rsidP="007E5B29">
      <w:pPr>
        <w:pStyle w:val="NormalHanging12a"/>
      </w:pPr>
      <w:r w:rsidRPr="00882E5D">
        <w:t>M.</w:t>
      </w:r>
      <w:r w:rsidRPr="00882E5D">
        <w:tab/>
        <w:t>budući da se na europskim granicama dogodilo više slučajeva smrti migranata i kršenja ljudskih prava zbog nedjelotvornog upravljanja i nerazmjerne uporabe sile od strane tijela vlasti; budući da se sve veća količina tehnologije, uključujući umjetnu inteligenciju, upotrebljava za praćenje migranata na vanjskim i unutarnjim granicama EU-a; budući da kriminalizacija nevladinih organizacija ili bilo kojih drugih nedržavnih aktera koji provode operacije traganja i spašavanja poštujući relevantni pravni okvir predstavlja kršenje međunarodnog prava</w:t>
      </w:r>
      <w:r w:rsidRPr="00882E5D">
        <w:rPr>
          <w:vertAlign w:val="superscript"/>
        </w:rPr>
        <w:footnoteReference w:id="40"/>
      </w:r>
      <w:r w:rsidRPr="00882E5D">
        <w:t xml:space="preserve"> te stoga nije dopuštena pravom EU-a; budući da je Sud podsjetio da državljani zemalja izvan EU-a mogu biti zatvoreni samo ako postoji konkretna pravna osnova za ograničavanje njihova prava na slobodu, a ne ako postoji samo opći kriterij</w:t>
      </w:r>
      <w:r w:rsidRPr="00882E5D">
        <w:rPr>
          <w:vertAlign w:val="superscript"/>
        </w:rPr>
        <w:footnoteReference w:id="41"/>
      </w:r>
      <w:r w:rsidRPr="00882E5D">
        <w:t>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N.</w:t>
      </w:r>
      <w:r w:rsidRPr="00882E5D">
        <w:tab/>
        <w:t>budući da je broj smrtnih slučajeva na europskim morskim granicama u 2022. neznatno pao u odnosu na 2021., ali je i dalje ostao veći u odnosu na tri godine prije 2021.</w:t>
      </w:r>
      <w:r w:rsidRPr="00882E5D">
        <w:rPr>
          <w:vertAlign w:val="superscript"/>
        </w:rPr>
        <w:footnoteReference w:id="42"/>
      </w:r>
      <w:r w:rsidRPr="00882E5D">
        <w:t>; budući da je do najvećeg broja smrtnih slučajeva došlo u središnjem dijelu Sredozemnog mora, pokraj obala sjeverne Afrike</w:t>
      </w:r>
      <w:r w:rsidRPr="00882E5D">
        <w:rPr>
          <w:vertAlign w:val="superscript"/>
        </w:rPr>
        <w:footnoteReference w:id="43"/>
      </w:r>
      <w:r w:rsidRPr="00882E5D">
        <w:t xml:space="preserve">;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O.</w:t>
      </w:r>
      <w:r w:rsidRPr="00882E5D">
        <w:tab/>
        <w:t xml:space="preserve">budući da je o </w:t>
      </w:r>
      <w:proofErr w:type="spellStart"/>
      <w:r w:rsidRPr="00882E5D">
        <w:t>Frontexu</w:t>
      </w:r>
      <w:proofErr w:type="spellEnd"/>
      <w:r w:rsidRPr="00882E5D">
        <w:t xml:space="preserve"> provedeno nekoliko izvješća i istraga o pitanjima povezanima s temeljnim pravima, uključujući izvješća Europskog ureda za borbu protiv prijevara (OLAF) i Europskog </w:t>
      </w:r>
      <w:proofErr w:type="spellStart"/>
      <w:r w:rsidRPr="00882E5D">
        <w:t>ombudsmana</w:t>
      </w:r>
      <w:proofErr w:type="spellEnd"/>
      <w:r w:rsidRPr="00882E5D">
        <w:t xml:space="preserve">; budući da je bivši direktor </w:t>
      </w:r>
      <w:proofErr w:type="spellStart"/>
      <w:r w:rsidRPr="00882E5D">
        <w:t>Frontexa</w:t>
      </w:r>
      <w:proofErr w:type="spellEnd"/>
      <w:r w:rsidRPr="00882E5D">
        <w:t xml:space="preserve"> u travnju 2022. podnio ostavku na tu poziciju; budući da sve agencije EU-a moraju poštovati temeljna prava i snositi odgovornost u slučajevima da dođe do kršenja temeljnih prava;</w:t>
      </w:r>
    </w:p>
    <w:p w:rsidR="007E5B29" w:rsidRPr="00882E5D" w:rsidRDefault="007E5B29" w:rsidP="007E5B29">
      <w:pPr>
        <w:pStyle w:val="NormalHanging12a"/>
      </w:pPr>
      <w:r w:rsidRPr="00882E5D">
        <w:t>P.</w:t>
      </w:r>
      <w:r w:rsidRPr="00882E5D">
        <w:tab/>
        <w:t>budući da se proteklih godina bilježi organizirani otpor pravima žena i djevojčica; budući da je u nekim državama članicama došlo do pokušaja daljnjeg smanjenja spolnog i reproduktivnog zdravlja i prava, primjerice u pogledu postojeće pravne zaštita za pristupa žena skrbi u vezi s pobačajem; budući da je posljednjih godina uskraćivanje pristupa sigurnom i zakonitom pobačaju u nekim državama članicama dovelo do smrti više žena; budući da je raširenost rodno uvjetovanog nasilja, uključujući seksualno nasilje i silovanje, diljem EU-a i dalje visoka; budući da neke države članice još uvijek nisu ratificirale Konvenciju Vijeća Europe o sprečavanju i borbi protiv nasilja nad ženama i nasilja u obitelji (</w:t>
      </w:r>
      <w:proofErr w:type="spellStart"/>
      <w:r w:rsidRPr="00882E5D">
        <w:t>Istanbulska</w:t>
      </w:r>
      <w:proofErr w:type="spellEnd"/>
      <w:r w:rsidRPr="00882E5D">
        <w:t xml:space="preserve"> konvencija); budući da su pokreti koji se zalažu protiv promicanja i pružanja spolnog odgoja u porastu u EU-u;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lastRenderedPageBreak/>
        <w:t>Q.</w:t>
      </w:r>
      <w:r w:rsidRPr="00882E5D">
        <w:tab/>
        <w:t>budući da je rodno uvjetovano nasilje i uzrok i posljedica strukturnih nejednakosti koje su ukorijenjene u rodnim stereotipima i asimetrijama moći, uključujući u privatnoj, socijalnoj, javnoj i gospodarskoj sferi;</w:t>
      </w:r>
    </w:p>
    <w:p w:rsidR="007E5B29" w:rsidRPr="00882E5D" w:rsidRDefault="007E5B29" w:rsidP="007E5B29">
      <w:pPr>
        <w:pStyle w:val="NormalHanging12a"/>
      </w:pPr>
      <w:r w:rsidRPr="00882E5D">
        <w:t>R.</w:t>
      </w:r>
      <w:r w:rsidRPr="00882E5D">
        <w:tab/>
        <w:t xml:space="preserve">budući da podaci iz istraživanja Agencije Europske unije za temeljna prava pokazuju da je raširenost diskriminacije na temelju rasnog ili etničkog podrijetla ili vjerskih uvjerenja (uključujući Rome, Muslimane, Židove i osobe afričkog podrijetla) i dalje dosljedno visoka, kako tijekom vremena tako i među različitim skupinama stanovništva, posebno pojedinaca u ranjivom socioekonomskom položaju, u različitim državama članicama; budući da se rasne i etničke manjine suočavaju sa sustavnim rasizmom, zločinima iz mržnje i govorom mržnje, nedostatkom pristupa pravdi i stalnim socioekonomskim nejednakostima u područjima kao što su stanovanje, zdravstvena skrb, zapošljavanje i obrazovanje, koje treba uzeti u obzir kao glavne prepreke potpunom uživanju temeljnih prava i kao ključnu prepreku uključenosti i ravnopravnosti; budući da su antisemitizam, </w:t>
      </w:r>
      <w:proofErr w:type="spellStart"/>
      <w:r w:rsidRPr="00882E5D">
        <w:t>antiromizam</w:t>
      </w:r>
      <w:proofErr w:type="spellEnd"/>
      <w:r w:rsidRPr="00882E5D">
        <w:t xml:space="preserve">, </w:t>
      </w:r>
      <w:proofErr w:type="spellStart"/>
      <w:r w:rsidRPr="00882E5D">
        <w:t>islamofobija</w:t>
      </w:r>
      <w:proofErr w:type="spellEnd"/>
      <w:r w:rsidRPr="00882E5D">
        <w:t xml:space="preserve"> i rasizam stalno prisutni oblici mržnje i diskriminacije; budući da je ekstremizam krajnje desnice posebna prijetnja osobama na koje utječe diskriminacija i društvu u cjelini; budući da, prema Agenciji Europske unije za temeljna prava, postoje indikacije o sustavnom rasizmu u EU-u, uključujući u okviru izvršavanja zakonodavstva; budući da se </w:t>
      </w:r>
      <w:proofErr w:type="spellStart"/>
      <w:r w:rsidRPr="00882E5D">
        <w:t>intersekcijska</w:t>
      </w:r>
      <w:proofErr w:type="spellEnd"/>
      <w:r w:rsidRPr="00882E5D">
        <w:t xml:space="preserve"> diskriminacija mora uzeti u obzir u politikama i mjerama za borbu protiv rasizma i diskriminacije;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S.</w:t>
      </w:r>
      <w:r w:rsidRPr="00882E5D">
        <w:tab/>
        <w:t xml:space="preserve">budući da se osobe s invaliditetom koje žive u EU-u i dalje suočavaju s diskriminacijom, uključujući uskraćivanje odgovarajućeg smještaja, uznemiravanje te višestruke i </w:t>
      </w:r>
      <w:proofErr w:type="spellStart"/>
      <w:r w:rsidRPr="00882E5D">
        <w:t>intersekcijske</w:t>
      </w:r>
      <w:proofErr w:type="spellEnd"/>
      <w:r w:rsidRPr="00882E5D">
        <w:t xml:space="preserve"> oblike diskriminacije u svim područjima svog života, uključujući socioekonomski nepovoljni položaj, društvenu izolaciju, zlostavljanje i nasilje, uključujući rodno uvjetovano nasilje, prisilnu sterilizaciju i pobačaj, pomanjkanje pristupa uslugama u zajednici, nekvalitetno stanovanje, institucionalizaciju, neodgovarajuću zdravstvenu skrb i uskraćivanje mogućnosti aktivnog sudjelovanja u društvu;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T.</w:t>
      </w:r>
      <w:r w:rsidRPr="00882E5D">
        <w:tab/>
        <w:t>budući da znatan udio osoba romskog podrijetla</w:t>
      </w:r>
      <w:r w:rsidRPr="00882E5D">
        <w:rPr>
          <w:vertAlign w:val="superscript"/>
        </w:rPr>
        <w:footnoteReference w:id="44"/>
      </w:r>
      <w:r w:rsidRPr="00882E5D">
        <w:t xml:space="preserve"> u Europi živi u izrazito nesigurnim uvjetima, kako u ruralnim tako i u urbanim područjima, te u vrlo lošim socioekonomskim okolnostima; budući da je većina romskog stanovništva uskraćena za svoja temeljna ljudska prava u svim područjima života; budući da se u nekim državama članicama djeca i dalje stavljaju u segregirane škole te postoji diskriminirajuća praksa stavljanja djece etničkih i rasnih manjina u škole za djecu s mentalnim poteškoćama;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U.</w:t>
      </w:r>
      <w:r w:rsidRPr="00882E5D">
        <w:tab/>
        <w:t xml:space="preserve">budući da je stalni trend sve veće diskriminacije LGBTIQ+ osoba i boraca za prava LGBTIQ+ osoba, govora mržnje i nasilja protiv njih i dalje prisutan diljem EU-a; budući da se LGBTIQ+ osobe i dalje suočavaju s diskriminacijom i isključivanjem u nekoliko država članica u pogledu socijalne zaštite, socijalne sigurnosti, pristupa zdravstvenoj skrbi, obrazovanju, pravnoj zaštiti te pristupa robi i drugim uslugama koje su dostupne javnosti, kao i opskrbi njima, između ostaloga stanovanju; budući da se sudska praksa Suda Europske unije kojom se štite socijalna prava i privatni život </w:t>
      </w:r>
      <w:proofErr w:type="spellStart"/>
      <w:r w:rsidRPr="00882E5D">
        <w:t>istospolnih</w:t>
      </w:r>
      <w:proofErr w:type="spellEnd"/>
      <w:r w:rsidRPr="00882E5D">
        <w:t xml:space="preserve"> parova i djece </w:t>
      </w:r>
      <w:proofErr w:type="spellStart"/>
      <w:r w:rsidRPr="00882E5D">
        <w:t>istospolnih</w:t>
      </w:r>
      <w:proofErr w:type="spellEnd"/>
      <w:r w:rsidRPr="00882E5D">
        <w:t xml:space="preserve"> roditelja ne provodi, kao što je predmet </w:t>
      </w:r>
      <w:proofErr w:type="spellStart"/>
      <w:r w:rsidRPr="00882E5D">
        <w:t>Coman</w:t>
      </w:r>
      <w:proofErr w:type="spellEnd"/>
      <w:r w:rsidRPr="00882E5D">
        <w:t xml:space="preserve"> </w:t>
      </w:r>
      <w:r w:rsidRPr="00882E5D">
        <w:lastRenderedPageBreak/>
        <w:t xml:space="preserve">(C-673/16) i predmet bebe Sare (C-490/20); budući da se operacije i medicinski zahvati obavljaju na </w:t>
      </w:r>
      <w:proofErr w:type="spellStart"/>
      <w:r w:rsidRPr="00882E5D">
        <w:t>interseksualnoj</w:t>
      </w:r>
      <w:proofErr w:type="spellEnd"/>
      <w:r w:rsidRPr="00882E5D">
        <w:t xml:space="preserve"> djeci bez njihova prethodnog osobnog, punog i informiranog pristanka; budući da genitalno sakaćenje </w:t>
      </w:r>
      <w:proofErr w:type="spellStart"/>
      <w:r w:rsidRPr="00882E5D">
        <w:t>interseksualnih</w:t>
      </w:r>
      <w:proofErr w:type="spellEnd"/>
      <w:r w:rsidRPr="00882E5D">
        <w:t xml:space="preserve"> osoba može imati doživotne posljedice kao što su psihološke traume i fizička oštećenja;</w:t>
      </w:r>
    </w:p>
    <w:p w:rsidR="007E5B29" w:rsidRPr="00882E5D" w:rsidRDefault="007E5B29" w:rsidP="007E5B29">
      <w:pPr>
        <w:pStyle w:val="NormalHanging12a"/>
      </w:pPr>
      <w:r w:rsidRPr="00882E5D">
        <w:t>V.</w:t>
      </w:r>
      <w:r w:rsidRPr="00882E5D">
        <w:tab/>
        <w:t>budući da se u proteklih nekoliko godina</w:t>
      </w:r>
      <w:r w:rsidRPr="00882E5D">
        <w:rPr>
          <w:vertAlign w:val="superscript"/>
        </w:rPr>
        <w:footnoteReference w:id="45"/>
      </w:r>
      <w:r w:rsidRPr="00882E5D">
        <w:t xml:space="preserve"> u EU-u bilježi stalan porast zločina iz mržnje i incidenata povezanih s govorom mržnje, što je najvećim dijelom posljedica povećanja broja korisnika društvenih mreža i činjenice da govor mrže cvjeta na internetu; budući da poslovni model platforma društvenih medija, temeljen na </w:t>
      </w:r>
      <w:proofErr w:type="spellStart"/>
      <w:r w:rsidRPr="00882E5D">
        <w:t>mikrociljanom</w:t>
      </w:r>
      <w:proofErr w:type="spellEnd"/>
      <w:r w:rsidRPr="00882E5D">
        <w:t xml:space="preserve"> oglašavanju, ima ulogu u širenju i pojačavanju govora mržnje kojim se potiče diskriminacija i nasilje; budući da su obrazovni sustavi ključni za pružanje digitalnog obrazovanja, pismenosti i vještina čime se promiče razumijevanje korisnika o digitalnim tehnologijama, prevladavanje nejednakosti, poboljšanje digitalne uključenosti te osnaživanje i zaštita pojedinaca i njihovih prava, uz isticanje njihovih odgovornosti; budući da govor mržnje može dovesti do zločina iz mržnje; budući da prema podacima FRA-e čak do devet od deset zločina iz mržnje i napada motiviranih mržnjom u EU-u nije prijavljeno i stoga nije sankcionirano;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W.</w:t>
      </w:r>
      <w:r w:rsidRPr="00882E5D">
        <w:tab/>
        <w:t>budući da se člankom 21. Povelje zabranjuje svaka diskriminacija na osnovi jezika ili pripadnosti nacionalnoj manjini; budući da se člankom 22. te povelje jamči poštovanje jezične raznolikosti;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X.</w:t>
      </w:r>
      <w:r w:rsidRPr="00882E5D">
        <w:tab/>
        <w:t>budući da se EU temelji na promicanju socijalnih, kulturnih i gospodarskih prava; budući da je broj osoba koje žive u siromaštvu u EU-u velik, pri čemu je više od jednog od petero djece u opasnosti od siromaštva, a gotovo jedan od četiriju Europljana u opasnosti od siromaštva ili društvene isključenosti; budući da ciklus siromaštva pogoršava druge nejednakosti kao što su pristup obrazovanju, cjenovno pristupačno stanovanje, zdravstvena skrb i zapošljavanje; budući da su energetska kriza i inflacija dovele do porasta broja osoba pogođenih nesigurnošću, siromaštvom i društvenom isključenosti; budući da se članak 151. UFEU-a odnosi na temeljna socijalna prava kao što su ona utvrđena u Europskoj socijalnoj povelji; budući da su europski stup socijalnih prava i provedba njegova akcijskog plana ključni mehanizmi za uključivanje socijalnih prioriteta u sve politike EU-a i služe kao smjernica za stvarnu primjenu njegovih 20 načela;</w:t>
      </w:r>
    </w:p>
    <w:p w:rsidR="007E5B29" w:rsidRPr="00882E5D" w:rsidRDefault="007E5B29" w:rsidP="007E5B29">
      <w:pPr>
        <w:pStyle w:val="NormalHanging12a"/>
      </w:pPr>
      <w:r w:rsidRPr="00882E5D">
        <w:t>Y.</w:t>
      </w:r>
      <w:r w:rsidRPr="00882E5D">
        <w:tab/>
        <w:t>budući da je EU prema članku 6. stavku 2. UEU-a obvezan pristupiti Europskoj konvenciji o ljudskim pravima te da je to i dalje jedan od najvažnijih prioriteta;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Z.</w:t>
      </w:r>
      <w:r w:rsidRPr="00882E5D">
        <w:tab/>
        <w:t>budući da institucije i tijela država članica i EU-a, uključujući Sud, Agenciju EU-a za temeljna prava (FRA) i Ured europskog javnog tužitelja (EPPO), imaju ključnu ulogu u očuvanju vrijednosti EU-a i jamčenju poštovanja temeljnih prava;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AA.</w:t>
      </w:r>
      <w:r w:rsidRPr="00882E5D">
        <w:tab/>
        <w:t xml:space="preserve">budući da je Europska </w:t>
      </w:r>
      <w:proofErr w:type="spellStart"/>
      <w:r w:rsidRPr="00882E5D">
        <w:t>ombudsmanica</w:t>
      </w:r>
      <w:proofErr w:type="spellEnd"/>
      <w:r w:rsidRPr="00882E5D">
        <w:t xml:space="preserve"> provela istragu o razmjeni privatnih poruka i poziva povezanih s nabavom cjepiva protiv bolesti COVID-19 između predsjednice Komisije i glavnog izvršnog direktora Pfizera, koje je Komisija naknadno odbila objaviti; budući da je u srpnju 2022. Europska </w:t>
      </w:r>
      <w:proofErr w:type="spellStart"/>
      <w:r w:rsidRPr="00882E5D">
        <w:t>ombudsmanica</w:t>
      </w:r>
      <w:proofErr w:type="spellEnd"/>
      <w:r w:rsidRPr="00882E5D">
        <w:t xml:space="preserve"> utvrdila da to odbijanje </w:t>
      </w:r>
      <w:r w:rsidRPr="00882E5D">
        <w:lastRenderedPageBreak/>
        <w:t>predstavlja nepravilnost u postupanju</w:t>
      </w:r>
      <w:r w:rsidRPr="00882E5D">
        <w:rPr>
          <w:vertAlign w:val="superscript"/>
        </w:rPr>
        <w:footnoteReference w:id="46"/>
      </w:r>
      <w:r w:rsidRPr="00882E5D">
        <w:t>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AB.</w:t>
      </w:r>
      <w:r w:rsidRPr="00882E5D">
        <w:tab/>
        <w:t>budući da se vladavina prava već nekoliko godina pogoršava u nekoliko država članica zbog sustavnog djelovanja njihovih vlada, posebno u Mađarskoj i Poljskoj, protiv kojih se trenutačno provode postupci iz članka 7. stavka 1. UEU-a; budući da u drugim državama članicama ubrzano raste zabrinutost zbog pitanja vladavine prava i temeljnih prava; budući da je ključno osigurati da države članice poštuju obveze u okviru OESS-a te druge međunarodne obveze i standarde za demokratske izbore, između ostaloga Venecijansku komisiju;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AC.</w:t>
      </w:r>
      <w:r w:rsidRPr="00882E5D">
        <w:tab/>
        <w:t xml:space="preserve">budući da je siromaštvo oblik strukturne i socijalne nepravde koji se temelji na rodnim nejednakostima, diskriminaciji i nejednakim mogućnostima za pristup robi i uslugama te da dovodi do kršenja temeljnih prava; budući da je za rješavanje problema siromaštva potrebno uzeti u obzir </w:t>
      </w:r>
      <w:proofErr w:type="spellStart"/>
      <w:r w:rsidRPr="00882E5D">
        <w:t>intersekcijski</w:t>
      </w:r>
      <w:proofErr w:type="spellEnd"/>
      <w:r w:rsidRPr="00882E5D">
        <w:t xml:space="preserve"> pristup i posebnu pozornost posvetiti pojedincima u ranjivom položaju, kao što su djeca, žene, rasne i etničke zajednice, pripadnici skupine LGBTIQ+, migranti i tražitelji azila i osobe s invaliditetom, kao i pojedinci u socioekonomski nepovoljnom položaju;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AD.</w:t>
      </w:r>
      <w:r w:rsidRPr="00882E5D">
        <w:tab/>
        <w:t>budući da je, prema izvješću Europske agencije za okoliš naslovljenom „Kvaliteta zraka u Europi 2022.”, u Uniji samo u 2020. došlo do 307 000 preranih smrtnih slučajeva zbog izloženosti onečišćenju zraka sitnim česticama;</w:t>
      </w:r>
    </w:p>
    <w:p w:rsidR="007E5B29" w:rsidRPr="00882E5D" w:rsidRDefault="007E5B29" w:rsidP="007E5B29">
      <w:pPr>
        <w:pStyle w:val="Normal12a24b"/>
        <w:rPr>
          <w:i/>
        </w:rPr>
      </w:pPr>
      <w:r w:rsidRPr="00882E5D">
        <w:rPr>
          <w:rStyle w:val="Bold"/>
          <w:i/>
        </w:rPr>
        <w:t>Vladavina prava i pristup pravosuđu</w:t>
      </w:r>
    </w:p>
    <w:p w:rsidR="007E5B29" w:rsidRPr="00882E5D" w:rsidRDefault="007E5B29" w:rsidP="007E5B29">
      <w:pPr>
        <w:pStyle w:val="NormalHanging12a"/>
      </w:pPr>
      <w:r w:rsidRPr="00882E5D">
        <w:t>1.</w:t>
      </w:r>
      <w:r w:rsidRPr="00882E5D">
        <w:tab/>
        <w:t>podsjeća kako je važno da slobodni mediji poštuju demokraciju, pozivaju javne i privatne ustanove na odgovornost i pružaju građanima pristup uravnoteženim informacijama; naglašava važnost medijskog pluralizma i novinarske slobode; oštro osuđuje činjenicu da je 2022. utvrđen još jedan globalni rekord u pogledu broja pritvorenih novinara i poziva na cjelovitu provedbu pravde u vezi s ubojstvom istraživačkih novinara u EU-u;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2.</w:t>
      </w:r>
      <w:r w:rsidRPr="00882E5D">
        <w:tab/>
        <w:t xml:space="preserve">poziva države članice da provedu preporuku Komisije o zaštiti novinara i boraca za ljudska prava uključenih u javno sudjelovanje od očito neosnovanih sudskih postupaka ili zlonamjernih sudskih postupaka, posebice da ukinu zatvorske kazne za slučajeve klevete, </w:t>
      </w:r>
      <w:proofErr w:type="spellStart"/>
      <w:r w:rsidRPr="00882E5D">
        <w:t>dekriminaliziraju</w:t>
      </w:r>
      <w:proofErr w:type="spellEnd"/>
      <w:r w:rsidRPr="00882E5D">
        <w:t xml:space="preserve"> klevetu i umjesto toga daju prednost građanskim ili administrativnim postupcima; potiče Komisiju da uzme u obzir ozbiljnost strateških tužbi protiv javnog sudjelovanja koje se pokreću kroz kaznene postupke predstavljanjem prijedloga mjera kojima bi se zajamčilo da se uvreda, kleveta i ocrnjivanje, koji su u većini država članica kaznena djela, ne mogu upotrebljavati kao temelj za strateške tužbe protiv javnog sudjelovanja, neovisno o tome je li riječ o javnim ili privatnim tužbama; naglašava da su strateške tužbe protiv javnog sudjelovanja samo jedna od metoda koje se upotrebljavaju za ušutkavanje novinara te poziva Komisiju da dodatno istraži druge prakse i da intervenira; poziva političare da javno osude prijetnje i napade na novinare;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3.</w:t>
      </w:r>
      <w:r w:rsidRPr="00882E5D">
        <w:tab/>
        <w:t xml:space="preserve">ponovno izražava zabrinutost zbog kršenja temeljnih prava u pogledu korištenja </w:t>
      </w:r>
      <w:proofErr w:type="spellStart"/>
      <w:r w:rsidRPr="00882E5D">
        <w:lastRenderedPageBreak/>
        <w:t>Pegasusa</w:t>
      </w:r>
      <w:proofErr w:type="spellEnd"/>
      <w:r w:rsidRPr="00882E5D">
        <w:t xml:space="preserve"> i sličnih špijunskog softvera protiv pojedinaca i istaknutih osoba, kao što su novinari, </w:t>
      </w:r>
      <w:proofErr w:type="spellStart"/>
      <w:r w:rsidRPr="00882E5D">
        <w:t>blogeri</w:t>
      </w:r>
      <w:proofErr w:type="spellEnd"/>
      <w:r w:rsidRPr="00882E5D">
        <w:t>, borci za ljudska prava, političari ili drugi akteri; naglašava da činjenica da nacionalne vlade nezakonito upotrebljavaju špijunski softver izravno i neizravno utječe na proces donošenja odluka, čime se podriva demokracija EU-a te ističe hitna potreba za većom transparentnosti i pravnom odgovornosti industrije nadzora;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4.</w:t>
      </w:r>
      <w:r w:rsidRPr="00882E5D">
        <w:tab/>
        <w:t xml:space="preserve">poziva države članice, posebno Grčku, Mađarsku, Poljsku, Španjolsku i Cipar, da slijede njima namijenjene preporuke iz izvješća o korištenju </w:t>
      </w:r>
      <w:proofErr w:type="spellStart"/>
      <w:r w:rsidRPr="00882E5D">
        <w:t>Pegasusa</w:t>
      </w:r>
      <w:proofErr w:type="spellEnd"/>
      <w:r w:rsidRPr="00882E5D">
        <w:t xml:space="preserve"> i sličnih špijunskih softvera za nadzor; podsjeća na svoje preporuke za poštovanje zajedničkih standarda EU-a jer se prava pojedinaca ne mogu ugroziti dopuštanjem neometanog pristupa nadzoru;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5.</w:t>
      </w:r>
      <w:r w:rsidRPr="00882E5D">
        <w:tab/>
        <w:t>potiče države članice da izrade nacionalne akcijske planove za sigurnost novinara i stvore povoljno okruženje za procvat pluralističkih i neovisnih medija kako bi ostvarili svoju ključnu ulogu javnog nadzora i pozvali vlade i druge aktere na odgovornost;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6.</w:t>
      </w:r>
      <w:r w:rsidRPr="00882E5D">
        <w:tab/>
        <w:t xml:space="preserve">podsjeća da se trgovina špijunskim softverom i njegova uporaba moraju strogo regulirati; naglašava da se uporaba špijunskog softvera mora odobriti samo u iznimnim i posebnim slučajevima u pogledu istraga ograničenog i zatvorenog popisa jasno i precizno definiranih teških kaznenih djela, da mora biti opravdana na pojedinačnoj osnovi, biti u skladu s Poveljom i drugim relevantnim pravom Unije te da je </w:t>
      </w:r>
      <w:r w:rsidRPr="00882E5D">
        <w:rPr>
          <w:i/>
          <w:iCs/>
        </w:rPr>
        <w:t xml:space="preserve">ex </w:t>
      </w:r>
      <w:proofErr w:type="spellStart"/>
      <w:r w:rsidRPr="00882E5D">
        <w:rPr>
          <w:i/>
          <w:iCs/>
        </w:rPr>
        <w:t>ante</w:t>
      </w:r>
      <w:proofErr w:type="spellEnd"/>
      <w:r w:rsidRPr="00882E5D">
        <w:t xml:space="preserve"> nalaže neovisno i nepristrano pravosudno tijelo s učinkovitim, poznatim i dostupnim korektivnim mjerama; naglašava da svaki nadzor špijunskim softverom mora kontrolirati neovisno ex post nadzorno tijelo koje mora osigurati da se svaki ovlašteni nadzor provodi u skladu s temeljnim pravima i uvjetima koje su utvrdili Sud Europske unije, Europski sud za ljudska prava i Venecijanska komisija; ustraje u tome da se pojedincima na koje se odnosi špijunski softver omogući pristup stvarnom i smislenom pravnom lijeku;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7.</w:t>
      </w:r>
      <w:r w:rsidRPr="00882E5D">
        <w:tab/>
        <w:t>naglašava da korupcija nije kompatibilna s demokratskim vrijednostima i vladavinom prava jer produbljuje nejednakosti i narušava povjerenje građana u dobro upravljanje; duboko je zabrinut zbog povećanja razine korupcije u određenim državama članicama, posebno zbog povećanja broja slučajeva u koje su uključeni dužnosnici i političari na visokoj razini; ponavlja svoju osudu navodnih slučajeva korupcije u kojima su sudjelovali sadašnji i bivši zastupnici u Europskom parlamentu; u tom kontekstu ističe donošenje izmjena Poslovnika kojima se želi ojačati njegov integritet, neovisnost i odgovornost; zabrinut je zbog razlika u razinama provedbe antikorupcijskog okvira EU-a u državama članicama; traži da vrijedi pravilo nulte tolerancije na korupciju; poziva na uspostavu neovisnog tijela EU-a za etička pitanja; poziva države članice da osiguraju potpunu provedbu Direktive o zaštiti zviždača</w:t>
      </w:r>
      <w:r w:rsidRPr="00882E5D">
        <w:rPr>
          <w:rStyle w:val="FootnoteReference"/>
        </w:rPr>
        <w:footnoteReference w:id="47"/>
      </w:r>
      <w:r w:rsidRPr="00882E5D">
        <w:t>;</w:t>
      </w:r>
    </w:p>
    <w:p w:rsidR="007E5B29" w:rsidRPr="00882E5D" w:rsidRDefault="007E5B29" w:rsidP="007E5B29">
      <w:pPr>
        <w:pStyle w:val="NormalHanging12a"/>
      </w:pPr>
      <w:r w:rsidRPr="00882E5D">
        <w:t>8.</w:t>
      </w:r>
      <w:r w:rsidRPr="00882E5D">
        <w:tab/>
        <w:t xml:space="preserve">naglašava da su neovisnost pravosuđa i djelotvorne provjere i ravnoteže, koje se mogu razlikovati među državama članicama, ključne sastavnice vladavine prava; ističe da i dalje postoji ozbiljna zabrinutost u pogledu vladavine prava i neovisnosti pravosuđa u nekoliko država članica; osuđuje sve pokušaje vlada država članica da vrše politički utjecaj ili kontrolu nad neovisnim donošenjem odluka pravosuđa izravnim putem ili </w:t>
      </w:r>
      <w:r w:rsidRPr="00882E5D">
        <w:lastRenderedPageBreak/>
        <w:t>organizacijskim sredstvima;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9.</w:t>
      </w:r>
      <w:r w:rsidRPr="00882E5D">
        <w:tab/>
        <w:t>podupire izradu strategije EU-a za osiguravanje konkretnog i koordiniranog djelovanja na razini Unije, uključujući osmišljavanjem mehanizma za zaštitu boraca za ljudska prava u Europi, nadovezujući se na primjere iz vanjske politike EU-a, kako bi se osigurala prevencija, izravna pomoć i odgovornost;</w:t>
      </w:r>
    </w:p>
    <w:p w:rsidR="007E5B29" w:rsidRPr="00882E5D" w:rsidRDefault="007E5B29" w:rsidP="007E5B29">
      <w:pPr>
        <w:pStyle w:val="NormalHanging12a"/>
      </w:pPr>
      <w:r w:rsidRPr="00882E5D">
        <w:t>10.</w:t>
      </w:r>
      <w:r w:rsidRPr="00882E5D">
        <w:tab/>
        <w:t>podržava uporabu Mehanizma za oporavak i otpornost i horizontalne uvjete koji omogućuju provedbu za zamrzavanje financijskih sredstava EU-a u svrhu borbe protiv korupcije i nazadovanja vladavine prava u državama članicama; naglašava da se sredstva ograničena različitim mjerama uvjetovanosti moraju osloboditi tek nakon što se ispune glavni uvjeti koji omogućuju provedbu; potiče države članice da primijene odgovarajuće mjere kako bi ostvarile ključne ciljeve koje su utvrdile u svojim planovima za oporavak i otpornost; poziva Europsko vijeće da poduzme mjere i utvrdi krši li Mađarska teško i trajno vrijednosti EU-a u skladu s člankom 7. stavkom 2. UEU-a; duboko žali zbog toga što mađarske vlasti sustavno svaljuju krivnju na zajednicu LGBTQI+; ističe da Vijeće dijeli odgovornost za zaštitu vrijednosti sadržanih u članku 2. UEU-a te da bi neuspjeh u tome imao dugotrajne i potencijalno štetne posljedice; insistira na tome da se poštuju uloga i nadležnosti Parlamenta;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11.</w:t>
      </w:r>
      <w:r w:rsidRPr="00882E5D">
        <w:tab/>
        <w:t>žali zbog činjenice da neke države članice produljuju izvanredne mjere koje prelaze ono što je nužno i razmjerno te hitaju u donošenje zakonodavstva bez odgovarajućeg savjetovanja;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12.</w:t>
      </w:r>
      <w:r w:rsidRPr="00882E5D">
        <w:tab/>
        <w:t>ponavlja potrebu za hitnim uspostavljanjem mehanizma EU-a za demokraciju, vladavinu prava i temeljna prava te potiče Komisiju i Vijeće da odmah pokrenu pregovore s Parlamentom o tom sporazumu;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13.</w:t>
      </w:r>
      <w:r w:rsidRPr="00882E5D">
        <w:tab/>
        <w:t>pozdravlja činjenicu da je Sud 2022. uveo emitiranje i prijenos uživo kako bi se olakšao djelomičan javni pristup njegovim pravosudnim aktivnostima;</w:t>
      </w:r>
    </w:p>
    <w:p w:rsidR="007E5B29" w:rsidRPr="00882E5D" w:rsidRDefault="007E5B29" w:rsidP="007E5B29">
      <w:pPr>
        <w:pStyle w:val="Normal12a24b"/>
        <w:rPr>
          <w:i/>
        </w:rPr>
      </w:pPr>
      <w:r w:rsidRPr="00882E5D">
        <w:rPr>
          <w:rStyle w:val="Bold"/>
          <w:i/>
        </w:rPr>
        <w:t>Slobode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14.</w:t>
      </w:r>
      <w:r w:rsidRPr="00882E5D">
        <w:tab/>
        <w:t>izražava duboku zabrinutost zbog sve veće prijetnje slobodi udruživanja, govora i okupljanja; ponavlja da se pravo na mirno okupljanje može ograničiti samo kad je to predviđeno zakonom i samo ako je to nužno i proporcionalno kako bi se zaštitio opći interes koji priznaje Unija ili kako bi se zaštitila prava i slobode drugih; osuđuje, u nekim slučajevima, nasilnu i nerazmjernu intervenciju tijela kaznenog progona tijekom mirnih prosvjeda i osuđuje slučajeve masovnih uhićenja potencijalnih prosvjednika na diskrecijskoj osnovi; potiče relevantna nacionalna tijela da zajamče transparentnu, nepristranu, neovisnu i učinkovitu istragu u slučajevima kada se sumnja na nerazmjernu uporabu sile; poziva države članice da primjenjuju alternativne prakse za održavanje javnog reda koje su se već pokazale učinkovitima u drugim državama članicama;</w:t>
      </w:r>
    </w:p>
    <w:p w:rsidR="007E5B29" w:rsidRPr="00882E5D" w:rsidRDefault="007E5B29" w:rsidP="007E5B29">
      <w:pPr>
        <w:pStyle w:val="NormalHanging12a"/>
      </w:pPr>
      <w:r w:rsidRPr="00882E5D">
        <w:t>15.</w:t>
      </w:r>
      <w:r w:rsidRPr="00882E5D">
        <w:tab/>
        <w:t xml:space="preserve">naglašava da informacije moraju biti univerzalno dostupne i raznolike kako bi se zajamčilo pravo na slobodu izražavanja i informiranja, koje je temelj svake demokracije; naglašava da se umjetnička sloboda mora zajamčiti; naglašava da dezinformacije mogu uvelike narušiti funkcioniranje demokratskih društava, gospodarstava i političkih sustava; podsjeća na potrebu da se medijska i digitalna pismenost uključe u građansko obrazovanje kako bi se spriječilo širenje dezinformacija; ponavlja svoje preporuke da se poduzmu učinkovite mjere za borbu protiv </w:t>
      </w:r>
      <w:r w:rsidRPr="00882E5D">
        <w:lastRenderedPageBreak/>
        <w:t>dezinformacija koje šire zlonamjerne strane sile, posebice s obzirom na predstojeće europske izbore; naglašava da je neovisni i pluralistički medijski prostor, na internetu i u konvencionalnim medijima, neophodan za učinkovitu borbu protiv dezinformacija i propagande te se stoga mora promicati, između ostaloga putem učinkovitog djelovanja protiv koncentracija medija;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16.</w:t>
      </w:r>
      <w:r w:rsidRPr="00882E5D">
        <w:tab/>
        <w:t xml:space="preserve"> naglašava da u skladu s pravom Unije nacionalna regulatorna tijela i/ili organi moraju djelovati zasebno od svojih vlada i ne tražiti niti prihvaćati upute od bilo kojih drugih tijela; napominje da su od presudne važnosti politička neovisnost regulacije i nadzora medija koje provode države članice i Komisija, zaštita uredničke neovisnosti u cijelom EU-u te zaštita novinara od nadzora i zaštita novinarskih izvora; poziva u tom pogledu na donošenje snažnog Europskog akta o slobodi medija kako bi se zajamčila neovisnost, pluralizam i sloboda medija u cijeloj Uniji, osigurala transparentnost vlasništva i financiranja;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17.</w:t>
      </w:r>
      <w:r w:rsidRPr="00882E5D">
        <w:tab/>
        <w:t xml:space="preserve">ističe ključnu ulogu organizacija civilnog društva u promicanju aktivnog građanstva, temeljnih prava i demokratskog sudjelovanja u Europi; poziva Komisiju da uspostavi strategiju i minimalne standarde za zaštitu nevladinih organizacija u svim državama članicama u cilju promicanja regulatornog i političkog okruženja u kojem nema </w:t>
      </w:r>
      <w:proofErr w:type="spellStart"/>
      <w:r w:rsidRPr="00882E5D">
        <w:t>odvraćajućih</w:t>
      </w:r>
      <w:proofErr w:type="spellEnd"/>
      <w:r w:rsidRPr="00882E5D">
        <w:t xml:space="preserve"> učinaka, prijetnji i napada te da se organizacijama civilnog društva pruži održiv i </w:t>
      </w:r>
      <w:proofErr w:type="spellStart"/>
      <w:r w:rsidRPr="00882E5D">
        <w:t>nediskriminirajući</w:t>
      </w:r>
      <w:proofErr w:type="spellEnd"/>
      <w:r w:rsidRPr="00882E5D">
        <w:t xml:space="preserve"> pristup resursima i podrži njihovo sudjelovanje u civilnom dijalogu i oblikovanju politika; žali zbog činjenice da se posljednjih godina situacija u pogledu boraca za ljudska prava u EU-u alarmantno pogoršala; potiče Komisiju i države članice da poduzmu potrebne mjere kako bi osigurale da borci za ljudska prava mogu raditi bez prepreka i nesigurnosti;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18.</w:t>
      </w:r>
      <w:r w:rsidRPr="00882E5D">
        <w:tab/>
        <w:t xml:space="preserve">podsjeća da prema članku 6. Povelje svatko ima pravo na slobodu i sigurnost, što znači da bi sve osobe na području EU-a trebale biti zaštićene od nezakonitog i arbitrarnog uhićenja; poziva države članice da slijede preporuku Komisije o </w:t>
      </w:r>
      <w:proofErr w:type="spellStart"/>
      <w:r w:rsidRPr="00882E5D">
        <w:t>postupovnim</w:t>
      </w:r>
      <w:proofErr w:type="spellEnd"/>
      <w:r w:rsidRPr="00882E5D">
        <w:t xml:space="preserve"> pravima osumnjičenika i optuženika kako bi unaprijedile uvjete zadržavanja i time osigurale veću zaštitu prava na slobodu i sigurnost;</w:t>
      </w:r>
    </w:p>
    <w:p w:rsidR="007E5B29" w:rsidRPr="00882E5D" w:rsidRDefault="007E5B29" w:rsidP="007E5B29">
      <w:pPr>
        <w:pStyle w:val="NormalHanging12a"/>
      </w:pPr>
      <w:r w:rsidRPr="00882E5D">
        <w:t>19.</w:t>
      </w:r>
      <w:r w:rsidRPr="00882E5D">
        <w:tab/>
        <w:t>osuđuje porast diskriminacije na temelju vjere ili vjerskih opredjeljenja i rasističkih incidenata u EU-u; poziva Komisiju i države članice da u tom pogledu poduzmu odlučne mjere, uključujući na međunarodnoj razini; podsjeća na to da u skladu s člankom 10. Povelje svatko ima pravo na slobodu mišljenja, savjesti i vjeroispovijesti; žali zbog toga što se slučajevi diskriminacije te rasističkih i ksenofobnih zločina često ne prijavljuju tijelima vlasti, što dovodi do de facto nekažnjavanja; žali zbog činjenice da nisu sve države članice u potpunosti prenijele Okvirnu odluku o suzbijanju određenih oblika i načina izražavanja rasizma i ksenofobije kaznenopravnim sredstvima;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20.</w:t>
      </w:r>
      <w:r w:rsidRPr="00882E5D">
        <w:tab/>
        <w:t>izražava zabrinutost zbog sve većeg broja incidenata policijskog nasilja nad romskim stanovništvom; poziva države članice da strogo istraže te incidente kako bi se osiguralo da ne dođe do nekažnjavanja za uvođenje i/ili provedbu represivnih, nasilnih mjera protiv romskih pojedinaca ili zajednica; nadalje poziva države članice da riješe problem pristranih policijskih snimki, izvješćivanja, kaznenog progona i sudskih presuda te neodgovarajućeg pristupa pravosuđu za romsko stanovništvo;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21.</w:t>
      </w:r>
      <w:r w:rsidRPr="00882E5D">
        <w:tab/>
        <w:t xml:space="preserve">ističe da posljedično pravo na zaštitu osobnih podataka sve više dobiva na važnosti jer se u svakodnevnom životu proizvodi i upotrebljava sve veća količina podataka i dolazi do skandala koji uključuju podatke; ponavlja svoje zabrinutosti zbog nejednake </w:t>
      </w:r>
      <w:r w:rsidRPr="00882E5D">
        <w:lastRenderedPageBreak/>
        <w:t>primjene Opće uredbe o zaštiti podataka; podržava inicijative za jačanje zakonodavnog postupka o regulatornom okviru EU-a za umjetnu inteligenciju kojim se osiguravaju snažne zaštitne mjere za temeljna prava;</w:t>
      </w:r>
    </w:p>
    <w:p w:rsidR="007E5B29" w:rsidRPr="00882E5D" w:rsidRDefault="007E5B29" w:rsidP="007E5B29">
      <w:pPr>
        <w:pStyle w:val="NormalHanging12a"/>
      </w:pPr>
      <w:r w:rsidRPr="00882E5D">
        <w:t>22.</w:t>
      </w:r>
      <w:r w:rsidRPr="00882E5D">
        <w:tab/>
        <w:t>oštro osuđuje raširena kršenja temeljnih prava i uporabu nerazmjernog nasilja na granicama EU-a protiv migranata, uključujući izbjeglice, među ostalim proizvoljna pritvaranja, nehumane životne uvjere i nedostatak pristupa zdravstvenoj zaštiti, nezakonita vraćanja i nasilna prisilna vraćanja; izražava duboku zabrinutost zbog toga što su države članice kodificirale upotrebu prisilnog vraćanja u svoje nacionalno pravo; osuđuje zakone u državama članicama koji narušavaju učinkovitu zaštitu ljudskih prava izbjeglica, tražitelja azila i migranata na kopnu i na moru, kao i kriminalizaciju humanitarnih radnika i aktivista; ističe da su gotovo trećina tražitelja azila djeca i ponavlja da stavljanje djece u imigracijski pritvor treba zabraniti;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23.</w:t>
      </w:r>
      <w:r w:rsidRPr="00882E5D">
        <w:tab/>
        <w:t>poziva EU i države članice da osiguraju uspostavljanje učinkovitih mehanizama nadzora kako bi se zajamčilo poštovanje temeljnih prava na vanjskim granicama, koji bi trebali obuhvaćati i praćenje aktivnosti nadzora granica; nadalje poziva Komisiju i države članice da se pobrinu da pojedinci čiji su podaci pohranjeni u bazama podataka opsežnih informacijskih sustava EU-a budu obaviješteni o svojim pravima te da imaju pristup dostupnim pravnim lijekovima;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24.</w:t>
      </w:r>
      <w:r w:rsidRPr="00882E5D">
        <w:tab/>
        <w:t>duboko žali zbog brojnih smrtnih slučajeva izbjeglica i migranata na moru koji su često žrtve trgovine ljudima i koji se moraju suočiti s nehumanim i ponižavajućim postupanjem bez uzimanja u obzir njihove sigurnosti; ponavlja obvezu pružanja pomoći osobama u nevolji u skladu s međunarodnim pravom mora i hitno poziva na stalne koordinirane operacije traganja i spašavanja s brzim iskrcavanjem te poziva države članice da poduzmu sve moguće mjere kako bi spasile živote ugroženih osoba na moru; poziva na poštovanje prava na azil svih osoba spašenih na moru procjenom individualnih okolnosti na pojedinačnoj osnovi;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25.</w:t>
      </w:r>
      <w:r w:rsidRPr="00882E5D">
        <w:tab/>
        <w:t>napominje da se nekoliko država članica koristi nacionalnom sigurnosti kao odrednicom za unutarnju politiku, kao što je migracija; naglašava da svaka mjera poduzeta na temelju nacionalne sigurnosti mora biti nužna i razmjerna te da se njome ne smiju podrivati prava zajamčena Poveljom; podsjeća da se člankom 19. Povelje predviđa zaštita u slučaju udaljavanja, protjerivanja ili izručenja zabranom kolektivnog protjerivanja te se stoga zahtijevaju pojedinačne procjene i zabranjuje odbijanje zahtjeva za međunarodnu zaštitu isključivo na temelju određenog državljanstva;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26.</w:t>
      </w:r>
      <w:r w:rsidRPr="00882E5D">
        <w:tab/>
        <w:t>pozdravlja aktiviranje Direktive EU-a o privremenoj zaštiti</w:t>
      </w:r>
      <w:r w:rsidRPr="00882E5D">
        <w:rPr>
          <w:rStyle w:val="FootnoteReference"/>
        </w:rPr>
        <w:footnoteReference w:id="48"/>
      </w:r>
      <w:r w:rsidRPr="00882E5D">
        <w:t xml:space="preserve"> nakon početka rata u Ukrajini, čiji je cilj osiguravanje pristupa zaštiti izbjeglica i tražitelja azila bilo kojeg podrijetla; podsjeća da se u pristupu smještaju, zaposlenju, obrazovanju, zdravstvenoj zaštiti i uslugama socijalne skrbi u okviru Direktive o privremenoj zaštiti uzme u obzir rodna perspektiva; žali zbog nejednakog postupanja, rasne diskriminacije i nasilja nad osobama koje nisu Ukrajinci, a koje bježe od sukoba, posebice nad osobama određene boje kože i LGBTIQ+ osoba; žali zbog dvostrukih standarda u pogledu migranata i </w:t>
      </w:r>
      <w:r w:rsidRPr="00882E5D">
        <w:lastRenderedPageBreak/>
        <w:t>izbjeglica u EU-u te poziva na okončanje te situacije;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27.</w:t>
      </w:r>
      <w:r w:rsidRPr="00882E5D">
        <w:tab/>
        <w:t xml:space="preserve">pozdravlja preporuku Odbora ministara Vijeća Europe o zaštiti prava </w:t>
      </w:r>
      <w:proofErr w:type="spellStart"/>
      <w:r w:rsidRPr="00882E5D">
        <w:t>migrantkinja</w:t>
      </w:r>
      <w:proofErr w:type="spellEnd"/>
      <w:r w:rsidRPr="00882E5D">
        <w:t xml:space="preserve">, žena i djevojaka izbjeglica te </w:t>
      </w:r>
      <w:proofErr w:type="spellStart"/>
      <w:r w:rsidRPr="00882E5D">
        <w:t>tražiteljica</w:t>
      </w:r>
      <w:proofErr w:type="spellEnd"/>
      <w:r w:rsidRPr="00882E5D">
        <w:t xml:space="preserve"> azila, pozivajući države članice da poduzmu mjere za sprječavanje diskriminacije protiv tih žena, između ostaloga promicanjem pristupa zapošljavanju, skrbi u pogledu spolnog i reproduktivnog zdravlja i olakšavanjem pristupa uslugama i pravdi osobama koje su preživjele rodno uvjetovano nasilje</w:t>
      </w:r>
      <w:r w:rsidRPr="00882E5D">
        <w:rPr>
          <w:vertAlign w:val="superscript"/>
        </w:rPr>
        <w:footnoteReference w:id="49"/>
      </w:r>
      <w:r w:rsidRPr="00882E5D">
        <w:t>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28.</w:t>
      </w:r>
      <w:r w:rsidRPr="00882E5D">
        <w:tab/>
        <w:t xml:space="preserve">sa zabrinutošću primjećuje velik broj osoba bez državljanstva u Uniji, posebice djece koja se rađaju bez državljanstva; poziva Komisiju da razvije sveobuhvatnu strategiju i akcijski plan za rješavanje pitanja </w:t>
      </w:r>
      <w:proofErr w:type="spellStart"/>
      <w:r w:rsidRPr="00882E5D">
        <w:t>apatridnosti</w:t>
      </w:r>
      <w:proofErr w:type="spellEnd"/>
      <w:r w:rsidRPr="00882E5D">
        <w:t xml:space="preserve"> u EU-u i zaštitu od protjerivanja za te osobe; poziva države članice da pravilno utvrde, prepoznaju i zaštite osobe bez državljanstva, uzimajući u obzir posebne ranjivosti osoba bez državljanstva;</w:t>
      </w:r>
    </w:p>
    <w:p w:rsidR="007E5B29" w:rsidRPr="00882E5D" w:rsidRDefault="007E5B29" w:rsidP="007E5B29">
      <w:pPr>
        <w:pStyle w:val="Normal12a24b"/>
        <w:rPr>
          <w:i/>
        </w:rPr>
      </w:pPr>
      <w:r w:rsidRPr="00882E5D">
        <w:rPr>
          <w:rStyle w:val="Bold"/>
          <w:i/>
        </w:rPr>
        <w:t>Jednakost i dostojanstvo</w:t>
      </w:r>
    </w:p>
    <w:p w:rsidR="007E5B29" w:rsidRPr="00882E5D" w:rsidRDefault="007E5B29" w:rsidP="007E5B29">
      <w:pPr>
        <w:pStyle w:val="NormalHanging12a"/>
      </w:pPr>
      <w:r w:rsidRPr="00882E5D">
        <w:t>29.</w:t>
      </w:r>
      <w:r w:rsidRPr="00882E5D">
        <w:tab/>
        <w:t xml:space="preserve">traži od Komisije da osigura poštovanje prava na nediskriminaciju i jednako postupanje u cijeloj Uniji; osuđuje činjenicu da je u Vijeću prijedlog horizontalne direktive o suzbijanju diskriminacije blokiran od 2008.; smatra da se svako Komisijino ažuriranje prijedloga mora temeljiti na stajalištu Parlamenta, da se u obzir mora uzeti </w:t>
      </w:r>
      <w:proofErr w:type="spellStart"/>
      <w:r w:rsidRPr="00882E5D">
        <w:t>intersekcijska</w:t>
      </w:r>
      <w:proofErr w:type="spellEnd"/>
      <w:r w:rsidRPr="00882E5D">
        <w:t xml:space="preserve"> diskriminacija i izričito zabraniti diskriminacija na bilo kojoj kombinaciji osnova navedenih u Povelji; žali zbog činjenice da je Vijeće ignoriralo te zahtjeve i potiče ga da ih uključi u svoj mandat i da poduzme sve odgovarajuće mjere za borbu protiv diskriminacije u EU-u;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30.</w:t>
      </w:r>
      <w:r w:rsidRPr="00882E5D">
        <w:tab/>
        <w:t>poziva Komisiju da prati i osigura odgovarajuće praćenje provedbe nacionalnih akcijskih planova država članica za borbu protiv rasizma i akcijskog plana EU-a za borbu protiv rasizma; nadalje potiče Komisiju da uključi antirasizam i borbu protiv diskriminacije u sve politike EU-a; poziva predstojeća predsjedništva Vijeća da ozbiljno razmotre uspostavu sastava Vijeća za rodnu ravnopravnost i jednakost;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31.</w:t>
      </w:r>
      <w:r w:rsidRPr="00882E5D">
        <w:tab/>
        <w:t>poziva Komisiju i države članice da se bore protiv rasne diskriminacije u svim područjima društva, s posebnim naglaskom na obrazovanju i sprječavanju segregacije u školama, učinkovitim zakonodavnim i političkim mjerama, kako u državama članicama tako i u zemljama proširenja;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32.</w:t>
      </w:r>
      <w:r w:rsidRPr="00882E5D">
        <w:tab/>
        <w:t xml:space="preserve">u pogledu digitalizacije podsjeća da je potrebno posvetiti posebnu pozornost diskriminatornim pristranostima koje se uvode u nove tehnologije i na potrebu da se od subjekata koji razvijaju i provode projekte zahtijeva da pruže javno dostupne informacije o tome kako se ti sustavi osposobljavaju; poziva Komisiju i države članice da uvedu mjere za sprečavanje da nove tehnologije, uključujući umjetnu inteligenciju, povećaju diskriminaciju, postojeće nejednakosti i siromaštvo; poziva Komisiju i države članice da osiguraju da se sustavi umjetne inteligencije vode načelima transparentnosti, objašnjivosti, pravednosti i odgovornosti te da se uspostavi neovisna procjena učinka na temeljna prava; nadalje poziva Komisiju i države članice da se uhvate u koštac s rodnim razlikama i manjkom raznolikosti u sektorima informacijskih tehnologija (IKT) i znanosti, tehnologije, inženjerstva i matematike (STEM), posebno u razvoju novih </w:t>
      </w:r>
      <w:r w:rsidRPr="00882E5D">
        <w:lastRenderedPageBreak/>
        <w:t xml:space="preserve">tehnologija te posebno na položajima na kojima se donose odluke; 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33.</w:t>
      </w:r>
      <w:r w:rsidRPr="00882E5D">
        <w:tab/>
        <w:t>podsjeća na to da je važno da djeca koja pripadaju nacionalnim manjinama mogu pohađati posebne škole koje nude nastavu na njihovom jeziku; potiče uključivanje predstavnika nacionalnih manjina u postupke donošenja odluka koji utječu na njihove obrazovne sustave;</w:t>
      </w:r>
    </w:p>
    <w:p w:rsidR="007E5B29" w:rsidRPr="00882E5D" w:rsidRDefault="007E5B29" w:rsidP="007E5B29">
      <w:pPr>
        <w:pStyle w:val="NormalHanging12a"/>
      </w:pPr>
      <w:r w:rsidRPr="00882E5D">
        <w:t>34.</w:t>
      </w:r>
      <w:r w:rsidRPr="00882E5D">
        <w:tab/>
        <w:t>podsjeća na veliku raširenost rodno uvjetovanog nasilja u svim državama članicama EU-a; oštro osuđuje brzo nazadovanje u pogledu prava žena i LGBTIQ+ osoba u nekoliko država članica; snažno osuđuje uskraćivanje pristupa sigurnom i zakonitom pobačaju jer je to oblik rodno uvjetovanog nasilja; ističe da je Europski sud za ljudska prava presudio da se restriktivnim zakonima o pobačaju i neprovedbom krši pravo žene na tjelesnu autonomiju i integritet; ponovno naglašava svoju osudu poljskog zakona kojim se nameće gotovo potpuna zabrana pobačaja; podsjeća da se ne bi smjelo kazneno progoniti građane koji pomažu osobama u pristupu pobačaju kada pobačaj nije besplatno i legalno dostupan; ponavlja svoj poziv da se pravo na pobačaj uključi u Povelju;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35.</w:t>
      </w:r>
      <w:r w:rsidRPr="00882E5D">
        <w:tab/>
        <w:t xml:space="preserve">pozdravlja Komisijin prijedlog direktive o borbi protiv nasilja nad ženama i nasilja u obitelji te poziva na brzo zaključenje pregovora i uključivanje rodno uvjetovanog nasilja na popis kaznenih djela u EU-u; ističe da bi takvom direktivom trebalo jamčiti da su obveze utvrđene u </w:t>
      </w:r>
      <w:proofErr w:type="spellStart"/>
      <w:r w:rsidRPr="00882E5D">
        <w:t>Istanbulskoj</w:t>
      </w:r>
      <w:proofErr w:type="spellEnd"/>
      <w:r w:rsidRPr="00882E5D">
        <w:t xml:space="preserve"> konvenciji minimalni standard te nastojati ojačati te standarde radi povećanja razine zaštite; pozdravlja ratifikaciju </w:t>
      </w:r>
      <w:proofErr w:type="spellStart"/>
      <w:r w:rsidRPr="00882E5D">
        <w:t>Istanbulske</w:t>
      </w:r>
      <w:proofErr w:type="spellEnd"/>
      <w:r w:rsidRPr="00882E5D">
        <w:t xml:space="preserve"> konvencije koju je proveo EU, a koja je stupila na snagu 1. listopada 2023.; poziva preostale države članice da brzo ratificiraju tu konvenciju kako bi zaštitile žene od nasilja;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36.</w:t>
      </w:r>
      <w:r w:rsidRPr="00882E5D">
        <w:tab/>
        <w:t xml:space="preserve">ističe da se osobe s invaliditetom, a posebno žene s invaliditetom, i dalje suočavaju s višestrukom i </w:t>
      </w:r>
      <w:proofErr w:type="spellStart"/>
      <w:r w:rsidRPr="00882E5D">
        <w:t>intersekcijskom</w:t>
      </w:r>
      <w:proofErr w:type="spellEnd"/>
      <w:r w:rsidRPr="00882E5D">
        <w:t xml:space="preserve"> diskriminacijom na temelju svojeg invaliditeta te roda, rase, etničkog podrijetla, dobi, vjeroispovijesti ili uvjerenja, seksualne orijentacije, migracijskog statusa ili socioekonomskog podrijetla; naglašava da su žene i djevojke s invaliditetom posebice meta rodno uvjetovanog nasilja, koje obuhvaća tjelesno, seksualno, psihičko i ekonomsko nasilje; poziva Komisiju i države članice da osiguraju uspostavu i dostupnost mehanizama za prijavljivanje nasilja nad osobama s invaliditetom, kao i službi za potporu žrtvama;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37.</w:t>
      </w:r>
      <w:r w:rsidRPr="00882E5D">
        <w:tab/>
        <w:t xml:space="preserve">naglašava da su prava djeteta univerzalna i da bi svako dijete trebalo uživati ista prava, bez diskriminacije, uključujući pravo na priznavanje roditeljstva, među ostalim za </w:t>
      </w:r>
      <w:proofErr w:type="spellStart"/>
      <w:r w:rsidRPr="00882E5D">
        <w:t>istospolne</w:t>
      </w:r>
      <w:proofErr w:type="spellEnd"/>
      <w:r w:rsidRPr="00882E5D">
        <w:t xml:space="preserve"> parove; pozdravlja Komisijin Prijedlog uredbe o nadležnosti, mjerodavnom pravu, priznavanju odluka i prihvaćanju javnih isprava u pitanjima roditeljstva i o uspostavi europske potvrde o roditeljstvu kako bi se zaštitila prava sve djece osiguravajući da se njihove roditeljske veze, uključujući prije svega roditelje istog spola, utvrđene u jednoj državi članici priznaju u svim državama članicama;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38.</w:t>
      </w:r>
      <w:r w:rsidRPr="00882E5D">
        <w:tab/>
        <w:t>poziva države članice da prisilnu sterilizaciju proglase kaznenim djelom; ponavlja svoje stajalište da bi Direktiva o borbi protiv nasilja nad ženama i nasilja u obitelji trebala uključivati prisilnu sterilizaciju kao kazneno djelo iz članka 83. stavka 1. UFEU-a;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39.</w:t>
      </w:r>
      <w:r w:rsidRPr="00882E5D">
        <w:tab/>
        <w:t xml:space="preserve">podsjeća na to da su zločini iz mržnje i govor mržnje motivirani rasizmom, ksenofobijom, ili netrpeljivošću ili predrasudama na temelju invaliditeta, seksualne orijentacije, rodnog identiteta, rodnog izražavanja i spolnih obilježja neke osobe ekstremni primjeri diskriminacije; napominje da države članice EU-a imaju dužnost </w:t>
      </w:r>
      <w:r w:rsidRPr="00882E5D">
        <w:lastRenderedPageBreak/>
        <w:t>suzbijanja i istraživanja zločina iz mržnje, kažnjavanja počinitelja i poduzimanja preventivnih mjera; naglašava potrebu da tijela kaznenog progona na odgovarajući način bilježe zločine iz mržnje kako bi se bolje razumjela priroda i raširenost te pojave te njezin učinak na žrtve i kako bi se uklonili njezini uzroci;</w:t>
      </w:r>
    </w:p>
    <w:p w:rsidR="007E5B29" w:rsidRPr="00882E5D" w:rsidRDefault="007E5B29" w:rsidP="007E5B29">
      <w:pPr>
        <w:pStyle w:val="NormalHanging12a"/>
      </w:pPr>
      <w:r w:rsidRPr="00882E5D">
        <w:t>40.</w:t>
      </w:r>
      <w:r w:rsidRPr="00882E5D">
        <w:tab/>
        <w:t>pozdravlja inicijativu Komisije da se popis područja kriminaliteta u EU-u iz članka 83. stavka 1. UFEU-a proširi na govor mržnje i zločine iz mržnje, naglašavajući potrebu za osiguravanjem čvrstog odgovora u okviru kaznenog prava EU-a na govor mržnje i zločin iz mržnje; duboko žali zbog kašnjenja s odobrenjem te inicijative i ponavlja svoj poziv Vijeću da marljivo radi na postizanju konsenzusa;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41.</w:t>
      </w:r>
      <w:r w:rsidRPr="00882E5D">
        <w:tab/>
        <w:t>podsjeća da bi zakonodavstvo EU-a o govoru mržnje i zločinima iz mržnje trebalo univerzalno štititi ljudsko dostojanstvo i boriti se protiv mržnje i netolerancije bez obzira na uzrok, s posebnim naglaskom na ciljane osobe, skupine i zajednice; snažno osuđuje svaki oblik govora mržnje i kampanja ocrnjivanja u javnim medijima protiv novinara, političara, političara i drugih aktera;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42.</w:t>
      </w:r>
      <w:r w:rsidRPr="00882E5D">
        <w:tab/>
        <w:t>poziva Komisiju da učinkovito prati provedbu mjera sadržanih u raznim strategijama ravnopravnosti, kao što su Strategija EU-a o ravnopravnosti LGBTIQ+ osoba 2020. 2025., Strategija EU-a za rodnu ravnopravnost 2020.– 2025., Strategija za jednakost i uključivanje Roma te akcijski plan EU-a za borbu protiv rasizma 2020. 2025.; potiče države članice da brzo izrade i provedu nacionalne akcijske planove za borbu protiv rasizma;</w:t>
      </w:r>
    </w:p>
    <w:p w:rsidR="007E5B29" w:rsidRPr="00882E5D" w:rsidRDefault="007E5B29" w:rsidP="007E5B29">
      <w:pPr>
        <w:pStyle w:val="NormalHanging12a"/>
      </w:pPr>
      <w:r w:rsidRPr="00882E5D">
        <w:t>43.</w:t>
      </w:r>
      <w:r w:rsidRPr="00882E5D">
        <w:tab/>
        <w:t>pozdravlja činjenicu da se Komisija prvi put pred Sudom Europske unije pozvala na izolirano kršenje članka 2. UEU-a govoreći o mađarskom „zakonu o zaštiti djece”, koji ima druge prikrivene ciljeve;</w:t>
      </w:r>
    </w:p>
    <w:p w:rsidR="007E5B29" w:rsidRPr="00882E5D" w:rsidRDefault="007E5B29" w:rsidP="007E5B29">
      <w:pPr>
        <w:pStyle w:val="Normal12a24b"/>
        <w:rPr>
          <w:b/>
          <w:i/>
        </w:rPr>
      </w:pPr>
      <w:r w:rsidRPr="00882E5D">
        <w:rPr>
          <w:rStyle w:val="Bold"/>
          <w:i/>
        </w:rPr>
        <w:t>Socijalna i gospodarska prava te prava povezana s okolišem</w:t>
      </w:r>
    </w:p>
    <w:p w:rsidR="007E5B29" w:rsidRPr="00882E5D" w:rsidRDefault="007E5B29" w:rsidP="007E5B29">
      <w:pPr>
        <w:pStyle w:val="NormalHanging12a"/>
      </w:pPr>
      <w:r w:rsidRPr="00882E5D">
        <w:t>44.</w:t>
      </w:r>
      <w:r w:rsidRPr="00882E5D">
        <w:tab/>
        <w:t xml:space="preserve">prepoznaje da je siromaštvo još jedan oblik diskriminacije koji dovodi do kršenja temeljnih prava i nejednakih mogućnosti za pristup dobrima i uslugama; ističe posebnu ranjivost djece i utjecaj koji siromaštvo ima na njih te na njihov fizički i psihički razvoj; poziva Komisiju, Vijeće i države članice da razviju politike za smanjenje siromaštva i društvene isključenosti, uzimajući u obzir </w:t>
      </w:r>
      <w:proofErr w:type="spellStart"/>
      <w:r w:rsidRPr="00882E5D">
        <w:t>intersekcijski</w:t>
      </w:r>
      <w:proofErr w:type="spellEnd"/>
      <w:r w:rsidRPr="00882E5D">
        <w:t xml:space="preserve"> pristup te s posebnim naglaskom na osobe u ranjivom položaju; pozdravlja odobrenje europskog jamstva za djecu, ali smatra da je potrebno uložiti više napora, posebice u području socijalne zaštite; poziva države članice da zajamče jednak pristup kvalitetnom obrazovanju i zapošljavanju te jednake mogućnosti u tom kontekstu, jer imaju ključnu ulogu u smanjenju razine nejednakosti i izdizanju ljudi iz siromaštva;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45.</w:t>
      </w:r>
      <w:r w:rsidRPr="00882E5D">
        <w:tab/>
        <w:t xml:space="preserve">izražava duboku zabrinutost zbog povećanja razine siromaštva, nejednakosti i društvene isključenosti u EU-u; poziva države članice da se uhvate u koštac s „menstrualnim siromaštvom” i da ukinu PDV na proizvode za osobnu higijenu; naglašava da su dugoročne gospodarske posljedice </w:t>
      </w:r>
      <w:proofErr w:type="spellStart"/>
      <w:r w:rsidRPr="00882E5D">
        <w:t>pandemije</w:t>
      </w:r>
      <w:proofErr w:type="spellEnd"/>
      <w:r w:rsidRPr="00882E5D">
        <w:t xml:space="preserve"> bolesti COVID-19 te porast cijena hrane i energije znatno utjecali na prava osoba koje imaju niske prihode ili žive u siromaštvu, uključujući na pravo na odgovarajući životni standard, hranu, zdravstvenu skrb, stanovanje i socijalnu sigurnost; poziva Komisiju i Vijeće da razviju makroekonomske politike vođene ne samo gospodarskim rastom nego i socijalnim standardima te podsjeća na važnost socijalnih standarda u europskom semestru;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lastRenderedPageBreak/>
        <w:t>46.</w:t>
      </w:r>
      <w:r w:rsidRPr="00882E5D">
        <w:tab/>
        <w:t>pozdravlja preporuku Vijeća od 30. siječnja 2023. o primjerenom minimalnom dohotku</w:t>
      </w:r>
      <w:r w:rsidRPr="00882E5D">
        <w:rPr>
          <w:vertAlign w:val="superscript"/>
        </w:rPr>
        <w:footnoteReference w:id="50"/>
      </w:r>
      <w:r w:rsidRPr="00882E5D">
        <w:t xml:space="preserve"> kojom se jamči aktivno uključivanje kao korak naprijed u provedbi načela 14. Europskog stupa socijalnih prava; međutim, žali zbog nedostatka konkretnih mjera za prevladavanje strukturne diskriminacije prema ranjivim skupinama; poziva države članice da prikupe podatke o minimalnom dohotku raščlanjene za te skupine;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47.</w:t>
      </w:r>
      <w:r w:rsidRPr="00882E5D">
        <w:tab/>
        <w:t>naglašava da je digitalizacija transverzalan proces koji utječe na pristup svim uslugama, posebno zdravstvenoj zaštiti, i na ostvarivanje temeljnih prava; ističe da bi digitalno siromaštvo u EU-u trebalo pratiti i ocjenjivati u odnosu na pristup osnovnim uslugama i temeljnim pravima, uključujući za starije osobe, osobe koje žive u udaljenim područjima, beskućnike i Rome; podsjeća na obvezu država članica da u skladu s Konvencijom o pravima osoba s invaliditetom tim osobama osiguraju potpuni pristup društvu; podsjeća da ovisnost o tehnologiji predstavlja javnozdravstveni problem koji posebice utječe na maloljetnike te njihov fizički i mentalni integritet;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48.</w:t>
      </w:r>
      <w:r w:rsidRPr="00882E5D">
        <w:tab/>
        <w:t>napominje da stanovanje nije proizvod, već nužnost i preduvjet za puno sudjelovanje u društvu; poziva države članice da pojačaju ulaganja u socijalno i pristupačno stanovanje kako bi se iskorijenio teret visokih troškova stanovanja, posebice među ranjivim skupinama i skupinama u nepovoljnom položaju, te kako bi se izbjeglo natjecanje između te dvije skupine;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49.</w:t>
      </w:r>
      <w:r w:rsidRPr="00882E5D">
        <w:tab/>
        <w:t>pozdravlja činjenicu da je Vijeće za ljudska prava UN-a 8. listopada 2021. prepoznalo univerzalno pravo na pristup zdravom i održivom okolišu; ističe da ugrožavanje okoliša i činjenica da neka javna tijela ne pružaju informacije o ozbiljnim rizicima za okoliš kojima su izloženi pojedinci mogu imati ozbiljne štetne posljedice za pojedince; podsjeća na potrebu za potpunim usklađivanjem standarda kvalitete okolnog zraka EU-a s najnovijim smjernicama Svjetske zdravstvene organizacije do 2030.;</w:t>
      </w:r>
    </w:p>
    <w:p w:rsidR="007E5B29" w:rsidRPr="00882E5D" w:rsidRDefault="007E5B29" w:rsidP="007E5B29">
      <w:pPr>
        <w:pStyle w:val="Normal12a24b"/>
        <w:rPr>
          <w:i/>
        </w:rPr>
      </w:pPr>
      <w:r w:rsidRPr="00882E5D">
        <w:rPr>
          <w:rStyle w:val="Bold"/>
          <w:i/>
        </w:rPr>
        <w:t>Institucionalne mjere zaštite temeljnih prava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50.</w:t>
      </w:r>
      <w:r w:rsidRPr="00882E5D">
        <w:tab/>
        <w:t>pozdravlja napredak koji je ostvaren u pristupanju EU-a Europskoj konvenciji o ljudskim pravima od nastavka pregovora u lipnju 2020. i privremeni dogovor o nacrtu revidiranih instrumenata pristupa koji je postignut u ožujku 2023.; poziva Komisiju i Vijeće da čim prije riješe preostalo pitanje u pogledu akata EU-a u području zajedničke vanjske i sigurnosne politike kako bi se dovršio proces pristupanja;</w:t>
      </w:r>
    </w:p>
    <w:p w:rsidR="007E5B29" w:rsidRPr="00882E5D" w:rsidRDefault="007E5B29" w:rsidP="007E5B29">
      <w:pPr>
        <w:pStyle w:val="NormalHanging12a"/>
      </w:pPr>
      <w:r w:rsidRPr="00882E5D">
        <w:t>51.</w:t>
      </w:r>
      <w:r w:rsidRPr="00882E5D">
        <w:tab/>
        <w:t>podržava rad Agencije EU-a za temeljna prava na analiziranju podataka kako bi se dokumentirala diskriminacija te pozdravlja daljnji razvoj događaja u tom području; pozdravlja Komisijin prijedlog dvaju direktiva o standardima za tijela za jednakost čiji je cilj zajamčiti bolju primjenu i provedbu pravila EU-a o suzbijanju diskriminacije; poziva nacionalna tijela koja surađuju s Agencijom EU-a za temeljna prava da dostave nepristrane podatke; poziva Agenciju EU-a za temeljna prava da potraže dodatne izvore ako i dalje postoji ozbiljna zabrinutost u pogledu kvalitete podataka;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52.</w:t>
      </w:r>
      <w:r w:rsidRPr="00882E5D">
        <w:tab/>
        <w:t xml:space="preserve">ističe da je važno podržavati i jačati suradnju između institucija EU-a, država članica, Europskog ureda za borbu protiv prijevara i Ureda europskog javnog tužitelja; poziva Komisiju da podnese izvješće u kojem procjenjuje mogućnost i modalitete proširenja mandata EPPO-a, kako je predviđeno člankom 86. UFEU-a, da bi se obuhvatila teška </w:t>
      </w:r>
      <w:r w:rsidRPr="00882E5D">
        <w:lastRenderedPageBreak/>
        <w:t>kaznena djela protiv okoliša koja su štetna za interese Unije ili utječu na dosljednu primjenu politika EU-a povezanih sa zaštitom okoliša;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53.</w:t>
      </w:r>
      <w:r w:rsidRPr="00882E5D">
        <w:tab/>
        <w:t>poziva na uspostavu Agencije EU-a za temeljna prava kao neovisnog tijela za ljudska prava, slično nacionalnim institucijama za ljudska prava i u skladu s Pariškim načelima Opće skupštine UN-a iz 1993., radi zaštite i promicanja politika i praksi iz Povelje od institucija, tijela, ureda i agencija Unije i od država članica pri provedbi prava EU-a; smatra da je stoga potrebna pravna osnova u Ugovorima za osnivanje Tijela Europske unije za temeljna prava, na temelju koje bi se učvrstila njegova neovisnost i uveo redovni zakonodavni postupak za usvajanje i izmjenu njegova mandata; poziva da se tom novom tijelu omogući pokretanje postupaka u skladu s člankom 263. UFEU-a zbog kršenja Povelje; poziva da se u njegov mandat uključi ovlast za obradu pritužbi i obvezu Komisije da se savjetuje s Tijelom za temeljna prava pri pripremi prijedloga zakonodavnih akata ili preporuka koji utječu na temeljna prava;</w:t>
      </w:r>
    </w:p>
    <w:p w:rsidR="007E5B29" w:rsidRPr="00882E5D" w:rsidRDefault="007E5B29" w:rsidP="007E5B29">
      <w:pPr>
        <w:pStyle w:val="NormalHanging12a"/>
      </w:pPr>
      <w:r w:rsidRPr="00882E5D">
        <w:t>54.</w:t>
      </w:r>
      <w:r w:rsidRPr="00882E5D">
        <w:tab/>
        <w:t>podsjeća na važnost relevantne sudske prakse Suda Europske unije kojom se podupire poštovanje temeljnih prava i dodatno definira vladavina prava; izražava zabrinutost zbog toga što neke države članice ustrajno odbijaju provoditi domaće presude, ali i presude Suda Europske unije i Europskog suda za ljudska prava, što doprinosi eroziji vladavine prava; naglašava da neprovođenje presuda može dovesti do toga da kršenja ljudskih prava ostanu bez pravnog lijeka; ističe da nadređenost zakona Unije čini temelj pravnog poretka EU-a; poziva Komisiju da se pobrine za odgovarajuće daljnje postupanje u slučaju neprovođenja tog načela;</w:t>
      </w:r>
    </w:p>
    <w:p w:rsidR="007E5B29" w:rsidRPr="00882E5D" w:rsidRDefault="007E5B29" w:rsidP="007E5B29">
      <w:pPr>
        <w:pStyle w:val="NormalHanging12a"/>
      </w:pPr>
      <w:r w:rsidRPr="00882E5D">
        <w:t>55.</w:t>
      </w:r>
      <w:r w:rsidRPr="00882E5D">
        <w:tab/>
        <w:t>naglašava ulogu nacionalnih i lokalnih uprava, parlamenata država članica i tijela za izvršavanje zakonodavstva u promicanju i zaštiti prava iz Povelje;</w:t>
      </w:r>
    </w:p>
    <w:p w:rsidR="007E5B29" w:rsidRPr="00882E5D" w:rsidRDefault="007E5B29" w:rsidP="007E5B29">
      <w:pPr>
        <w:pStyle w:val="NormalHanging12a"/>
      </w:pPr>
      <w:r w:rsidRPr="00882E5D">
        <w:t>56.</w:t>
      </w:r>
      <w:r w:rsidRPr="00882E5D">
        <w:tab/>
        <w:t>prima na znanje opažanje Agencije EU-a za temeljna prava da državama članicama nedostaje strukturiran angažman u provedbi strategije Komisije o poboljšanju primjene Povelje, kao što je definiranje jasnih ciljeva, etapa i rokova; poziva države članice na potpunu provedbu te strategije;</w:t>
      </w:r>
    </w:p>
    <w:p w:rsidR="007E5B29" w:rsidRPr="00882E5D" w:rsidRDefault="007E5B29" w:rsidP="007E5B29">
      <w:pPr>
        <w:pStyle w:val="NormalHanging12a"/>
        <w:rPr>
          <w:szCs w:val="24"/>
        </w:rPr>
      </w:pPr>
      <w:r w:rsidRPr="00882E5D">
        <w:t>57.</w:t>
      </w:r>
      <w:r w:rsidRPr="00882E5D">
        <w:tab/>
        <w:t xml:space="preserve">podsjeća da su pravo na sudjelovanje u demokratskom životu i obveza jamčenja da se odluke donose što je više moguće otvoreno i bliže građanima zaštićeni u okviru Ugovora, a posebno članak 10 UEU-a; poziva institucije EU-a i države članice da </w:t>
      </w:r>
      <w:proofErr w:type="spellStart"/>
      <w:r w:rsidRPr="00882E5D">
        <w:t>proaktivno</w:t>
      </w:r>
      <w:proofErr w:type="spellEnd"/>
      <w:r w:rsidRPr="00882E5D">
        <w:t xml:space="preserve"> osiguraju dovoljno vremena za savjetovanje s javnošću i transparentnost i da objave javne dokumente;</w:t>
      </w:r>
    </w:p>
    <w:p w:rsidR="007E5B29" w:rsidRPr="00882E5D" w:rsidRDefault="007E5B29" w:rsidP="007E5B29">
      <w:pPr>
        <w:pStyle w:val="NormalHanging12a"/>
        <w:jc w:val="center"/>
      </w:pPr>
      <w:r w:rsidRPr="00882E5D">
        <w:t>°</w:t>
      </w:r>
    </w:p>
    <w:p w:rsidR="007E5B29" w:rsidRPr="00882E5D" w:rsidRDefault="007E5B29" w:rsidP="007E5B29">
      <w:pPr>
        <w:pStyle w:val="NormalHanging12a"/>
        <w:jc w:val="center"/>
      </w:pPr>
      <w:r w:rsidRPr="00882E5D">
        <w:t>°</w:t>
      </w:r>
      <w:r w:rsidRPr="00882E5D">
        <w:tab/>
        <w:t>°</w:t>
      </w:r>
    </w:p>
    <w:p w:rsidR="007E5B29" w:rsidRPr="00882E5D" w:rsidRDefault="007E5B29" w:rsidP="007E5B29">
      <w:pPr>
        <w:pStyle w:val="NormalHanging12a"/>
      </w:pPr>
      <w:r w:rsidRPr="00882E5D">
        <w:t>58.</w:t>
      </w:r>
      <w:r w:rsidRPr="00882E5D">
        <w:tab/>
        <w:t>nalaže svojoj predsjednici da ovu Rezoluciju proslijedi Vijeću i Komisiji.</w:t>
      </w:r>
    </w:p>
    <w:p w:rsidR="007E5B29" w:rsidRPr="00882E5D" w:rsidRDefault="007E5B29" w:rsidP="007E5B29"/>
    <w:sectPr w:rsidR="007E5B29" w:rsidRPr="00882E5D" w:rsidSect="005334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196" w:rsidRPr="005334D5" w:rsidRDefault="005F4196">
      <w:r w:rsidRPr="005334D5">
        <w:separator/>
      </w:r>
    </w:p>
  </w:endnote>
  <w:endnote w:type="continuationSeparator" w:id="0">
    <w:p w:rsidR="005F4196" w:rsidRPr="005334D5" w:rsidRDefault="005F4196">
      <w:r w:rsidRPr="005334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196" w:rsidRPr="005334D5" w:rsidRDefault="005F4196">
      <w:r w:rsidRPr="005334D5">
        <w:separator/>
      </w:r>
    </w:p>
  </w:footnote>
  <w:footnote w:type="continuationSeparator" w:id="0">
    <w:p w:rsidR="005F4196" w:rsidRPr="005334D5" w:rsidRDefault="005F4196">
      <w:r w:rsidRPr="005334D5">
        <w:continuationSeparator/>
      </w:r>
    </w:p>
  </w:footnote>
  <w:footnote w:id="1">
    <w:p w:rsidR="007E5B29" w:rsidRPr="005334D5" w:rsidRDefault="007E5B29" w:rsidP="005334D5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 xml:space="preserve">Među ostalim: </w:t>
      </w:r>
      <w:r w:rsidRPr="005334D5">
        <w:rPr>
          <w:i/>
          <w:sz w:val="24"/>
          <w:lang w:val="hr-HR"/>
        </w:rPr>
        <w:t>Komisija protiv Mađarske</w:t>
      </w:r>
      <w:r w:rsidRPr="005334D5">
        <w:rPr>
          <w:sz w:val="24"/>
          <w:lang w:val="hr-HR"/>
        </w:rPr>
        <w:t xml:space="preserve"> (Transparentnost udruživanja), predmet C-78/18, ECLI:EU:C:2020:476;</w:t>
      </w:r>
    </w:p>
    <w:p w:rsidR="007E5B29" w:rsidRPr="005334D5" w:rsidRDefault="005334D5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sz w:val="24"/>
          <w:lang w:val="hr-HR"/>
        </w:rPr>
        <w:t xml:space="preserve"> </w:t>
      </w:r>
      <w:r w:rsidRPr="005334D5">
        <w:rPr>
          <w:sz w:val="24"/>
          <w:lang w:val="hr-HR"/>
        </w:rPr>
        <w:tab/>
      </w:r>
      <w:r w:rsidR="007E5B29" w:rsidRPr="005334D5">
        <w:rPr>
          <w:sz w:val="24"/>
          <w:lang w:val="hr-HR"/>
        </w:rPr>
        <w:t xml:space="preserve">Presuda Suda (drugo vijeće) od 6. listopada 2022. </w:t>
      </w:r>
      <w:r w:rsidR="007E5B29" w:rsidRPr="005334D5">
        <w:rPr>
          <w:i/>
          <w:sz w:val="24"/>
          <w:lang w:val="hr-HR"/>
        </w:rPr>
        <w:t>I. L</w:t>
      </w:r>
      <w:r w:rsidR="007E5B29" w:rsidRPr="005334D5">
        <w:rPr>
          <w:sz w:val="24"/>
          <w:lang w:val="hr-HR"/>
        </w:rPr>
        <w:t xml:space="preserve">. </w:t>
      </w:r>
      <w:r w:rsidR="007E5B29" w:rsidRPr="005334D5">
        <w:rPr>
          <w:i/>
          <w:iCs/>
          <w:sz w:val="24"/>
          <w:lang w:val="hr-HR"/>
        </w:rPr>
        <w:t xml:space="preserve">protiv </w:t>
      </w:r>
      <w:proofErr w:type="spellStart"/>
      <w:r w:rsidR="007E5B29" w:rsidRPr="005334D5">
        <w:rPr>
          <w:i/>
          <w:iCs/>
          <w:sz w:val="24"/>
          <w:lang w:val="hr-HR"/>
        </w:rPr>
        <w:t>Politsei</w:t>
      </w:r>
      <w:proofErr w:type="spellEnd"/>
      <w:r w:rsidR="007E5B29" w:rsidRPr="005334D5">
        <w:rPr>
          <w:i/>
          <w:iCs/>
          <w:sz w:val="24"/>
          <w:lang w:val="hr-HR"/>
        </w:rPr>
        <w:t xml:space="preserve">- ja </w:t>
      </w:r>
      <w:proofErr w:type="spellStart"/>
      <w:r w:rsidR="007E5B29" w:rsidRPr="005334D5">
        <w:rPr>
          <w:i/>
          <w:iCs/>
          <w:sz w:val="24"/>
          <w:lang w:val="hr-HR"/>
        </w:rPr>
        <w:t>Piirivalveamet</w:t>
      </w:r>
      <w:proofErr w:type="spellEnd"/>
      <w:r w:rsidR="007E5B29" w:rsidRPr="005334D5">
        <w:rPr>
          <w:i/>
          <w:iCs/>
          <w:sz w:val="24"/>
          <w:lang w:val="hr-HR"/>
        </w:rPr>
        <w:t>,</w:t>
      </w:r>
      <w:r w:rsidR="007E5B29" w:rsidRPr="005334D5">
        <w:rPr>
          <w:sz w:val="24"/>
          <w:lang w:val="hr-HR"/>
        </w:rPr>
        <w:t xml:space="preserve"> ECLI:EU:C:2022:753.</w:t>
      </w:r>
    </w:p>
  </w:footnote>
  <w:footnote w:id="2">
    <w:p w:rsidR="007E5B29" w:rsidRPr="00882E5D" w:rsidRDefault="007E5B29" w:rsidP="005334D5">
      <w:pPr>
        <w:pStyle w:val="FootnoteText"/>
        <w:ind w:left="567" w:hanging="567"/>
        <w:rPr>
          <w:sz w:val="24"/>
          <w:u w:color="0000FF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="00C9294C">
        <w:rPr>
          <w:sz w:val="24"/>
          <w:lang w:val="hr-HR"/>
        </w:rPr>
        <w:t>SL L 433 I</w:t>
      </w:r>
      <w:r w:rsidRPr="005334D5">
        <w:rPr>
          <w:sz w:val="24"/>
          <w:lang w:val="hr-HR"/>
        </w:rPr>
        <w:t xml:space="preserve">, 22.12.2020., </w:t>
      </w:r>
      <w:r w:rsidRPr="00882E5D">
        <w:rPr>
          <w:sz w:val="24"/>
          <w:lang w:val="hr-HR"/>
        </w:rPr>
        <w:t>str. 1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"file:///\\\\ipolbrusncf01\\userdocs$\\Jnwokekilly\\Documents\\DocEP\\TEMP\\" </w:instrText>
      </w:r>
      <w:r w:rsidR="00405EC0">
        <w:fldChar w:fldCharType="separate"/>
      </w:r>
      <w:r w:rsidRPr="00882E5D">
        <w:rPr>
          <w:rStyle w:val="Hyperlink"/>
          <w:color w:val="auto"/>
          <w:sz w:val="24"/>
          <w:u w:val="none"/>
          <w:lang w:val="hr-HR"/>
        </w:rPr>
        <w:t>.</w:t>
      </w:r>
      <w:r w:rsidR="00405EC0">
        <w:rPr>
          <w:rStyle w:val="Hyperlink"/>
          <w:color w:val="auto"/>
          <w:sz w:val="24"/>
          <w:u w:val="none"/>
          <w:lang w:val="hr-HR"/>
        </w:rPr>
        <w:fldChar w:fldCharType="end"/>
      </w:r>
    </w:p>
  </w:footnote>
  <w:footnote w:id="3">
    <w:p w:rsidR="007E5B29" w:rsidRPr="00882E5D" w:rsidRDefault="007E5B29" w:rsidP="005334D5">
      <w:pPr>
        <w:pStyle w:val="FootnoteText"/>
        <w:ind w:left="567" w:hanging="567"/>
        <w:rPr>
          <w:sz w:val="24"/>
          <w:u w:color="0000FF"/>
          <w:lang w:val="hr-HR"/>
        </w:rPr>
      </w:pPr>
      <w:r w:rsidRPr="00882E5D">
        <w:rPr>
          <w:rStyle w:val="FootnoteReference"/>
          <w:sz w:val="24"/>
          <w:lang w:val="hr-HR"/>
        </w:rPr>
        <w:footnoteRef/>
      </w:r>
      <w:r w:rsidR="005334D5" w:rsidRPr="00882E5D">
        <w:rPr>
          <w:sz w:val="24"/>
          <w:lang w:val="hr-HR"/>
        </w:rPr>
        <w:t xml:space="preserve"> </w:t>
      </w:r>
      <w:r w:rsidR="005334D5" w:rsidRPr="00882E5D">
        <w:rPr>
          <w:sz w:val="24"/>
          <w:lang w:val="hr-HR"/>
        </w:rPr>
        <w:tab/>
      </w:r>
      <w:r w:rsidRPr="00882E5D">
        <w:rPr>
          <w:sz w:val="24"/>
          <w:lang w:val="hr-HR"/>
        </w:rPr>
        <w:t>SL L 156, 5.5.2021., str. 1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"file:///\\\\ipolbrusncf01\\u</w:instrText>
      </w:r>
      <w:r w:rsidR="00405EC0" w:rsidRPr="00405EC0">
        <w:rPr>
          <w:lang w:val="hr-HR"/>
        </w:rPr>
        <w:instrText xml:space="preserve">serdocs$\\Jnwokekilly\\Documents\\DocEP\\TEMP\\" </w:instrText>
      </w:r>
      <w:r w:rsidR="00405EC0">
        <w:fldChar w:fldCharType="separate"/>
      </w:r>
      <w:r w:rsidRPr="00882E5D">
        <w:rPr>
          <w:rStyle w:val="Hyperlink"/>
          <w:color w:val="auto"/>
          <w:sz w:val="24"/>
          <w:u w:val="none"/>
          <w:lang w:val="hr-HR"/>
        </w:rPr>
        <w:t>.</w:t>
      </w:r>
      <w:r w:rsidR="00405EC0">
        <w:rPr>
          <w:rStyle w:val="Hyperlink"/>
          <w:color w:val="auto"/>
          <w:sz w:val="24"/>
          <w:u w:val="none"/>
          <w:lang w:val="hr-HR"/>
        </w:rPr>
        <w:fldChar w:fldCharType="end"/>
      </w:r>
    </w:p>
  </w:footnote>
  <w:footnote w:id="4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L 283, 31.10.2017., str. 1.</w:t>
      </w:r>
    </w:p>
  </w:footnote>
  <w:footnote w:id="5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L 119, 4.5.2016., str. 1.</w:t>
      </w:r>
    </w:p>
  </w:footnote>
  <w:footnote w:id="6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L 198, 28.7.2017., str. 29.</w:t>
      </w:r>
    </w:p>
  </w:footnote>
  <w:footnote w:id="7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L 328, 6.12.2008., str. 55.</w:t>
      </w:r>
    </w:p>
  </w:footnote>
  <w:footnote w:id="8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="00990AA1">
        <w:rPr>
          <w:sz w:val="24"/>
          <w:lang w:val="hr-HR"/>
        </w:rPr>
        <w:t>SL L 180, 19.7.</w:t>
      </w:r>
      <w:r w:rsidRPr="005334D5">
        <w:rPr>
          <w:sz w:val="24"/>
          <w:lang w:val="hr-HR"/>
        </w:rPr>
        <w:t>2000., str. 22.</w:t>
      </w:r>
    </w:p>
  </w:footnote>
  <w:footnote w:id="9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93, 19.3.2021., str. 1.</w:t>
      </w:r>
    </w:p>
  </w:footnote>
  <w:footnote w:id="10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L 331, 20.9.2021., str. 8.</w:t>
      </w:r>
    </w:p>
  </w:footnote>
  <w:footnote w:id="11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L 86, 24.3.2023., str. 44.</w:t>
      </w:r>
    </w:p>
  </w:footnote>
  <w:footnote w:id="12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="00990AA1">
        <w:rPr>
          <w:sz w:val="24"/>
          <w:lang w:val="hr-HR"/>
        </w:rPr>
        <w:t>SL L 245, 22.9.</w:t>
      </w:r>
      <w:r w:rsidRPr="005334D5">
        <w:rPr>
          <w:sz w:val="24"/>
          <w:lang w:val="hr-HR"/>
        </w:rPr>
        <w:t>2022., str. 56.</w:t>
      </w:r>
    </w:p>
  </w:footnote>
  <w:footnote w:id="13">
    <w:p w:rsidR="007E5B29" w:rsidRPr="00882E5D" w:rsidRDefault="007E5B29" w:rsidP="005334D5">
      <w:pPr>
        <w:pStyle w:val="FootnoteText"/>
        <w:ind w:left="567" w:hanging="567"/>
        <w:rPr>
          <w:sz w:val="24"/>
          <w:u w:color="0000FF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Vijeće Europe, „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"https://rm.coe.int/report-on-the-round-table-human-rights-defenders-in-the-council-of-eur/1680aaa813." </w:instrText>
      </w:r>
      <w:r w:rsidR="00405EC0">
        <w:fldChar w:fldCharType="separate"/>
      </w:r>
      <w:r w:rsidRPr="005334D5">
        <w:rPr>
          <w:rStyle w:val="Hyperlink"/>
          <w:sz w:val="24"/>
          <w:lang w:val="hr-HR"/>
        </w:rPr>
        <w:t>Borci za ljudska prava u području Vijeća Europe u vrijeme kriza</w:t>
      </w:r>
      <w:r w:rsidR="00405EC0">
        <w:rPr>
          <w:rStyle w:val="Hyperlink"/>
          <w:sz w:val="24"/>
          <w:lang w:val="hr-HR"/>
        </w:rPr>
        <w:fldChar w:fldCharType="end"/>
      </w:r>
      <w:r w:rsidRPr="005334D5">
        <w:rPr>
          <w:sz w:val="24"/>
          <w:lang w:val="hr-HR"/>
        </w:rPr>
        <w:t xml:space="preserve">”, 23. ožujka </w:t>
      </w:r>
      <w:r w:rsidRPr="00882E5D">
        <w:rPr>
          <w:sz w:val="24"/>
          <w:lang w:val="hr-HR"/>
        </w:rPr>
        <w:t>2023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"file:///\\\\ipolbrusncf01\\userdocs$\\Jnwokekilly\\Documents\\DocEP\\TEMP\\" </w:instrText>
      </w:r>
      <w:r w:rsidR="00405EC0">
        <w:fldChar w:fldCharType="separate"/>
      </w:r>
      <w:r w:rsidRPr="00882E5D">
        <w:rPr>
          <w:rStyle w:val="Hyperlink"/>
          <w:color w:val="auto"/>
          <w:sz w:val="24"/>
          <w:u w:val="none"/>
          <w:lang w:val="hr-HR"/>
        </w:rPr>
        <w:t>.</w:t>
      </w:r>
      <w:r w:rsidR="00405EC0">
        <w:rPr>
          <w:rStyle w:val="Hyperlink"/>
          <w:color w:val="auto"/>
          <w:sz w:val="24"/>
          <w:u w:val="none"/>
          <w:lang w:val="hr-HR"/>
        </w:rPr>
        <w:fldChar w:fldCharType="end"/>
      </w:r>
    </w:p>
  </w:footnote>
  <w:footnote w:id="14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363, 28.10.2020., str. 13.</w:t>
      </w:r>
    </w:p>
  </w:footnote>
  <w:footnote w:id="15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411, 27.11.2020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38.</w:t>
      </w:r>
    </w:p>
  </w:footnote>
  <w:footnote w:id="16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205, 20.5.2022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2.</w:t>
      </w:r>
    </w:p>
  </w:footnote>
  <w:footnote w:id="17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251, 30.6.2022., str. 48.</w:t>
      </w:r>
    </w:p>
  </w:footnote>
  <w:footnote w:id="18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342, 6.9.2022., str. 225.</w:t>
      </w:r>
    </w:p>
  </w:footnote>
  <w:footnote w:id="19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347, 9.9.2022., str. 2.</w:t>
      </w:r>
    </w:p>
  </w:footnote>
  <w:footnote w:id="20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347, 9.9.2022., str. 168.</w:t>
      </w:r>
    </w:p>
  </w:footnote>
  <w:footnote w:id="21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493, 27.12.2022., str. 108.</w:t>
      </w:r>
    </w:p>
  </w:footnote>
  <w:footnote w:id="22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47, 7.2.2023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184.</w:t>
      </w:r>
    </w:p>
  </w:footnote>
  <w:footnote w:id="23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125, 5.4.2023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463.</w:t>
      </w:r>
    </w:p>
  </w:footnote>
  <w:footnote w:id="24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132, 14.4.2023., str. 29.</w:t>
      </w:r>
    </w:p>
  </w:footnote>
  <w:footnote w:id="25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177, 17.5.2023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109.</w:t>
      </w:r>
    </w:p>
  </w:footnote>
  <w:footnote w:id="26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47, 7.2.2023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268.</w:t>
      </w:r>
    </w:p>
  </w:footnote>
  <w:footnote w:id="27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465, 6.12.2022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 33.</w:t>
      </w:r>
    </w:p>
  </w:footnote>
  <w:footnote w:id="28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465, 6.12.2022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 147.</w:t>
      </w:r>
    </w:p>
  </w:footnote>
  <w:footnote w:id="29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="00990AA1">
        <w:rPr>
          <w:sz w:val="24"/>
          <w:lang w:val="hr-HR"/>
        </w:rPr>
        <w:t>SL L 45, 14.2.</w:t>
      </w:r>
      <w:r w:rsidRPr="005334D5">
        <w:rPr>
          <w:sz w:val="24"/>
          <w:lang w:val="hr-HR"/>
        </w:rPr>
        <w:t>2023., str. 13.</w:t>
      </w:r>
      <w:r w:rsidRPr="005334D5">
        <w:rPr>
          <w:b/>
          <w:i/>
          <w:sz w:val="24"/>
          <w:lang w:val="hr-HR"/>
        </w:rPr>
        <w:t xml:space="preserve"> </w:t>
      </w:r>
    </w:p>
  </w:footnote>
  <w:footnote w:id="30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149, 28.4.2023</w:t>
      </w:r>
      <w:r w:rsidR="00882E5D">
        <w:rPr>
          <w:sz w:val="24"/>
          <w:lang w:val="hr-HR"/>
        </w:rPr>
        <w:t>.</w:t>
      </w:r>
      <w:r w:rsidRPr="005334D5">
        <w:rPr>
          <w:sz w:val="24"/>
          <w:lang w:val="hr-HR"/>
        </w:rPr>
        <w:t>, str. 22.</w:t>
      </w:r>
      <w:r w:rsidRPr="005334D5">
        <w:rPr>
          <w:b/>
          <w:i/>
          <w:sz w:val="24"/>
          <w:lang w:val="hr-HR"/>
        </w:rPr>
        <w:t xml:space="preserve"> </w:t>
      </w:r>
    </w:p>
  </w:footnote>
  <w:footnote w:id="31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 C 161, 5.5.2023., str. 10.</w:t>
      </w:r>
    </w:p>
  </w:footnote>
  <w:footnote w:id="32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 C 177, 17.5.2023., str. 13.</w:t>
      </w:r>
      <w:r w:rsidRPr="005334D5">
        <w:rPr>
          <w:b/>
          <w:i/>
          <w:sz w:val="24"/>
          <w:lang w:val="hr-HR"/>
        </w:rPr>
        <w:t xml:space="preserve"> </w:t>
      </w:r>
    </w:p>
  </w:footnote>
  <w:footnote w:id="33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="00C9294C">
        <w:rPr>
          <w:sz w:val="24"/>
          <w:lang w:val="hr-HR"/>
        </w:rPr>
        <w:t xml:space="preserve">Usvojeni tekstovi, </w:t>
      </w:r>
      <w:r w:rsidRPr="005334D5">
        <w:rPr>
          <w:sz w:val="24"/>
          <w:lang w:val="hr-HR"/>
        </w:rPr>
        <w:t>P9_TA(2023)0111.</w:t>
      </w:r>
    </w:p>
  </w:footnote>
  <w:footnote w:id="34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Usvojeni tekstovi, P9_TA(2023)0196.</w:t>
      </w:r>
    </w:p>
  </w:footnote>
  <w:footnote w:id="35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Usvojeni tekstovi, P9_TA(2023)0204.</w:t>
      </w:r>
    </w:p>
  </w:footnote>
  <w:footnote w:id="36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Usvojeni tekstovi, P9_TA(2023)0216.</w:t>
      </w:r>
    </w:p>
  </w:footnote>
  <w:footnote w:id="37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Usvojeni tekstovi, P9_TA(2023)0295.</w:t>
      </w:r>
    </w:p>
  </w:footnote>
  <w:footnote w:id="38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Usvojeni tekstovi, P9_TA(2023)0342.</w:t>
      </w:r>
    </w:p>
  </w:footnote>
  <w:footnote w:id="39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i/>
          <w:sz w:val="24"/>
          <w:lang w:val="hr-HR"/>
        </w:rPr>
        <w:t xml:space="preserve"> </w:t>
      </w:r>
      <w:r w:rsidR="005334D5" w:rsidRPr="005334D5">
        <w:rPr>
          <w:i/>
          <w:sz w:val="24"/>
          <w:lang w:val="hr-HR"/>
        </w:rPr>
        <w:tab/>
      </w:r>
      <w:r w:rsidRPr="005334D5">
        <w:rPr>
          <w:i/>
          <w:sz w:val="24"/>
          <w:lang w:val="hr-HR"/>
        </w:rPr>
        <w:t>Europska komisija protiv Mađarske</w:t>
      </w:r>
      <w:r w:rsidRPr="005334D5">
        <w:rPr>
          <w:sz w:val="24"/>
          <w:lang w:val="hr-HR"/>
        </w:rPr>
        <w:t xml:space="preserve"> (Transparentnost udruživanja), pred</w:t>
      </w:r>
      <w:r w:rsidR="00882E5D">
        <w:rPr>
          <w:sz w:val="24"/>
          <w:lang w:val="hr-HR"/>
        </w:rPr>
        <w:t>met C-78/18, ECLI:EU:C:2020:476.</w:t>
      </w:r>
    </w:p>
  </w:footnote>
  <w:footnote w:id="40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Pružanje pomoći svim osobama koje se nađu u opasnosti na moru pravna je obveza država članica utvrđena međunarodnim običajnim i konvencijskim pravom (Međunarodna konvencija o zaštiti ljudskih života na moru – Konvencija SOLAS iz 1974.; Konvencija Ujedinjenih naroda o pravu mora – UNCLOS, 1982.; Međunarodna konvencija o traganju i spašavanju na moru iz 1979.), kao i pravo EU-a.</w:t>
      </w:r>
    </w:p>
  </w:footnote>
  <w:footnote w:id="41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 xml:space="preserve">Presuda Suda (drugo vijeće) od 6. listopada 2022. </w:t>
      </w:r>
      <w:r w:rsidRPr="005334D5">
        <w:rPr>
          <w:i/>
          <w:sz w:val="24"/>
          <w:lang w:val="hr-HR"/>
        </w:rPr>
        <w:t xml:space="preserve">I. L. protiv </w:t>
      </w:r>
      <w:proofErr w:type="spellStart"/>
      <w:r w:rsidRPr="005334D5">
        <w:rPr>
          <w:i/>
          <w:sz w:val="24"/>
          <w:lang w:val="hr-HR"/>
        </w:rPr>
        <w:t>Politsei</w:t>
      </w:r>
      <w:proofErr w:type="spellEnd"/>
      <w:r w:rsidRPr="005334D5">
        <w:rPr>
          <w:i/>
          <w:sz w:val="24"/>
          <w:lang w:val="hr-HR"/>
        </w:rPr>
        <w:t xml:space="preserve">- ja </w:t>
      </w:r>
      <w:proofErr w:type="spellStart"/>
      <w:r w:rsidRPr="005334D5">
        <w:rPr>
          <w:i/>
          <w:sz w:val="24"/>
          <w:lang w:val="hr-HR"/>
        </w:rPr>
        <w:t>Piirivalveamet</w:t>
      </w:r>
      <w:proofErr w:type="spellEnd"/>
      <w:r w:rsidRPr="005334D5">
        <w:rPr>
          <w:sz w:val="24"/>
          <w:lang w:val="hr-HR"/>
        </w:rPr>
        <w:t>, ECLI:EU:C:2022:753.</w:t>
      </w:r>
    </w:p>
  </w:footnote>
  <w:footnote w:id="42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Agencija Europske unije za temeljna prava, Izvješće o temeljnim pravima 2023., str. 148., 8. lipnja 2023.</w:t>
      </w:r>
    </w:p>
  </w:footnote>
  <w:footnote w:id="43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Agencija Europske unije za temeljna prava, Izvješće o temeljnim pravima 2023., str. 148., 8. lipnja 2023.</w:t>
      </w:r>
    </w:p>
  </w:footnote>
  <w:footnote w:id="44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 xml:space="preserve">Pojam „romsko stanovništvo” obuhvaća različite skupine, uključujući Rome, Kale, </w:t>
      </w:r>
      <w:proofErr w:type="spellStart"/>
      <w:r w:rsidRPr="005334D5">
        <w:rPr>
          <w:sz w:val="24"/>
          <w:lang w:val="hr-HR"/>
        </w:rPr>
        <w:t>Manuše</w:t>
      </w:r>
      <w:proofErr w:type="spellEnd"/>
      <w:r w:rsidRPr="005334D5">
        <w:rPr>
          <w:sz w:val="24"/>
          <w:lang w:val="hr-HR"/>
        </w:rPr>
        <w:t xml:space="preserve">, </w:t>
      </w:r>
      <w:proofErr w:type="spellStart"/>
      <w:r w:rsidRPr="005334D5">
        <w:rPr>
          <w:sz w:val="24"/>
          <w:lang w:val="hr-HR"/>
        </w:rPr>
        <w:t>Aškale</w:t>
      </w:r>
      <w:proofErr w:type="spellEnd"/>
      <w:r w:rsidRPr="005334D5">
        <w:rPr>
          <w:sz w:val="24"/>
          <w:lang w:val="hr-HR"/>
        </w:rPr>
        <w:t xml:space="preserve">, Putnike, </w:t>
      </w:r>
      <w:proofErr w:type="spellStart"/>
      <w:r w:rsidRPr="005334D5">
        <w:rPr>
          <w:sz w:val="24"/>
          <w:lang w:val="hr-HR"/>
        </w:rPr>
        <w:t>Lovare</w:t>
      </w:r>
      <w:proofErr w:type="spellEnd"/>
      <w:r w:rsidRPr="005334D5">
        <w:rPr>
          <w:sz w:val="24"/>
          <w:lang w:val="hr-HR"/>
        </w:rPr>
        <w:t xml:space="preserve">, </w:t>
      </w:r>
      <w:proofErr w:type="spellStart"/>
      <w:r w:rsidRPr="005334D5">
        <w:rPr>
          <w:sz w:val="24"/>
          <w:lang w:val="hr-HR"/>
        </w:rPr>
        <w:t>Rissende</w:t>
      </w:r>
      <w:proofErr w:type="spellEnd"/>
      <w:r w:rsidRPr="005334D5">
        <w:rPr>
          <w:sz w:val="24"/>
          <w:lang w:val="hr-HR"/>
        </w:rPr>
        <w:t xml:space="preserve">, Bajaše, Domare, </w:t>
      </w:r>
      <w:proofErr w:type="spellStart"/>
      <w:r w:rsidRPr="005334D5">
        <w:rPr>
          <w:sz w:val="24"/>
          <w:lang w:val="hr-HR"/>
        </w:rPr>
        <w:t>Kalderaše</w:t>
      </w:r>
      <w:proofErr w:type="spellEnd"/>
      <w:r w:rsidRPr="005334D5">
        <w:rPr>
          <w:sz w:val="24"/>
          <w:lang w:val="hr-HR"/>
        </w:rPr>
        <w:t xml:space="preserve">, </w:t>
      </w:r>
      <w:proofErr w:type="spellStart"/>
      <w:r w:rsidRPr="005334D5">
        <w:rPr>
          <w:sz w:val="24"/>
          <w:lang w:val="hr-HR"/>
        </w:rPr>
        <w:t>Romaničele</w:t>
      </w:r>
      <w:proofErr w:type="spellEnd"/>
      <w:r w:rsidRPr="005334D5">
        <w:rPr>
          <w:sz w:val="24"/>
          <w:lang w:val="hr-HR"/>
        </w:rPr>
        <w:t xml:space="preserve"> i </w:t>
      </w:r>
      <w:proofErr w:type="spellStart"/>
      <w:r w:rsidRPr="005334D5">
        <w:rPr>
          <w:sz w:val="24"/>
          <w:lang w:val="hr-HR"/>
        </w:rPr>
        <w:t>Sinte</w:t>
      </w:r>
      <w:proofErr w:type="spellEnd"/>
      <w:r w:rsidRPr="005334D5">
        <w:rPr>
          <w:sz w:val="24"/>
          <w:lang w:val="hr-HR"/>
        </w:rPr>
        <w:t>. Ne postoji zajednički dogovorena terminologija jer neke zajednice preferiraju izraz „Romi”.</w:t>
      </w:r>
    </w:p>
  </w:footnote>
  <w:footnote w:id="45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Služba Europskog parlamenta za istraživanja, Kratko izvješće „</w:t>
      </w:r>
      <w:proofErr w:type="spellStart"/>
      <w:r w:rsidRPr="005334D5">
        <w:rPr>
          <w:sz w:val="24"/>
          <w:lang w:val="hr-HR"/>
        </w:rPr>
        <w:t>Combating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hate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speech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and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hate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crime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in</w:t>
      </w:r>
      <w:proofErr w:type="spellEnd"/>
      <w:r w:rsidRPr="005334D5">
        <w:rPr>
          <w:sz w:val="24"/>
          <w:lang w:val="hr-HR"/>
        </w:rPr>
        <w:t xml:space="preserve"> </w:t>
      </w:r>
      <w:proofErr w:type="spellStart"/>
      <w:r w:rsidRPr="005334D5">
        <w:rPr>
          <w:sz w:val="24"/>
          <w:lang w:val="hr-HR"/>
        </w:rPr>
        <w:t>the</w:t>
      </w:r>
      <w:proofErr w:type="spellEnd"/>
      <w:r w:rsidRPr="005334D5">
        <w:rPr>
          <w:sz w:val="24"/>
          <w:lang w:val="hr-HR"/>
        </w:rPr>
        <w:t xml:space="preserve"> EU” (Borba protiv govora mržnje i zločina iz mržnje u EU-u), lipanj 2022.</w:t>
      </w:r>
    </w:p>
  </w:footnote>
  <w:footnote w:id="46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 xml:space="preserve">Europski </w:t>
      </w:r>
      <w:proofErr w:type="spellStart"/>
      <w:r w:rsidRPr="005334D5">
        <w:rPr>
          <w:sz w:val="24"/>
          <w:lang w:val="hr-HR"/>
        </w:rPr>
        <w:t>ombudsman</w:t>
      </w:r>
      <w:proofErr w:type="spellEnd"/>
      <w:r w:rsidRPr="005334D5">
        <w:rPr>
          <w:sz w:val="24"/>
          <w:lang w:val="hr-HR"/>
        </w:rPr>
        <w:t>, „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"https://www.ombudsman.europa.eu/en/recommendation/en/151678" </w:instrText>
      </w:r>
      <w:r w:rsidR="00405EC0">
        <w:fldChar w:fldCharType="separate"/>
      </w:r>
      <w:r w:rsidRPr="005334D5">
        <w:rPr>
          <w:rStyle w:val="Hyperlink"/>
          <w:sz w:val="24"/>
          <w:lang w:val="hr-HR"/>
        </w:rPr>
        <w:t>Preporuka o odbijanju Europske komisije da odobri javni pristup tekstualnim porukama koje su razmijenili predsjednica Komisije i glavni izvršni direktor farmaceutske kompanije u vezi s kupnjom cjepiva protiv bolesti COVID-19 (predmet 1316/2021/MIG)</w:t>
      </w:r>
      <w:r w:rsidR="00405EC0">
        <w:rPr>
          <w:rStyle w:val="Hyperlink"/>
          <w:sz w:val="24"/>
          <w:lang w:val="hr-HR"/>
        </w:rPr>
        <w:fldChar w:fldCharType="end"/>
      </w:r>
      <w:r w:rsidR="00882E5D">
        <w:rPr>
          <w:sz w:val="24"/>
          <w:lang w:val="hr-HR"/>
        </w:rPr>
        <w:t>”</w:t>
      </w:r>
      <w:r w:rsidR="00882E5D" w:rsidRPr="00882E5D">
        <w:rPr>
          <w:sz w:val="24"/>
          <w:lang w:val="hr-HR"/>
        </w:rPr>
        <w:t>.</w:t>
      </w:r>
    </w:p>
  </w:footnote>
  <w:footnote w:id="47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Direktiva (EU) 2019/1937 Europskog parlamenta i Vijeća od 23. listopada 2019. o zaštiti osoba koje prijavljuju povrede prava Unije (SL L 305, 26.11.2019., str. 17.).</w:t>
      </w:r>
    </w:p>
  </w:footnote>
  <w:footnote w:id="48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Direktiva Vijeća 2001/55/EZ od 20. srpnja 2001. o minimalnim standardima za dodjelu privremene zaštite u slučaju masovnog priljeva raseljenih osoba te o mjerama za promicanje uravnoteženih napora država članica pri prihvatu i snošenju posljedica prihvata tih osoba (SL L 212, 7.8.2001., str. 12.).</w:t>
      </w:r>
    </w:p>
  </w:footnote>
  <w:footnote w:id="49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>Vijeće Europe, „</w:t>
      </w:r>
      <w:r w:rsidR="00405EC0">
        <w:fldChar w:fldCharType="begin"/>
      </w:r>
      <w:r w:rsidR="00405EC0" w:rsidRPr="00405EC0">
        <w:rPr>
          <w:lang w:val="hr-HR"/>
        </w:rPr>
        <w:instrText xml:space="preserve"> HYPERLINK "https://search.coe.int/cm/Pages/result_details.aspx?ObjectId=0900001680a69407" </w:instrText>
      </w:r>
      <w:r w:rsidR="00405EC0">
        <w:fldChar w:fldCharType="separate"/>
      </w:r>
      <w:r w:rsidRPr="005334D5">
        <w:rPr>
          <w:rStyle w:val="Hyperlink"/>
          <w:sz w:val="24"/>
          <w:lang w:val="hr-HR"/>
        </w:rPr>
        <w:t>Preporuka CM/</w:t>
      </w:r>
      <w:proofErr w:type="spellStart"/>
      <w:r w:rsidRPr="005334D5">
        <w:rPr>
          <w:rStyle w:val="Hyperlink"/>
          <w:sz w:val="24"/>
          <w:lang w:val="hr-HR"/>
        </w:rPr>
        <w:t>Rec</w:t>
      </w:r>
      <w:proofErr w:type="spellEnd"/>
      <w:r w:rsidRPr="005334D5">
        <w:rPr>
          <w:rStyle w:val="Hyperlink"/>
          <w:sz w:val="24"/>
          <w:lang w:val="hr-HR"/>
        </w:rPr>
        <w:t>(2022)17 Odbora ministara državama članicama o zaštiti prava žena i djevojčica migranata, izbjeglica i tražitelja azila</w:t>
      </w:r>
      <w:r w:rsidR="00405EC0">
        <w:rPr>
          <w:rStyle w:val="Hyperlink"/>
          <w:sz w:val="24"/>
          <w:lang w:val="hr-HR"/>
        </w:rPr>
        <w:fldChar w:fldCharType="end"/>
      </w:r>
      <w:r w:rsidRPr="005334D5">
        <w:rPr>
          <w:sz w:val="24"/>
          <w:lang w:val="hr-HR"/>
        </w:rPr>
        <w:t>”, 20. svibnja 2022.</w:t>
      </w:r>
    </w:p>
  </w:footnote>
  <w:footnote w:id="50">
    <w:p w:rsidR="007E5B29" w:rsidRPr="005334D5" w:rsidRDefault="007E5B29" w:rsidP="005334D5">
      <w:pPr>
        <w:pStyle w:val="FootnoteText"/>
        <w:ind w:left="567" w:hanging="567"/>
        <w:rPr>
          <w:sz w:val="24"/>
          <w:lang w:val="hr-HR"/>
        </w:rPr>
      </w:pPr>
      <w:r w:rsidRPr="005334D5">
        <w:rPr>
          <w:rStyle w:val="FootnoteReference"/>
          <w:sz w:val="24"/>
          <w:lang w:val="hr-HR"/>
        </w:rPr>
        <w:footnoteRef/>
      </w:r>
      <w:r w:rsidR="005334D5" w:rsidRPr="005334D5">
        <w:rPr>
          <w:sz w:val="24"/>
          <w:lang w:val="hr-HR"/>
        </w:rPr>
        <w:t xml:space="preserve"> </w:t>
      </w:r>
      <w:r w:rsidR="005334D5" w:rsidRPr="005334D5">
        <w:rPr>
          <w:sz w:val="24"/>
          <w:lang w:val="hr-HR"/>
        </w:rPr>
        <w:tab/>
      </w:r>
      <w:r w:rsidRPr="005334D5">
        <w:rPr>
          <w:sz w:val="24"/>
          <w:lang w:val="hr-HR"/>
        </w:rPr>
        <w:t xml:space="preserve">Preporuka Vijeća od 30. siječnja 2023. o primjerenom minimalnom dohotku kojim se osigurava aktivno uključivanje </w:t>
      </w:r>
      <w:r w:rsidR="00882E5D">
        <w:rPr>
          <w:sz w:val="24"/>
          <w:lang w:val="hr-HR"/>
        </w:rPr>
        <w:t>(</w:t>
      </w:r>
      <w:r w:rsidRPr="005334D5">
        <w:rPr>
          <w:sz w:val="24"/>
          <w:lang w:val="hr-HR"/>
        </w:rPr>
        <w:t>SL C 41, 3.2.2023., str. 1.</w:t>
      </w:r>
      <w:r w:rsidR="00882E5D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34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6/2023"/>
    <w:docVar w:name="dvlangue" w:val="HR"/>
    <w:docVar w:name="dvnumam" w:val="0"/>
    <w:docVar w:name="dvpe" w:val="749.923"/>
    <w:docVar w:name="dvrapporteur" w:val="Izvjestiteljica: "/>
    <w:docVar w:name="dvtitre" w:val="Rezolucija Europskog parlamenta od .... 2024. o stanju temeljnih prava u Europskoj uniji – godišnje izvješće za 2022. i 2023.(2023/2028(INI))"/>
  </w:docVars>
  <w:rsids>
    <w:rsidRoot w:val="005F41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5E9"/>
    <w:rsid w:val="00343214"/>
    <w:rsid w:val="00361C00"/>
    <w:rsid w:val="00395FA1"/>
    <w:rsid w:val="003E15D4"/>
    <w:rsid w:val="00405EC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4D5"/>
    <w:rsid w:val="00545827"/>
    <w:rsid w:val="00560270"/>
    <w:rsid w:val="005C2568"/>
    <w:rsid w:val="005E3A91"/>
    <w:rsid w:val="005F419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B29"/>
    <w:rsid w:val="00817416"/>
    <w:rsid w:val="00842779"/>
    <w:rsid w:val="00865F67"/>
    <w:rsid w:val="00881A7B"/>
    <w:rsid w:val="00882E5D"/>
    <w:rsid w:val="008840E5"/>
    <w:rsid w:val="00887B3E"/>
    <w:rsid w:val="008C2AC6"/>
    <w:rsid w:val="00930C23"/>
    <w:rsid w:val="0093193B"/>
    <w:rsid w:val="009509D8"/>
    <w:rsid w:val="00950B64"/>
    <w:rsid w:val="00981893"/>
    <w:rsid w:val="00990A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94C"/>
    <w:rsid w:val="00C941CB"/>
    <w:rsid w:val="00CC2357"/>
    <w:rsid w:val="00CF071A"/>
    <w:rsid w:val="00CF7F0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79B23"/>
  <w15:chartTrackingRefBased/>
  <w15:docId w15:val="{6741739F-9026-46D5-9EE0-A4C0608E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E5B29"/>
    <w:pPr>
      <w:spacing w:after="240"/>
      <w:ind w:left="567" w:hanging="567"/>
    </w:pPr>
  </w:style>
  <w:style w:type="paragraph" w:customStyle="1" w:styleId="EPComma">
    <w:name w:val="EPComma"/>
    <w:basedOn w:val="Normal"/>
    <w:rsid w:val="007E5B2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E5B29"/>
    <w:rPr>
      <w:color w:val="0563C1" w:themeColor="hyperlink"/>
      <w:u w:val="single"/>
    </w:rPr>
  </w:style>
  <w:style w:type="paragraph" w:customStyle="1" w:styleId="Normal12a24b">
    <w:name w:val="Normal12a24b"/>
    <w:basedOn w:val="Normal"/>
    <w:rsid w:val="007E5B29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7E5B29"/>
    <w:rPr>
      <w:b/>
      <w:bCs w:val="0"/>
    </w:rPr>
  </w:style>
  <w:style w:type="character" w:customStyle="1" w:styleId="Italic">
    <w:name w:val="Italic"/>
    <w:uiPriority w:val="1"/>
    <w:rsid w:val="007E5B29"/>
    <w:rPr>
      <w:i/>
      <w:iCs w:val="0"/>
    </w:rPr>
  </w:style>
  <w:style w:type="character" w:customStyle="1" w:styleId="NormalHanging12aChar">
    <w:name w:val="NormalHanging12a Char"/>
    <w:basedOn w:val="DefaultParagraphFont"/>
    <w:link w:val="NormalHanging12a"/>
    <w:rsid w:val="007E5B29"/>
    <w:rPr>
      <w:sz w:val="24"/>
      <w:lang w:val="hr-HR"/>
    </w:rPr>
  </w:style>
  <w:style w:type="paragraph" w:styleId="BalloonText">
    <w:name w:val="Balloon Text"/>
    <w:basedOn w:val="Normal"/>
    <w:link w:val="BalloonTextChar"/>
    <w:rsid w:val="002E35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35E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FED35-1336-426F-A365-324B0314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8613</Words>
  <Characters>51764</Characters>
  <Application>Microsoft Office Word</Application>
  <DocSecurity>0</DocSecurity>
  <Lines>431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2024-05-27T12:54:00Z</dcterms:created>
  <dcterms:modified xsi:type="dcterms:W3CDTF">2024-05-27T12:54:00Z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P9_TA(2024)0050_</vt:lpwstr>
  </property>
  <property fmtid="{D5CDD505-2E9C-101B-9397-08002B2CF9AE}" pid="4" name="&lt;Type&gt;">
    <vt:lpwstr>RR</vt:lpwstr>
  </property>
</Properties>
</file>