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440ED" w:rsidTr="0010095E">
        <w:trPr>
          <w:trHeight w:hRule="exact" w:val="1418"/>
        </w:trPr>
        <w:tc>
          <w:tcPr>
            <w:tcW w:w="6804" w:type="dxa"/>
            <w:shd w:val="clear" w:color="auto" w:fill="auto"/>
            <w:vAlign w:val="center"/>
          </w:tcPr>
          <w:p w:rsidR="00751A4A" w:rsidRPr="009440ED" w:rsidRDefault="00D027BF" w:rsidP="0010095E">
            <w:pPr>
              <w:pStyle w:val="EPName"/>
            </w:pPr>
            <w:r w:rsidRPr="009440ED">
              <w:t>Európai Parlament</w:t>
            </w:r>
          </w:p>
          <w:p w:rsidR="00751A4A" w:rsidRPr="009440ED" w:rsidRDefault="00817416" w:rsidP="00756632">
            <w:pPr>
              <w:pStyle w:val="EPTerm"/>
              <w:rPr>
                <w:rStyle w:val="HideTWBExt"/>
                <w:noProof w:val="0"/>
                <w:vanish w:val="0"/>
                <w:color w:val="auto"/>
              </w:rPr>
            </w:pPr>
            <w:r w:rsidRPr="009440ED">
              <w:t>2019-2024</w:t>
            </w:r>
          </w:p>
        </w:tc>
        <w:tc>
          <w:tcPr>
            <w:tcW w:w="2268" w:type="dxa"/>
            <w:shd w:val="clear" w:color="auto" w:fill="auto"/>
          </w:tcPr>
          <w:p w:rsidR="00751A4A" w:rsidRPr="009440ED" w:rsidRDefault="00187494" w:rsidP="0010095E">
            <w:pPr>
              <w:pStyle w:val="EPLogo"/>
            </w:pPr>
            <w:r w:rsidRPr="009440ED">
              <w:rPr>
                <w:noProof/>
                <w:lang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440ED" w:rsidRDefault="00D058B8" w:rsidP="004C5D52">
      <w:pPr>
        <w:pStyle w:val="LineTop"/>
      </w:pPr>
    </w:p>
    <w:p w:rsidR="00680577" w:rsidRPr="009440ED" w:rsidRDefault="00D027BF" w:rsidP="00680577">
      <w:pPr>
        <w:pStyle w:val="EPBodyTA1"/>
      </w:pPr>
      <w:r w:rsidRPr="009440ED">
        <w:t>ELFOGADOTT SZÖVEGEK</w:t>
      </w:r>
    </w:p>
    <w:p w:rsidR="00D058B8" w:rsidRPr="009440ED" w:rsidRDefault="00D058B8" w:rsidP="00D058B8">
      <w:pPr>
        <w:pStyle w:val="LineBottom"/>
      </w:pPr>
    </w:p>
    <w:p w:rsidR="00D027BF" w:rsidRPr="009440ED" w:rsidRDefault="00D027BF" w:rsidP="00D027BF">
      <w:pPr>
        <w:pStyle w:val="ATHeading1"/>
      </w:pPr>
      <w:bookmarkStart w:id="0" w:name="TANumber"/>
      <w:r w:rsidRPr="009440ED">
        <w:t>P9_</w:t>
      </w:r>
      <w:proofErr w:type="gramStart"/>
      <w:r w:rsidRPr="009440ED">
        <w:t>TA(</w:t>
      </w:r>
      <w:proofErr w:type="gramEnd"/>
      <w:r w:rsidRPr="009440ED">
        <w:t>2024)00</w:t>
      </w:r>
      <w:r w:rsidR="00E409C8" w:rsidRPr="009440ED">
        <w:t>5</w:t>
      </w:r>
      <w:r w:rsidRPr="009440ED">
        <w:t>0</w:t>
      </w:r>
      <w:bookmarkEnd w:id="0"/>
    </w:p>
    <w:p w:rsidR="00D027BF" w:rsidRPr="009440ED" w:rsidRDefault="00E409C8" w:rsidP="00D027BF">
      <w:pPr>
        <w:pStyle w:val="ATHeading2"/>
      </w:pPr>
      <w:bookmarkStart w:id="1" w:name="title"/>
      <w:r w:rsidRPr="009440ED">
        <w:rPr>
          <w:bCs/>
        </w:rPr>
        <w:t>Az alapvető jogok helyzete az Európai Unióban 2022-ben és 2023-ban</w:t>
      </w:r>
      <w:bookmarkEnd w:id="1"/>
    </w:p>
    <w:p w:rsidR="00D027BF" w:rsidRPr="009440ED" w:rsidRDefault="00D027BF" w:rsidP="00D027BF">
      <w:pPr>
        <w:rPr>
          <w:i/>
          <w:vanish/>
        </w:rPr>
      </w:pPr>
      <w:r w:rsidRPr="009440ED">
        <w:rPr>
          <w:i/>
        </w:rPr>
        <w:fldChar w:fldCharType="begin"/>
      </w:r>
      <w:r w:rsidRPr="009440ED">
        <w:rPr>
          <w:i/>
        </w:rPr>
        <w:instrText xml:space="preserve"> TC"(</w:instrText>
      </w:r>
      <w:bookmarkStart w:id="2" w:name="DocNumber"/>
      <w:r w:rsidRPr="009440ED">
        <w:rPr>
          <w:i/>
        </w:rPr>
        <w:instrText>A9-0376/2023</w:instrText>
      </w:r>
      <w:bookmarkEnd w:id="2"/>
      <w:r w:rsidRPr="009440ED">
        <w:rPr>
          <w:i/>
        </w:rPr>
        <w:instrText xml:space="preserve"> - Előadó: Katarina </w:instrText>
      </w:r>
      <w:proofErr w:type="spellStart"/>
      <w:r w:rsidRPr="009440ED">
        <w:rPr>
          <w:i/>
        </w:rPr>
        <w:instrText>Barley</w:instrText>
      </w:r>
      <w:proofErr w:type="spellEnd"/>
      <w:r w:rsidRPr="009440ED">
        <w:rPr>
          <w:i/>
        </w:rPr>
        <w:instrText xml:space="preserve">)"\l3 \n&gt; \* MERGEFORMAT </w:instrText>
      </w:r>
      <w:r w:rsidRPr="009440ED">
        <w:rPr>
          <w:i/>
        </w:rPr>
        <w:fldChar w:fldCharType="end"/>
      </w:r>
    </w:p>
    <w:p w:rsidR="00D027BF" w:rsidRPr="009440ED" w:rsidRDefault="00D027BF" w:rsidP="00D027BF">
      <w:pPr>
        <w:rPr>
          <w:vanish/>
        </w:rPr>
      </w:pPr>
      <w:bookmarkStart w:id="3" w:name="Commission"/>
      <w:r w:rsidRPr="009440ED">
        <w:rPr>
          <w:vanish/>
        </w:rPr>
        <w:t>Állampolgári Jogi, Bel- és Igazságügyi Bizottság</w:t>
      </w:r>
      <w:bookmarkEnd w:id="3"/>
    </w:p>
    <w:p w:rsidR="00D027BF" w:rsidRPr="009440ED" w:rsidRDefault="00D027BF" w:rsidP="00D027BF">
      <w:pPr>
        <w:rPr>
          <w:vanish/>
        </w:rPr>
      </w:pPr>
      <w:bookmarkStart w:id="4" w:name="PE"/>
      <w:r w:rsidRPr="009440ED">
        <w:rPr>
          <w:vanish/>
        </w:rPr>
        <w:t>PE749.923</w:t>
      </w:r>
      <w:bookmarkEnd w:id="4"/>
    </w:p>
    <w:p w:rsidR="00D027BF" w:rsidRPr="009440ED" w:rsidRDefault="00D027BF" w:rsidP="00D027BF">
      <w:pPr>
        <w:pStyle w:val="ATHeading3"/>
      </w:pPr>
      <w:bookmarkStart w:id="5" w:name="Sujet"/>
      <w:r w:rsidRPr="009440ED">
        <w:t xml:space="preserve">Az Európai Parlament 2024. </w:t>
      </w:r>
      <w:r w:rsidR="00AA2C7A" w:rsidRPr="009440ED">
        <w:t>január</w:t>
      </w:r>
      <w:r w:rsidRPr="009440ED">
        <w:t xml:space="preserve"> </w:t>
      </w:r>
      <w:r w:rsidR="00E409C8" w:rsidRPr="009440ED">
        <w:t>18</w:t>
      </w:r>
      <w:r w:rsidRPr="009440ED">
        <w:t>-i állásfoglalása az alapvető jogok helyzetéről az Európai Unióban – a 2022 és 2023 közötti időszakra vonatkozó éves jelentés</w:t>
      </w:r>
      <w:bookmarkEnd w:id="5"/>
      <w:r w:rsidRPr="009440ED">
        <w:t xml:space="preserve"> </w:t>
      </w:r>
      <w:bookmarkStart w:id="6" w:name="References"/>
      <w:r w:rsidRPr="009440ED">
        <w:t>(2023/</w:t>
      </w:r>
      <w:proofErr w:type="gramStart"/>
      <w:r w:rsidRPr="009440ED">
        <w:t>2028(</w:t>
      </w:r>
      <w:proofErr w:type="gramEnd"/>
      <w:r w:rsidRPr="009440ED">
        <w:t>INI))</w:t>
      </w:r>
      <w:bookmarkEnd w:id="6"/>
    </w:p>
    <w:p w:rsidR="00B077ED" w:rsidRPr="009440ED" w:rsidRDefault="00B077ED" w:rsidP="00B077ED">
      <w:pPr>
        <w:pStyle w:val="EPComma"/>
      </w:pPr>
      <w:bookmarkStart w:id="7" w:name="TextBodyBegin"/>
      <w:bookmarkEnd w:id="7"/>
      <w:r w:rsidRPr="009440ED">
        <w:rPr>
          <w:rStyle w:val="Italic"/>
        </w:rPr>
        <w:t>Az Európai Parlament</w:t>
      </w:r>
      <w:r w:rsidRPr="009440ED">
        <w:t>,</w:t>
      </w:r>
    </w:p>
    <w:p w:rsidR="00B077ED" w:rsidRPr="009440ED" w:rsidRDefault="00B077ED" w:rsidP="00AA2C7A">
      <w:pPr>
        <w:pStyle w:val="NormalHanging12a"/>
        <w:widowControl/>
      </w:pPr>
      <w:r w:rsidRPr="009440ED">
        <w:t>–</w:t>
      </w:r>
      <w:r w:rsidRPr="009440ED">
        <w:tab/>
        <w:t>tekintettel az Európai Unióról szóló szerződésre (EUSZ) és az Európai Unió működéséről szóló szerződésre (EUMSZ),</w:t>
      </w:r>
    </w:p>
    <w:p w:rsidR="00B077ED" w:rsidRPr="009440ED" w:rsidRDefault="00B077ED" w:rsidP="00AA2C7A">
      <w:pPr>
        <w:pStyle w:val="NormalHanging12a"/>
        <w:widowControl/>
      </w:pPr>
      <w:r w:rsidRPr="009440ED">
        <w:t>–</w:t>
      </w:r>
      <w:r w:rsidRPr="009440ED">
        <w:tab/>
        <w:t>tekintettel az Európai Unió Alapjogi Chartájára (a továbbiakban: a Charta),</w:t>
      </w:r>
    </w:p>
    <w:p w:rsidR="00B077ED" w:rsidRPr="009440ED" w:rsidRDefault="00B077ED" w:rsidP="00AA2C7A">
      <w:pPr>
        <w:pStyle w:val="NormalHanging12a"/>
        <w:widowControl/>
      </w:pPr>
      <w:r w:rsidRPr="009440ED">
        <w:t>–</w:t>
      </w:r>
      <w:r w:rsidRPr="009440ED">
        <w:tab/>
        <w:t>tekintettel az Európai Unió Bíróságának ítélkezési gyakorlatára</w:t>
      </w:r>
      <w:r w:rsidRPr="009440ED">
        <w:rPr>
          <w:rStyle w:val="FootnoteReference"/>
        </w:rPr>
        <w:footnoteReference w:id="1"/>
      </w:r>
      <w:r w:rsidRPr="009440ED">
        <w:t>,</w:t>
      </w:r>
    </w:p>
    <w:p w:rsidR="00B077ED" w:rsidRPr="009440ED" w:rsidRDefault="00B077ED" w:rsidP="00AA2C7A">
      <w:pPr>
        <w:pStyle w:val="NormalHanging12a"/>
        <w:widowControl/>
      </w:pPr>
      <w:r w:rsidRPr="009440ED">
        <w:t>–</w:t>
      </w:r>
      <w:r w:rsidRPr="009440ED">
        <w:tab/>
        <w:t>tekintettel az uniós költségvetés védelmét szolgáló általános feltételrendszerről szóló, 2020. december 16-i (EU, Euratom) 2020/2092 európai parlamenti és tanácsi rendeletre</w:t>
      </w:r>
      <w:r w:rsidRPr="009440ED">
        <w:rPr>
          <w:rStyle w:val="FootnoteReference"/>
        </w:rPr>
        <w:footnoteReference w:id="2"/>
      </w:r>
      <w:r w:rsidRPr="009440ED">
        <w:t xml:space="preserve"> (a jogállamiságra vonatkozó feltételrendszerről szóló rendelet),</w:t>
      </w:r>
    </w:p>
    <w:p w:rsidR="00B077ED" w:rsidRPr="009440ED" w:rsidRDefault="00B077ED" w:rsidP="00AA2C7A">
      <w:pPr>
        <w:pStyle w:val="NormalHanging12a"/>
        <w:widowControl/>
      </w:pPr>
      <w:r w:rsidRPr="009440ED">
        <w:t>–</w:t>
      </w:r>
      <w:r w:rsidRPr="009440ED">
        <w:tab/>
        <w:t>tekintettel a Polgárok, egyenlőség, jogok és értékek program létrehozásáról, valamint az 1381/2013/EU európai parlamenti és tanácsi rendelet és a 390/2014/EU tanácsi rendelet hatályon kívül helyezéséről szóló, 2021. április 28-i (EU) 2021/692 európai parlamenti és tanácsi rendeletre</w:t>
      </w:r>
      <w:r w:rsidRPr="009440ED">
        <w:rPr>
          <w:rStyle w:val="FootnoteReference"/>
        </w:rPr>
        <w:footnoteReference w:id="3"/>
      </w:r>
      <w:r w:rsidRPr="009440ED">
        <w:t>,</w:t>
      </w:r>
    </w:p>
    <w:p w:rsidR="00B077ED" w:rsidRPr="009440ED" w:rsidRDefault="00B077ED" w:rsidP="00AA2C7A">
      <w:pPr>
        <w:pStyle w:val="NormalHanging12a"/>
        <w:widowControl/>
      </w:pPr>
      <w:r w:rsidRPr="009440ED">
        <w:t>–</w:t>
      </w:r>
      <w:r w:rsidRPr="009440ED">
        <w:tab/>
        <w:t xml:space="preserve">tekintettel az Európai Ügyészség (EPPO) létrehozására vonatkozó megerősített együttműködés bevezetéséről szóló, </w:t>
      </w:r>
      <w:r w:rsidR="00C50567">
        <w:t xml:space="preserve">2017. október 12-i </w:t>
      </w:r>
      <w:r w:rsidRPr="009440ED">
        <w:t>(EU) 2017/1939 tanácsi rendeletre</w:t>
      </w:r>
      <w:r w:rsidRPr="009440ED">
        <w:rPr>
          <w:rStyle w:val="FootnoteReference"/>
        </w:rPr>
        <w:footnoteReference w:id="4"/>
      </w:r>
      <w:r w:rsidRPr="009440ED">
        <w:t>,</w:t>
      </w:r>
    </w:p>
    <w:p w:rsidR="00B077ED" w:rsidRPr="009440ED" w:rsidRDefault="00B077ED" w:rsidP="00AA2C7A">
      <w:pPr>
        <w:pStyle w:val="NormalHanging12a"/>
        <w:widowControl/>
      </w:pPr>
      <w:r w:rsidRPr="009440ED">
        <w:t>–</w:t>
      </w:r>
      <w:r w:rsidRPr="009440ED">
        <w:tab/>
        <w:t xml:space="preserve">tekintettel a természetes személyeknek a személyes adatok kezelése tekintetében történő védelméről és az ilyen adatok szabad áramlásáról, valamint a 95/46/EK irányelv </w:t>
      </w:r>
      <w:r w:rsidRPr="009440ED">
        <w:lastRenderedPageBreak/>
        <w:t>hatályon kívül helyezéséről szóló, 2016. április 27-i (EU) 2016/679 európai parlamenti és tanácsi rendeletre (általános adatvédelmi rendelet)</w:t>
      </w:r>
      <w:r w:rsidRPr="009440ED">
        <w:rPr>
          <w:rStyle w:val="FootnoteReference"/>
        </w:rPr>
        <w:footnoteReference w:id="5"/>
      </w:r>
      <w:r w:rsidRPr="009440ED">
        <w:t>,</w:t>
      </w:r>
    </w:p>
    <w:p w:rsidR="00B077ED" w:rsidRPr="009440ED" w:rsidRDefault="00B077ED" w:rsidP="00AA2C7A">
      <w:pPr>
        <w:pStyle w:val="NormalHanging12a"/>
        <w:widowControl/>
      </w:pPr>
      <w:r w:rsidRPr="009440ED">
        <w:t>–</w:t>
      </w:r>
      <w:r w:rsidRPr="009440ED">
        <w:tab/>
        <w:t>tekintettel az Unió pénzügyi érdekeit érintő csalás ellen büntetőjogi eszközökkel folytatott küzdelemről szóló, 2017. július 5-i (EU) 2017/1371 európai parlamenti és tanácsi irányelvre</w:t>
      </w:r>
      <w:r w:rsidRPr="009440ED">
        <w:rPr>
          <w:rStyle w:val="FootnoteReference"/>
        </w:rPr>
        <w:footnoteReference w:id="6"/>
      </w:r>
      <w:r w:rsidRPr="009440ED">
        <w:t>,</w:t>
      </w:r>
    </w:p>
    <w:p w:rsidR="00B077ED" w:rsidRPr="009440ED" w:rsidRDefault="00B077ED" w:rsidP="00AA2C7A">
      <w:pPr>
        <w:pStyle w:val="NormalHanging12a"/>
        <w:widowControl/>
      </w:pPr>
      <w:r w:rsidRPr="009440ED">
        <w:t>–</w:t>
      </w:r>
      <w:r w:rsidRPr="009440ED">
        <w:tab/>
        <w:t>tekintettel a rasszizmus és az idegengyűlölet egyes formái és megnyilvánulásai elleni, büntetőjogi eszközökkel történő küzdelemről szóló, 2008. november 28-i 2008/913/IB tanácsi kerethatározatra</w:t>
      </w:r>
      <w:r w:rsidRPr="009440ED">
        <w:rPr>
          <w:rStyle w:val="FootnoteReference"/>
        </w:rPr>
        <w:footnoteReference w:id="7"/>
      </w:r>
      <w:r w:rsidRPr="009440ED">
        <w:t>,</w:t>
      </w:r>
    </w:p>
    <w:p w:rsidR="00B077ED" w:rsidRPr="009440ED" w:rsidRDefault="00B077ED" w:rsidP="00AA2C7A">
      <w:pPr>
        <w:pStyle w:val="NormalHanging12a"/>
        <w:widowControl/>
        <w:rPr>
          <w:szCs w:val="24"/>
        </w:rPr>
      </w:pPr>
      <w:r w:rsidRPr="009440ED">
        <w:t>–</w:t>
      </w:r>
      <w:r w:rsidRPr="009440ED">
        <w:tab/>
        <w:t>tekintettel a személyek közötti, faji- vagy etnikai származásra való tekintet nélküli egyenlő bánásmód elvének alkalmazásáról szóló, 2000. június 29-i 2000/43/EK tanácsi irányelvre</w:t>
      </w:r>
      <w:r w:rsidRPr="009440ED">
        <w:rPr>
          <w:rStyle w:val="FootnoteReference"/>
        </w:rPr>
        <w:footnoteReference w:id="8"/>
      </w:r>
      <w:r w:rsidRPr="009440ED">
        <w:t>, valamint a Bizottság által ezen irányelv alapján több tagállam ellen indított, folyamatban lévő kötelezettségszegési eljárásokra, amelyek közül egyet a Bizottság a Bíróság elé terjesztett,</w:t>
      </w:r>
    </w:p>
    <w:p w:rsidR="00B077ED" w:rsidRPr="009440ED" w:rsidRDefault="00B077ED" w:rsidP="00AA2C7A">
      <w:pPr>
        <w:pStyle w:val="NormalHanging12a"/>
        <w:widowControl/>
        <w:rPr>
          <w:szCs w:val="24"/>
        </w:rPr>
      </w:pPr>
      <w:r w:rsidRPr="009440ED">
        <w:t>–</w:t>
      </w:r>
      <w:r w:rsidRPr="009440ED">
        <w:tab/>
        <w:t>tekintettel a romák egyenlőségéről, társadalmi befogadásáról és részvételéről szóló, 2021. március 12-i tanácsi ajánlásra (2021/C 93/01)</w:t>
      </w:r>
      <w:r w:rsidRPr="009440ED">
        <w:rPr>
          <w:rStyle w:val="FootnoteReference"/>
        </w:rPr>
        <w:footnoteReference w:id="9"/>
      </w:r>
      <w:r w:rsidRPr="009440ED">
        <w:t xml:space="preserve">, </w:t>
      </w:r>
    </w:p>
    <w:p w:rsidR="00B077ED" w:rsidRPr="009440ED" w:rsidRDefault="00B077ED" w:rsidP="00AA2C7A">
      <w:pPr>
        <w:pStyle w:val="NormalHanging12a"/>
        <w:widowControl/>
        <w:rPr>
          <w:szCs w:val="24"/>
        </w:rPr>
      </w:pPr>
      <w:r w:rsidRPr="009440ED">
        <w:t>–</w:t>
      </w:r>
      <w:r w:rsidRPr="009440ED">
        <w:tab/>
        <w:t>tekintettel az „Értékelő jelentés a tagállamok nemzeti romastratégiai kereteiről” című, 2023. január 9-i bizottsági közleményre (</w:t>
      </w:r>
      <w:proofErr w:type="gramStart"/>
      <w:r w:rsidRPr="009440ED">
        <w:t>COM(</w:t>
      </w:r>
      <w:proofErr w:type="gramEnd"/>
      <w:r w:rsidRPr="009440ED">
        <w:t>2023)</w:t>
      </w:r>
      <w:r w:rsidR="00C50567">
        <w:t>0</w:t>
      </w:r>
      <w:r w:rsidRPr="009440ED">
        <w:t>007),</w:t>
      </w:r>
    </w:p>
    <w:p w:rsidR="00B077ED" w:rsidRPr="009440ED" w:rsidRDefault="00B077ED" w:rsidP="00AA2C7A">
      <w:pPr>
        <w:pStyle w:val="NormalHanging12a"/>
        <w:widowControl/>
      </w:pPr>
      <w:r w:rsidRPr="009440ED">
        <w:t>–</w:t>
      </w:r>
      <w:r w:rsidRPr="009440ED">
        <w:tab/>
        <w:t>tekintettel az újságírók és más médiaszakemberek védelmének, biztonságának és szerepvállalásának az Európai Unióban történő biztosításáról szóló, 2021. szeptember 16-i (EU) 2021/1534 bizottsági ajánlásra</w:t>
      </w:r>
      <w:r w:rsidRPr="009440ED">
        <w:rPr>
          <w:rStyle w:val="FootnoteReference"/>
        </w:rPr>
        <w:footnoteReference w:id="10"/>
      </w:r>
      <w:r w:rsidRPr="009440ED">
        <w:t>,</w:t>
      </w:r>
    </w:p>
    <w:p w:rsidR="00B077ED" w:rsidRPr="009440ED" w:rsidRDefault="00B077ED" w:rsidP="00AA2C7A">
      <w:pPr>
        <w:pStyle w:val="NormalHanging12a"/>
        <w:widowControl/>
      </w:pPr>
      <w:r w:rsidRPr="009440ED">
        <w:t>–</w:t>
      </w:r>
      <w:r w:rsidRPr="009440ED">
        <w:tab/>
        <w:t>tekintettel az „Inkluzívabb és védelmezőbb Európa: az uniós bűncselekmények listájának kibővítése a gyűlöletbeszéddel és a gyűlölet-bűncselekményekkel” című, 2021. december 9-i bizottsági közleményre (</w:t>
      </w:r>
      <w:proofErr w:type="gramStart"/>
      <w:r w:rsidRPr="009440ED">
        <w:t>COM(</w:t>
      </w:r>
      <w:proofErr w:type="gramEnd"/>
      <w:r w:rsidRPr="009440ED">
        <w:t>2021)0777),</w:t>
      </w:r>
    </w:p>
    <w:p w:rsidR="00B077ED" w:rsidRPr="009440ED" w:rsidRDefault="00B077ED" w:rsidP="00AA2C7A">
      <w:pPr>
        <w:pStyle w:val="NormalHanging12a"/>
        <w:widowControl/>
      </w:pPr>
      <w:r w:rsidRPr="009440ED">
        <w:t>–</w:t>
      </w:r>
      <w:r w:rsidRPr="009440ED">
        <w:tab/>
        <w:t>tekintettel „Az egyenlőségközpontú Unió: a 2020–2025 közötti időszakra szóló nemi esélyegyenlőségi stratégia” című, 2020. március 5-i bizottsági közleményre (</w:t>
      </w:r>
      <w:proofErr w:type="gramStart"/>
      <w:r w:rsidRPr="009440ED">
        <w:t>COM(</w:t>
      </w:r>
      <w:proofErr w:type="gramEnd"/>
      <w:r w:rsidRPr="009440ED">
        <w:t>2020)0152),</w:t>
      </w:r>
    </w:p>
    <w:p w:rsidR="00B077ED" w:rsidRPr="009440ED" w:rsidRDefault="00B077ED" w:rsidP="00AA2C7A">
      <w:pPr>
        <w:pStyle w:val="NormalHanging12a"/>
        <w:widowControl/>
      </w:pPr>
      <w:r w:rsidRPr="009440ED">
        <w:t>–</w:t>
      </w:r>
      <w:r w:rsidRPr="009440ED">
        <w:tab/>
        <w:t>tekintettel „Az áldozatok jogairól szóló uniós stratégia (2020–2025)” című, 2020. június 24-i bizottsági közleményre (</w:t>
      </w:r>
      <w:proofErr w:type="gramStart"/>
      <w:r w:rsidRPr="009440ED">
        <w:t>COM(</w:t>
      </w:r>
      <w:proofErr w:type="gramEnd"/>
      <w:r w:rsidRPr="009440ED">
        <w:t>2020)0258),</w:t>
      </w:r>
    </w:p>
    <w:p w:rsidR="00B077ED" w:rsidRPr="009440ED" w:rsidRDefault="00B077ED" w:rsidP="00AA2C7A">
      <w:pPr>
        <w:pStyle w:val="NormalHanging12a"/>
        <w:widowControl/>
      </w:pPr>
      <w:r w:rsidRPr="009440ED">
        <w:t>–</w:t>
      </w:r>
      <w:r w:rsidRPr="009440ED">
        <w:tab/>
        <w:t>tekintettel az „Egyenlőségközpontú Unió: az LMBTIQ-személyek egyenlőségéről szóló stratégia (2020–2025)” című, 2020. november 12-i bizottsági közleményre (</w:t>
      </w:r>
      <w:proofErr w:type="gramStart"/>
      <w:r w:rsidRPr="009440ED">
        <w:t>COM(</w:t>
      </w:r>
      <w:proofErr w:type="gramEnd"/>
      <w:r w:rsidRPr="009440ED">
        <w:t>2020)0698),</w:t>
      </w:r>
    </w:p>
    <w:p w:rsidR="00B077ED" w:rsidRPr="009440ED" w:rsidRDefault="00B077ED" w:rsidP="00AA2C7A">
      <w:pPr>
        <w:pStyle w:val="NormalHanging12a"/>
        <w:widowControl/>
      </w:pPr>
      <w:r w:rsidRPr="009440ED">
        <w:t>–</w:t>
      </w:r>
      <w:r w:rsidRPr="009440ED">
        <w:tab/>
        <w:t>tekintettel a rasszizmus és az antiszemitizmus elleni küzdelemről szóló, 2022. március 2-i tanácsi következtetésekre,</w:t>
      </w:r>
    </w:p>
    <w:p w:rsidR="00B077ED" w:rsidRPr="009440ED" w:rsidRDefault="00B077ED" w:rsidP="00AA2C7A">
      <w:pPr>
        <w:pStyle w:val="NormalHanging12a"/>
        <w:widowControl/>
      </w:pPr>
      <w:r w:rsidRPr="009440ED">
        <w:lastRenderedPageBreak/>
        <w:t>–</w:t>
      </w:r>
      <w:r w:rsidRPr="009440ED">
        <w:tab/>
        <w:t>tekintettel „Az Alapjogi Charta EU-n belüli alkalmazásának megerősítésére irányuló stratégia” című, 2020. december 2-i bizottsági közleményre (</w:t>
      </w:r>
      <w:proofErr w:type="gramStart"/>
      <w:r w:rsidRPr="009440ED">
        <w:t>COM(</w:t>
      </w:r>
      <w:proofErr w:type="gramEnd"/>
      <w:r w:rsidRPr="009440ED">
        <w:t>2020)0711),</w:t>
      </w:r>
    </w:p>
    <w:p w:rsidR="00B077ED" w:rsidRPr="009440ED" w:rsidRDefault="00B077ED" w:rsidP="00AA2C7A">
      <w:pPr>
        <w:pStyle w:val="NormalHanging12a"/>
        <w:widowControl/>
      </w:pPr>
      <w:r w:rsidRPr="009440ED">
        <w:t>–</w:t>
      </w:r>
      <w:r w:rsidRPr="009440ED">
        <w:tab/>
        <w:t>tekintettel „Virágzó polgári tér az EU-ban az alapvető jogok védelmére – 2022. évi éves jelentés az Európai Unió Alapjogi Chartájának alkalmazásáról” című, 2022. december 6-i bizottsági jelentésre (</w:t>
      </w:r>
      <w:proofErr w:type="gramStart"/>
      <w:r w:rsidRPr="009440ED">
        <w:t>COM(</w:t>
      </w:r>
      <w:proofErr w:type="gramEnd"/>
      <w:r w:rsidRPr="009440ED">
        <w:t>2022)0716),</w:t>
      </w:r>
    </w:p>
    <w:p w:rsidR="00B077ED" w:rsidRPr="009440ED" w:rsidRDefault="00B077ED" w:rsidP="00AA2C7A">
      <w:pPr>
        <w:pStyle w:val="NormalHanging12a"/>
        <w:widowControl/>
      </w:pPr>
      <w:r w:rsidRPr="009440ED">
        <w:t>–</w:t>
      </w:r>
      <w:r w:rsidRPr="009440ED">
        <w:tab/>
        <w:t>tekintettel az előzetes letartóztatásban lévő gyanúsítottak és vádlottak eljárási jogairól és a fogva tartás anyagi feltételeiről szóló, 2022. december 8-i, (EU) 2023/681 bizottsági ajánlásra</w:t>
      </w:r>
      <w:r w:rsidRPr="009440ED">
        <w:rPr>
          <w:rStyle w:val="FootnoteReference"/>
        </w:rPr>
        <w:footnoteReference w:id="11"/>
      </w:r>
      <w:r w:rsidRPr="009440ED">
        <w:t>,</w:t>
      </w:r>
    </w:p>
    <w:p w:rsidR="00B077ED" w:rsidRPr="009440ED" w:rsidRDefault="00B077ED" w:rsidP="00AA2C7A">
      <w:pPr>
        <w:pStyle w:val="NormalHanging12a"/>
        <w:widowControl/>
        <w:rPr>
          <w:szCs w:val="24"/>
        </w:rPr>
      </w:pPr>
      <w:r w:rsidRPr="009440ED">
        <w:t>–</w:t>
      </w:r>
      <w:r w:rsidRPr="009440ED">
        <w:tab/>
        <w:t xml:space="preserve">tekintettel a „2023. évi jogállamisági jelentés – </w:t>
      </w:r>
      <w:proofErr w:type="gramStart"/>
      <w:r w:rsidRPr="009440ED">
        <w:t>A</w:t>
      </w:r>
      <w:proofErr w:type="gramEnd"/>
      <w:r w:rsidRPr="009440ED">
        <w:t xml:space="preserve"> jogállamiság helyzete az Európai Unióban” című, 2023. július 5-i bizottsági közleményre (COM(2023)0800), a 27 országfejezetre és az azt kísérő, a tagállamoknak szóló ajánlásokra, </w:t>
      </w:r>
    </w:p>
    <w:p w:rsidR="00B077ED" w:rsidRPr="009440ED" w:rsidRDefault="00B077ED" w:rsidP="00AA2C7A">
      <w:pPr>
        <w:pStyle w:val="NormalHanging12a"/>
        <w:widowControl/>
        <w:rPr>
          <w:szCs w:val="24"/>
        </w:rPr>
      </w:pPr>
      <w:r w:rsidRPr="009440ED">
        <w:t>–</w:t>
      </w:r>
      <w:r w:rsidRPr="009440ED">
        <w:tab/>
        <w:t>tekintettel a szociális jogok európai pillérére, többek között az esélyegyenlőség harmadik elvére, valamint a „Cselekvési terv a szociális jogok európai pillérének megvalósítására” című, 2021. március 4-i bizottsági közleményre (</w:t>
      </w:r>
      <w:proofErr w:type="gramStart"/>
      <w:r w:rsidRPr="009440ED">
        <w:t>COM(</w:t>
      </w:r>
      <w:proofErr w:type="gramEnd"/>
      <w:r w:rsidRPr="009440ED">
        <w:t>2021)0102),</w:t>
      </w:r>
    </w:p>
    <w:p w:rsidR="00B077ED" w:rsidRPr="009440ED" w:rsidRDefault="00B077ED" w:rsidP="00AA2C7A">
      <w:pPr>
        <w:pStyle w:val="NormalHanging12a"/>
        <w:widowControl/>
      </w:pPr>
      <w:r w:rsidRPr="009440ED">
        <w:t>–</w:t>
      </w:r>
      <w:r w:rsidRPr="009440ED">
        <w:tab/>
        <w:t>tekintettel a közéletben részt vevő személyeknek a nyilvánvalóan megalapozatlan vagy visszaélésszerű bírósági eljárásokkal (közéleti részvételt akadályozó stratégiai perekkel) szembeni védelméről szóló európai parlamenti és tanácsi irányelvre irányuló, 2022. április 27-i bizottsági javaslatra (</w:t>
      </w:r>
      <w:proofErr w:type="gramStart"/>
      <w:r w:rsidRPr="009440ED">
        <w:t>COM(</w:t>
      </w:r>
      <w:proofErr w:type="gramEnd"/>
      <w:r w:rsidRPr="009440ED">
        <w:t>2022)0177), és az azt kísérő ajánlásra,</w:t>
      </w:r>
    </w:p>
    <w:p w:rsidR="00B077ED" w:rsidRPr="009440ED" w:rsidRDefault="00B077ED" w:rsidP="00AA2C7A">
      <w:pPr>
        <w:pStyle w:val="NormalHanging12a"/>
        <w:widowControl/>
        <w:rPr>
          <w:szCs w:val="24"/>
        </w:rPr>
      </w:pPr>
      <w:r w:rsidRPr="009440ED">
        <w:t>–</w:t>
      </w:r>
      <w:r w:rsidRPr="009440ED">
        <w:tab/>
        <w:t>tekintettel a belső piaci médiaszolgáltatások közös keretének létrehozásáról (az európai tömegtájékoztatás szabadságáról szóló jogszabály) és a 2010/13/EU irányelv módosításáról szóló európai parlamenti és tanácsi rendeletre irányuló, 2022. szeptember 16-i bizottsági javaslatra (</w:t>
      </w:r>
      <w:proofErr w:type="gramStart"/>
      <w:r w:rsidRPr="009440ED">
        <w:t>COM(</w:t>
      </w:r>
      <w:proofErr w:type="gramEnd"/>
      <w:r w:rsidRPr="009440ED">
        <w:t>2022)0457) (a továbbiakban: a tömegtájékoztatás szabadságáról szóló jogszabály), és az azt kísérő, a médiaszektorban a szerkesztői függetlenség és a tulajdonosi átláthatóság belső biztosítékairól szóló ajánlásra</w:t>
      </w:r>
      <w:r w:rsidRPr="009440ED">
        <w:rPr>
          <w:rStyle w:val="FootnoteReference"/>
        </w:rPr>
        <w:footnoteReference w:id="12"/>
      </w:r>
      <w:r w:rsidRPr="009440ED">
        <w:t>,</w:t>
      </w:r>
    </w:p>
    <w:p w:rsidR="00B077ED" w:rsidRPr="009440ED" w:rsidRDefault="00B077ED" w:rsidP="00AA2C7A">
      <w:pPr>
        <w:pStyle w:val="NormalHanging12a"/>
        <w:widowControl/>
      </w:pPr>
      <w:proofErr w:type="gramStart"/>
      <w:r w:rsidRPr="009440ED">
        <w:t>–</w:t>
      </w:r>
      <w:r w:rsidRPr="009440ED">
        <w:tab/>
        <w:t>tekintettel a személyek közötti, faji vagy etnikai származásra való tekintet nélküli egyenlő bánásmód, a foglalkoztatás és a munkavégzés terén a személyek közötti, vallásra vagy meggyőződésre, fogyatékosságra, életkorra vagy szexuális irányultságra való tekintet nélküli egyenlő bánásmód, a szociális biztonság, továbbá az árukhoz és szolgáltatásokhoz való hozzáférés, valamint azok értékesítése, illetve nyújtása terén a férfiak és a nők közötti egyenlő bánásmód tekintetében az egyenlőséggel foglalkozó szervekre vonatkozó normákról, valamint a 2000/43/EK irányelv 13. cikkének és a 2004/113/EK irányel</w:t>
      </w:r>
      <w:proofErr w:type="gramEnd"/>
      <w:r w:rsidRPr="009440ED">
        <w:t>v 12. cikkének hatályon kívül helyezéséről szóló tanácsi irányelvre irányuló, 2022. december 7-i bizottsági javaslatra (</w:t>
      </w:r>
      <w:proofErr w:type="gramStart"/>
      <w:r w:rsidRPr="009440ED">
        <w:t>COM(</w:t>
      </w:r>
      <w:proofErr w:type="gramEnd"/>
      <w:r w:rsidRPr="009440ED">
        <w:t>2022)0689),</w:t>
      </w:r>
    </w:p>
    <w:p w:rsidR="00B077ED" w:rsidRPr="009440ED" w:rsidRDefault="00B077ED" w:rsidP="00AA2C7A">
      <w:pPr>
        <w:pStyle w:val="NormalHanging12a"/>
        <w:widowControl/>
        <w:rPr>
          <w:szCs w:val="24"/>
        </w:rPr>
      </w:pPr>
      <w:r w:rsidRPr="009440ED">
        <w:t>–</w:t>
      </w:r>
      <w:r w:rsidRPr="009440ED">
        <w:tab/>
        <w:t>tekintettel a leszármazással kapcsolatos ügyekben a joghatóságról, az alkalmazandó jogról, a határozatok elismeréséről és a közokiratok elfogadásáról, valamint az európai leszármazási igazolás létrehozásáról szóló tanácsi rendeletre irányuló, 2022. december 7-i bizottsági javaslatra (</w:t>
      </w:r>
      <w:proofErr w:type="gramStart"/>
      <w:r w:rsidRPr="009440ED">
        <w:t>COM(</w:t>
      </w:r>
      <w:proofErr w:type="gramEnd"/>
      <w:r w:rsidRPr="009440ED">
        <w:t>2022)0695),</w:t>
      </w:r>
    </w:p>
    <w:p w:rsidR="00B077ED" w:rsidRPr="009440ED" w:rsidRDefault="00B077ED" w:rsidP="00AA2C7A">
      <w:pPr>
        <w:pStyle w:val="NormalHanging12a"/>
        <w:widowControl/>
      </w:pPr>
      <w:r w:rsidRPr="009440ED">
        <w:t>–</w:t>
      </w:r>
      <w:r w:rsidRPr="009440ED">
        <w:tab/>
        <w:t xml:space="preserve">tekintettel a foglalkoztatás és munkavégzés terén a nők és férfiak közötti egyenlő bánásmód és esélyegyenlőség tekintetében az egyenlőséggel foglalkozó szervekre vonatkozó normákról, valamint a 2006/54/EK irányelv 20. cikkének és a 2010/41/EU </w:t>
      </w:r>
      <w:r w:rsidRPr="009440ED">
        <w:lastRenderedPageBreak/>
        <w:t>irányelv 11. cikkének hatályon kívül helyezéséről szóló európai parlamenti és tanácsi irányelvre irányuló, 2022. december 7-i bizottsági javaslatra (</w:t>
      </w:r>
      <w:proofErr w:type="gramStart"/>
      <w:r w:rsidRPr="009440ED">
        <w:t>COM(</w:t>
      </w:r>
      <w:proofErr w:type="gramEnd"/>
      <w:r w:rsidRPr="009440ED">
        <w:t>2022)0688),</w:t>
      </w:r>
    </w:p>
    <w:p w:rsidR="00B077ED" w:rsidRPr="009440ED" w:rsidRDefault="00B077ED" w:rsidP="00AA2C7A">
      <w:pPr>
        <w:pStyle w:val="NormalHanging12a"/>
        <w:widowControl/>
      </w:pPr>
      <w:r w:rsidRPr="009440ED">
        <w:t>–</w:t>
      </w:r>
      <w:r w:rsidRPr="009440ED">
        <w:tab/>
        <w:t>tekintettel Az Európai Unió Alapjogi Ügynökségének jelentéseire, különösen a 2022. és 2023. évi alapjogi jelentéseire, beleértve a FRANET országjelentéseit,</w:t>
      </w:r>
    </w:p>
    <w:p w:rsidR="00B077ED" w:rsidRPr="009440ED" w:rsidRDefault="00B077ED" w:rsidP="00AA2C7A">
      <w:pPr>
        <w:pStyle w:val="NormalHanging12a"/>
        <w:widowControl/>
      </w:pPr>
      <w:r w:rsidRPr="009440ED">
        <w:t>–</w:t>
      </w:r>
      <w:r w:rsidRPr="009440ED">
        <w:tab/>
        <w:t>tekintettel az Emberi Jogok Egyetemes Nyilatkozatára,</w:t>
      </w:r>
    </w:p>
    <w:p w:rsidR="00B077ED" w:rsidRPr="009440ED" w:rsidRDefault="00B077ED" w:rsidP="00AA2C7A">
      <w:pPr>
        <w:pStyle w:val="NormalHanging12a"/>
        <w:widowControl/>
      </w:pPr>
      <w:proofErr w:type="gramStart"/>
      <w:r w:rsidRPr="009440ED">
        <w:t>–</w:t>
      </w:r>
      <w:r w:rsidRPr="009440ED">
        <w:tab/>
        <w:t>tekintettel az emberi jogok és az alapvető szabadságok védelmét szolgáló ENSZ-eszközökre, beleértve a Polgári és Politikai Jogok Nemzetközi Egyezségokmányát, a faji megkülönböztetés valamennyi formájának kiküszöböléséről szóló nemzetközi egyezményt, a nőkkel szemben alkalmazott hátrányos megkülönböztetések minden formájának kiküszöböléséről szóló egyezményt, valamint a fogyatékossággal élő személyek jogairól szóló egyezményt, az ENSZ egyetemes időszakos felülvizsgálatának ajánlásaira és jelentéseire, valamint az ENSZ-egyezmények végrehajtását felügyelő testületek ítélkezési gyakorlatára és a</w:t>
      </w:r>
      <w:proofErr w:type="gramEnd"/>
      <w:r w:rsidRPr="009440ED">
        <w:t>z Emberi Jogi Tanács különleges eljárásaira,</w:t>
      </w:r>
    </w:p>
    <w:p w:rsidR="00B077ED" w:rsidRPr="009440ED" w:rsidRDefault="00B077ED" w:rsidP="00AA2C7A">
      <w:pPr>
        <w:pStyle w:val="NormalHanging12a"/>
        <w:widowControl/>
      </w:pPr>
      <w:r w:rsidRPr="009440ED">
        <w:t>–</w:t>
      </w:r>
      <w:r w:rsidRPr="009440ED">
        <w:tab/>
        <w:t xml:space="preserve">tekintettel az ENSZ 2030-ig tartó időszakra vonatkozó fenntartható fejlődési menetrendjére, </w:t>
      </w:r>
    </w:p>
    <w:p w:rsidR="00B077ED" w:rsidRPr="009440ED" w:rsidRDefault="00B077ED" w:rsidP="00AA2C7A">
      <w:pPr>
        <w:pStyle w:val="NormalHanging12a"/>
        <w:widowControl/>
        <w:rPr>
          <w:szCs w:val="24"/>
        </w:rPr>
      </w:pPr>
      <w:r w:rsidRPr="009440ED">
        <w:t>–</w:t>
      </w:r>
      <w:r w:rsidRPr="009440ED">
        <w:tab/>
        <w:t xml:space="preserve">tekintettel az emberi jogok és alapvető szabadságok védelméről szóló egyezményre (EJEE) és az Emberi Jogok Európai Bíróságának ítélkezési gyakorlatára, </w:t>
      </w:r>
    </w:p>
    <w:p w:rsidR="00B077ED" w:rsidRPr="009440ED" w:rsidRDefault="00B077ED" w:rsidP="00AA2C7A">
      <w:pPr>
        <w:pStyle w:val="NormalHanging12a"/>
        <w:widowControl/>
      </w:pPr>
      <w:r w:rsidRPr="009440ED">
        <w:t>–</w:t>
      </w:r>
      <w:r w:rsidRPr="009440ED">
        <w:tab/>
        <w:t xml:space="preserve">tekintettel az Európa Tanácsnak nőkkel szembeni erőszak és a kapcsolati erőszak elleni küzdelemről és azok megelőzéséről szóló egyezményére, amelyet 2011. május 11-én, Isztambulban nyitottak meg aláírásra („isztambuli egyezmény”), és amelyet az Európai Unió 2023. június 28-án ratifikált, </w:t>
      </w:r>
    </w:p>
    <w:p w:rsidR="00B077ED" w:rsidRPr="009440ED" w:rsidRDefault="00B077ED" w:rsidP="00AA2C7A">
      <w:pPr>
        <w:pStyle w:val="NormalHanging12a"/>
        <w:widowControl/>
        <w:rPr>
          <w:szCs w:val="24"/>
        </w:rPr>
      </w:pPr>
      <w:r w:rsidRPr="009440ED">
        <w:t>–</w:t>
      </w:r>
      <w:r w:rsidRPr="009440ED">
        <w:tab/>
        <w:t>tekintettel a Demokratikus Intézmények és Emberi Jogok Hivatala, a nemzeti kisebbségi főbiztos és az Európai Biztonsági és Együttműködési Szervezet (EBESZ) más szerveinek ajánlásaira és jelentéseire,</w:t>
      </w:r>
    </w:p>
    <w:p w:rsidR="00B077ED" w:rsidRPr="009440ED" w:rsidRDefault="00B077ED" w:rsidP="00AA2C7A">
      <w:pPr>
        <w:pStyle w:val="NormalHanging12a"/>
        <w:widowControl/>
      </w:pPr>
      <w:r w:rsidRPr="009440ED">
        <w:t>–</w:t>
      </w:r>
      <w:r w:rsidRPr="009440ED">
        <w:tab/>
        <w:t xml:space="preserve">tekintettel az Európa Tanács „Human </w:t>
      </w:r>
      <w:proofErr w:type="spellStart"/>
      <w:r w:rsidRPr="009440ED">
        <w:t>Rights</w:t>
      </w:r>
      <w:proofErr w:type="spellEnd"/>
      <w:r w:rsidRPr="009440ED">
        <w:t xml:space="preserve"> </w:t>
      </w:r>
      <w:proofErr w:type="spellStart"/>
      <w:r w:rsidRPr="009440ED">
        <w:t>Defenders</w:t>
      </w:r>
      <w:proofErr w:type="spellEnd"/>
      <w:r w:rsidRPr="009440ED">
        <w:t xml:space="preserve"> in </w:t>
      </w:r>
      <w:proofErr w:type="spellStart"/>
      <w:r w:rsidRPr="009440ED">
        <w:t>the</w:t>
      </w:r>
      <w:proofErr w:type="spellEnd"/>
      <w:r w:rsidRPr="009440ED">
        <w:t xml:space="preserve"> </w:t>
      </w:r>
      <w:proofErr w:type="spellStart"/>
      <w:r w:rsidRPr="009440ED">
        <w:t>Council</w:t>
      </w:r>
      <w:proofErr w:type="spellEnd"/>
      <w:r w:rsidRPr="009440ED">
        <w:t xml:space="preserve"> of Europe </w:t>
      </w:r>
      <w:proofErr w:type="spellStart"/>
      <w:r w:rsidRPr="009440ED">
        <w:t>Area</w:t>
      </w:r>
      <w:proofErr w:type="spellEnd"/>
      <w:r w:rsidRPr="009440ED">
        <w:t xml:space="preserve"> in Times of </w:t>
      </w:r>
      <w:proofErr w:type="spellStart"/>
      <w:r w:rsidRPr="009440ED">
        <w:t>Crises</w:t>
      </w:r>
      <w:proofErr w:type="spellEnd"/>
      <w:r w:rsidRPr="009440ED">
        <w:t xml:space="preserve">” [Emberijog-védők az Európa Tanács környezetében válság idején] című, 2023. március 23-i jelentésére, az Európa Tanács emberi jogi biztosának hivatala által 2022. október 24–25-én, </w:t>
      </w:r>
      <w:proofErr w:type="spellStart"/>
      <w:r w:rsidRPr="009440ED">
        <w:t>Dublinban</w:t>
      </w:r>
      <w:proofErr w:type="spellEnd"/>
      <w:r w:rsidRPr="009440ED">
        <w:t xml:space="preserve"> szervezett emberijog-védői kerekasztalt követően</w:t>
      </w:r>
      <w:r w:rsidRPr="009440ED">
        <w:rPr>
          <w:rStyle w:val="FootnoteReference"/>
        </w:rPr>
        <w:footnoteReference w:id="13"/>
      </w:r>
      <w:r w:rsidRPr="009440ED">
        <w:t>,</w:t>
      </w:r>
    </w:p>
    <w:p w:rsidR="00B077ED" w:rsidRPr="009440ED" w:rsidRDefault="00B077ED" w:rsidP="00AA2C7A">
      <w:pPr>
        <w:pStyle w:val="NormalHanging12a"/>
        <w:widowControl/>
        <w:rPr>
          <w:szCs w:val="24"/>
        </w:rPr>
      </w:pPr>
      <w:r w:rsidRPr="009440ED">
        <w:t>–</w:t>
      </w:r>
      <w:r w:rsidRPr="009440ED">
        <w:tab/>
        <w:t xml:space="preserve">tekintettel az Európa Tanács nemzeti kisebbségek védelméről szóló keretegyezményére és a Regionális vagy Kisebbségi Nyelvek Európai Kartájára, </w:t>
      </w:r>
    </w:p>
    <w:p w:rsidR="00B077ED" w:rsidRPr="009440ED" w:rsidRDefault="00B077ED" w:rsidP="00AA2C7A">
      <w:pPr>
        <w:pStyle w:val="NormalHanging12a"/>
        <w:widowControl/>
        <w:rPr>
          <w:szCs w:val="24"/>
        </w:rPr>
      </w:pPr>
      <w:r w:rsidRPr="009440ED">
        <w:t>–</w:t>
      </w:r>
      <w:r w:rsidRPr="009440ED">
        <w:tab/>
        <w:t>tekintettel az Európa Tanács Európai Szociális Chartájára,</w:t>
      </w:r>
    </w:p>
    <w:p w:rsidR="00B077ED" w:rsidRPr="009440ED" w:rsidRDefault="00B077ED" w:rsidP="00AA2C7A">
      <w:pPr>
        <w:pStyle w:val="NormalHanging12a"/>
        <w:widowControl/>
        <w:rPr>
          <w:szCs w:val="24"/>
        </w:rPr>
      </w:pPr>
      <w:r w:rsidRPr="009440ED">
        <w:t>–</w:t>
      </w:r>
      <w:r w:rsidRPr="009440ED">
        <w:tab/>
        <w:t>tekintettel az Európa Tanács emberi jogi biztosának nyilatkozataira, ajánlásaira és jelentéseire,</w:t>
      </w:r>
    </w:p>
    <w:p w:rsidR="00B077ED" w:rsidRPr="009440ED" w:rsidRDefault="00B077ED" w:rsidP="00AA2C7A">
      <w:pPr>
        <w:pStyle w:val="NormalHanging12a"/>
        <w:widowControl/>
        <w:rPr>
          <w:szCs w:val="24"/>
        </w:rPr>
      </w:pPr>
      <w:r w:rsidRPr="009440ED">
        <w:lastRenderedPageBreak/>
        <w:t>–</w:t>
      </w:r>
      <w:r w:rsidRPr="009440ED">
        <w:tab/>
        <w:t>tekintettel az Európa Tanács, különösen a Velencei Bizottság, a Rasszizmus és Intolerancia Elleni Európai Bizottság (ECRI), a GREVIO és a GRECO ajánlásaira és jelentéseire, EN</w:t>
      </w:r>
    </w:p>
    <w:p w:rsidR="00B077ED" w:rsidRPr="009440ED" w:rsidRDefault="00B077ED" w:rsidP="00AA2C7A">
      <w:pPr>
        <w:pStyle w:val="NormalHanging12a"/>
        <w:widowControl/>
        <w:rPr>
          <w:szCs w:val="24"/>
        </w:rPr>
      </w:pPr>
      <w:r w:rsidRPr="009440ED">
        <w:t>–</w:t>
      </w:r>
      <w:r w:rsidRPr="009440ED">
        <w:tab/>
        <w:t>tekintettel az EU-ban élő kisebbségekre vonatkozó minimumszabályokról szóló, 2018. november 13-i állásfoglalására</w:t>
      </w:r>
      <w:r w:rsidRPr="009440ED">
        <w:rPr>
          <w:rStyle w:val="FootnoteReference"/>
        </w:rPr>
        <w:footnoteReference w:id="14"/>
      </w:r>
      <w:r w:rsidRPr="009440ED">
        <w:t>,</w:t>
      </w:r>
    </w:p>
    <w:p w:rsidR="00B077ED" w:rsidRPr="009440ED" w:rsidRDefault="00B077ED" w:rsidP="00AA2C7A">
      <w:pPr>
        <w:pStyle w:val="NormalHanging12a"/>
        <w:widowControl/>
        <w:rPr>
          <w:szCs w:val="24"/>
        </w:rPr>
      </w:pPr>
      <w:r w:rsidRPr="009440ED">
        <w:t>–</w:t>
      </w:r>
      <w:r w:rsidRPr="009440ED">
        <w:tab/>
        <w:t>tekintettel az EU-ban a nemek egyenlőségéről és az adópolitikáról szóló, 2019. január 15-i állásfoglalására</w:t>
      </w:r>
      <w:r w:rsidRPr="009440ED">
        <w:rPr>
          <w:rStyle w:val="FootnoteReference"/>
        </w:rPr>
        <w:footnoteReference w:id="15"/>
      </w:r>
      <w:r w:rsidRPr="009440ED">
        <w:t>,</w:t>
      </w:r>
    </w:p>
    <w:p w:rsidR="00B077ED" w:rsidRPr="009440ED" w:rsidRDefault="00B077ED" w:rsidP="00AA2C7A">
      <w:pPr>
        <w:pStyle w:val="NormalHanging12a"/>
        <w:widowControl/>
      </w:pPr>
      <w:r w:rsidRPr="009440ED">
        <w:t>–</w:t>
      </w:r>
      <w:r w:rsidRPr="009440ED">
        <w:tab/>
        <w:t>tekintettel „</w:t>
      </w:r>
      <w:proofErr w:type="gramStart"/>
      <w:r w:rsidRPr="009440ED">
        <w:t>A</w:t>
      </w:r>
      <w:proofErr w:type="gramEnd"/>
      <w:r w:rsidRPr="009440ED">
        <w:t xml:space="preserve"> demokráciának, valamint a tömegtájékoztatás szabadságának és sokszínűségének az Unióban való megerősítése: polgári és büntetőjogi eljárások indokolatlan alkalmazása újságírók, nem kormányzati szervezetek és a civil társadalom elhallgattatására” című, 2021. november 11-i állásfoglalására</w:t>
      </w:r>
      <w:r w:rsidRPr="009440ED">
        <w:rPr>
          <w:rStyle w:val="FootnoteReference"/>
        </w:rPr>
        <w:footnoteReference w:id="16"/>
      </w:r>
      <w:r w:rsidRPr="009440ED">
        <w:t>,</w:t>
      </w:r>
    </w:p>
    <w:p w:rsidR="00B077ED" w:rsidRPr="009440ED" w:rsidRDefault="00B077ED" w:rsidP="00AA2C7A">
      <w:pPr>
        <w:pStyle w:val="NormalHanging12a"/>
        <w:widowControl/>
      </w:pPr>
      <w:r w:rsidRPr="009440ED">
        <w:t>–</w:t>
      </w:r>
      <w:r w:rsidRPr="009440ED">
        <w:tab/>
        <w:t xml:space="preserve">tekintettel a sürgősségi alapok és a válsággal kapcsolatos kiadási területek esetében a </w:t>
      </w:r>
      <w:proofErr w:type="gramStart"/>
      <w:r w:rsidRPr="009440ED">
        <w:t>korrupció</w:t>
      </w:r>
      <w:proofErr w:type="gramEnd"/>
      <w:r w:rsidRPr="009440ED">
        <w:t>, a szabálytalan kiadások, valamint az uniós és nemzeti forrásokkal való visszaélés elkerülését célzó megelőző intézkedések értékeléséről szóló, 2021. december 15-i állásfoglalására</w:t>
      </w:r>
      <w:r w:rsidRPr="009440ED">
        <w:rPr>
          <w:rStyle w:val="FootnoteReference"/>
        </w:rPr>
        <w:footnoteReference w:id="17"/>
      </w:r>
      <w:r w:rsidRPr="009440ED">
        <w:t>,</w:t>
      </w:r>
    </w:p>
    <w:p w:rsidR="00B077ED" w:rsidRPr="009440ED" w:rsidRDefault="00B077ED" w:rsidP="00AA2C7A">
      <w:pPr>
        <w:pStyle w:val="NormalHanging12a"/>
        <w:widowControl/>
      </w:pPr>
      <w:r w:rsidRPr="009440ED">
        <w:t>–</w:t>
      </w:r>
      <w:r w:rsidRPr="009440ED">
        <w:tab/>
        <w:t>tekintettel a határokon átnyúló európai egyesületek és nonprofit szervezetek statútumáról szóló, a Bizottságnak szóló ajánlásokat tartalmazó, 2022. február 17-i állásfoglalására</w:t>
      </w:r>
      <w:r w:rsidRPr="009440ED">
        <w:rPr>
          <w:rStyle w:val="FootnoteReference"/>
        </w:rPr>
        <w:footnoteReference w:id="18"/>
      </w:r>
      <w:r w:rsidRPr="009440ED">
        <w:t>,</w:t>
      </w:r>
    </w:p>
    <w:p w:rsidR="00B077ED" w:rsidRPr="009440ED" w:rsidRDefault="00B077ED" w:rsidP="00AA2C7A">
      <w:pPr>
        <w:pStyle w:val="NormalHanging12a"/>
        <w:widowControl/>
      </w:pPr>
      <w:r w:rsidRPr="009440ED">
        <w:t>–</w:t>
      </w:r>
      <w:r w:rsidRPr="009440ED">
        <w:tab/>
        <w:t>tekintettel a civil társadalom mozgásterének Európában tapasztalható szűküléséről szóló, 2022. március 8-i állásfoglalására</w:t>
      </w:r>
      <w:r w:rsidRPr="009440ED">
        <w:rPr>
          <w:rStyle w:val="FootnoteReference"/>
        </w:rPr>
        <w:footnoteReference w:id="19"/>
      </w:r>
      <w:r w:rsidRPr="009440ED">
        <w:t>,</w:t>
      </w:r>
    </w:p>
    <w:p w:rsidR="00B077ED" w:rsidRPr="009440ED" w:rsidRDefault="00B077ED" w:rsidP="00AA2C7A">
      <w:pPr>
        <w:pStyle w:val="NormalHanging12a"/>
        <w:widowControl/>
      </w:pPr>
      <w:r w:rsidRPr="009440ED">
        <w:t>–</w:t>
      </w:r>
      <w:r w:rsidRPr="009440ED">
        <w:tab/>
        <w:t>tekintettel a jogállamiságról és az Európai Bíróság ítéletének következményeiről szóló, 2022. március 10-i állásfoglalására</w:t>
      </w:r>
      <w:r w:rsidRPr="009440ED">
        <w:rPr>
          <w:rStyle w:val="FootnoteReference"/>
        </w:rPr>
        <w:footnoteReference w:id="20"/>
      </w:r>
      <w:r w:rsidRPr="009440ED">
        <w:t>,</w:t>
      </w:r>
    </w:p>
    <w:p w:rsidR="00B077ED" w:rsidRPr="009440ED" w:rsidRDefault="00B077ED" w:rsidP="00AA2C7A">
      <w:pPr>
        <w:pStyle w:val="NormalHanging12a"/>
        <w:widowControl/>
      </w:pPr>
      <w:r w:rsidRPr="009440ED">
        <w:t>–</w:t>
      </w:r>
      <w:r w:rsidRPr="009440ED">
        <w:tab/>
        <w:t xml:space="preserve">tekintettel a jogállamiságról és a lengyel nemzeti helyreállítási terv lehetséges jóváhagyásáról (Helyreállítási és </w:t>
      </w:r>
      <w:proofErr w:type="spellStart"/>
      <w:r w:rsidRPr="009440ED">
        <w:t>Rezilienciaépítési</w:t>
      </w:r>
      <w:proofErr w:type="spellEnd"/>
      <w:r w:rsidRPr="009440ED">
        <w:t xml:space="preserve"> Eszköz) szóló, 2022. június 9-i állásfoglalására</w:t>
      </w:r>
      <w:r w:rsidRPr="009440ED">
        <w:rPr>
          <w:rStyle w:val="FootnoteReference"/>
        </w:rPr>
        <w:footnoteReference w:id="21"/>
      </w:r>
      <w:r w:rsidRPr="009440ED">
        <w:t>,</w:t>
      </w:r>
    </w:p>
    <w:p w:rsidR="00B077ED" w:rsidRPr="009440ED" w:rsidRDefault="00B077ED" w:rsidP="00AA2C7A">
      <w:pPr>
        <w:pStyle w:val="NormalHanging12a"/>
        <w:widowControl/>
      </w:pPr>
      <w:r w:rsidRPr="009440ED">
        <w:t>–</w:t>
      </w:r>
      <w:r w:rsidRPr="009440ED">
        <w:tab/>
        <w:t xml:space="preserve">tekintettel „Az </w:t>
      </w:r>
      <w:proofErr w:type="spellStart"/>
      <w:r w:rsidRPr="009440ED">
        <w:t>interszekcionális</w:t>
      </w:r>
      <w:proofErr w:type="spellEnd"/>
      <w:r w:rsidRPr="009440ED">
        <w:t xml:space="preserve"> megkülönböztetés az Európai Unióban: az afrikai, közel-keleti, latin-amerikai és ázsiai származású nők társadalmi-gazdasági helyzete” című, 2022. július 6-i állásfoglalására</w:t>
      </w:r>
      <w:r w:rsidRPr="009440ED">
        <w:rPr>
          <w:rStyle w:val="FootnoteReference"/>
        </w:rPr>
        <w:footnoteReference w:id="22"/>
      </w:r>
      <w:r w:rsidRPr="009440ED">
        <w:t>,</w:t>
      </w:r>
    </w:p>
    <w:p w:rsidR="00B077ED" w:rsidRPr="009440ED" w:rsidRDefault="00B077ED" w:rsidP="00AA2C7A">
      <w:pPr>
        <w:pStyle w:val="NormalHanging12a"/>
        <w:widowControl/>
      </w:pPr>
      <w:r w:rsidRPr="009440ED">
        <w:t>–</w:t>
      </w:r>
      <w:r w:rsidRPr="009440ED">
        <w:tab/>
        <w:t xml:space="preserve">tekintettel az Európai Unióról szóló szerződés 7. cikke (1) bekezdésének megfelelően az Unió alapértékeinek Magyarország általi súlyos megsértése egyértelmű kockázatának </w:t>
      </w:r>
      <w:r w:rsidRPr="009440ED">
        <w:lastRenderedPageBreak/>
        <w:t>megállapításáról szóló tanácsi határozatra irányuló javaslatról szóló, 2022. szeptember 15-i állásfoglalására</w:t>
      </w:r>
      <w:r w:rsidRPr="009440ED">
        <w:rPr>
          <w:rStyle w:val="FootnoteReference"/>
        </w:rPr>
        <w:footnoteReference w:id="23"/>
      </w:r>
      <w:r w:rsidRPr="009440ED">
        <w:t>,</w:t>
      </w:r>
    </w:p>
    <w:p w:rsidR="00B077ED" w:rsidRPr="009440ED" w:rsidRDefault="00B077ED" w:rsidP="00AA2C7A">
      <w:pPr>
        <w:pStyle w:val="NormalHanging12a"/>
        <w:widowControl/>
      </w:pPr>
      <w:r w:rsidRPr="009440ED">
        <w:t>–</w:t>
      </w:r>
      <w:r w:rsidRPr="009440ED">
        <w:tab/>
        <w:t>tekintettel az EU-ban telepeken élő roma közösségek helyzetéről szóló, 2022. október 5-i állásfoglalására</w:t>
      </w:r>
      <w:r w:rsidRPr="009440ED">
        <w:rPr>
          <w:rStyle w:val="FootnoteReference"/>
        </w:rPr>
        <w:footnoteReference w:id="24"/>
      </w:r>
      <w:r w:rsidRPr="009440ED">
        <w:t>,</w:t>
      </w:r>
    </w:p>
    <w:p w:rsidR="00B077ED" w:rsidRPr="009440ED" w:rsidRDefault="00B077ED" w:rsidP="00AA2C7A">
      <w:pPr>
        <w:pStyle w:val="NormalHanging12a"/>
        <w:widowControl/>
      </w:pPr>
      <w:r w:rsidRPr="009440ED">
        <w:t>–</w:t>
      </w:r>
      <w:r w:rsidRPr="009440ED">
        <w:tab/>
        <w:t xml:space="preserve">tekintettel a katari eredetű </w:t>
      </w:r>
      <w:proofErr w:type="gramStart"/>
      <w:r w:rsidRPr="009440ED">
        <w:t>korrupció</w:t>
      </w:r>
      <w:proofErr w:type="gramEnd"/>
      <w:r w:rsidRPr="009440ED">
        <w:t xml:space="preserve"> gyanújáról, valamint az átláthatóság és elszámoltathatóság európai intézményeken belüli érvényesítésének általános szükségességéről szóló, 2022. december 15-i állásfoglalására</w:t>
      </w:r>
      <w:r w:rsidRPr="009440ED">
        <w:rPr>
          <w:rStyle w:val="FootnoteReference"/>
        </w:rPr>
        <w:footnoteReference w:id="25"/>
      </w:r>
      <w:r w:rsidRPr="009440ED">
        <w:t>,</w:t>
      </w:r>
    </w:p>
    <w:p w:rsidR="00B077ED" w:rsidRPr="009440ED" w:rsidRDefault="00B077ED" w:rsidP="00AA2C7A">
      <w:pPr>
        <w:pStyle w:val="NormalHanging12a"/>
        <w:widowControl/>
      </w:pPr>
      <w:r w:rsidRPr="009440ED">
        <w:t>–</w:t>
      </w:r>
      <w:r w:rsidRPr="009440ED">
        <w:tab/>
        <w:t>tekintettel a 2022. július 7-i állásfoglalására az Egyesült Államok Legfelsőbb Bíróságának azon döntéséről, amely megsemmisíti az abortuszhoz való jogot az Egyesült Államokban, valamint az abortuszhoz való jog és a nők egészsége védelmének szükségességéről az EU-ban</w:t>
      </w:r>
      <w:r w:rsidRPr="009440ED">
        <w:rPr>
          <w:rStyle w:val="FootnoteReference"/>
        </w:rPr>
        <w:footnoteReference w:id="26"/>
      </w:r>
      <w:r w:rsidRPr="009440ED">
        <w:t>,</w:t>
      </w:r>
    </w:p>
    <w:p w:rsidR="00B077ED" w:rsidRPr="009440ED" w:rsidRDefault="00B077ED" w:rsidP="00AA2C7A">
      <w:pPr>
        <w:pStyle w:val="NormalHanging12a"/>
        <w:widowControl/>
      </w:pPr>
      <w:r w:rsidRPr="009440ED">
        <w:t>–</w:t>
      </w:r>
      <w:r w:rsidRPr="009440ED">
        <w:tab/>
        <w:t>tekintettel a kisebbségeknek a meggyőződés vagy vallás alapján történő üldöztetéséről szóló, 2022. május 3-i állásfoglalására</w:t>
      </w:r>
      <w:r w:rsidRPr="009440ED">
        <w:rPr>
          <w:rStyle w:val="FootnoteReference"/>
        </w:rPr>
        <w:footnoteReference w:id="27"/>
      </w:r>
      <w:r w:rsidRPr="009440ED">
        <w:t>,</w:t>
      </w:r>
    </w:p>
    <w:p w:rsidR="00B077ED" w:rsidRPr="009440ED" w:rsidRDefault="00B077ED" w:rsidP="00AA2C7A">
      <w:pPr>
        <w:pStyle w:val="NormalHanging12a"/>
        <w:widowControl/>
      </w:pPr>
      <w:r w:rsidRPr="009440ED">
        <w:t>–</w:t>
      </w:r>
      <w:r w:rsidRPr="009440ED">
        <w:tab/>
        <w:t xml:space="preserve">tekintettel az EUSZ 7. cikkének (1) bekezdése alapján Lengyelországgal és Magyarországgal </w:t>
      </w:r>
      <w:proofErr w:type="gramStart"/>
      <w:r w:rsidRPr="009440ED">
        <w:t>kapcsolatban folyamatban</w:t>
      </w:r>
      <w:proofErr w:type="gramEnd"/>
      <w:r w:rsidRPr="009440ED">
        <w:t xml:space="preserve"> lévő meghallgatásokról szóló, 2022. május 5-i állásfoglalására</w:t>
      </w:r>
      <w:r w:rsidRPr="009440ED">
        <w:rPr>
          <w:rStyle w:val="FootnoteReference"/>
        </w:rPr>
        <w:footnoteReference w:id="28"/>
      </w:r>
      <w:r w:rsidRPr="009440ED">
        <w:t>,</w:t>
      </w:r>
    </w:p>
    <w:p w:rsidR="00B077ED" w:rsidRPr="009440ED" w:rsidRDefault="00B077ED" w:rsidP="00AA2C7A">
      <w:pPr>
        <w:pStyle w:val="NormalHanging12a"/>
        <w:widowControl/>
        <w:rPr>
          <w:szCs w:val="24"/>
        </w:rPr>
      </w:pPr>
      <w:r w:rsidRPr="009440ED">
        <w:t>–</w:t>
      </w:r>
      <w:r w:rsidRPr="009440ED">
        <w:tab/>
        <w:t>tekintettel az Európai Határ- és Partvédelmi Ügynökség (</w:t>
      </w:r>
      <w:proofErr w:type="spellStart"/>
      <w:r w:rsidRPr="009440ED">
        <w:t>Frontex</w:t>
      </w:r>
      <w:proofErr w:type="spellEnd"/>
      <w:r w:rsidRPr="009440ED">
        <w:t xml:space="preserve">) 2020-as pénzügyi évre szóló költségvetésének végrehajtására vonatkozó </w:t>
      </w:r>
      <w:proofErr w:type="gramStart"/>
      <w:r w:rsidRPr="009440ED">
        <w:t>mentesítésről</w:t>
      </w:r>
      <w:proofErr w:type="gramEnd"/>
      <w:r w:rsidRPr="009440ED">
        <w:t xml:space="preserve"> szóló, 2022. október 18-i (EU) 2023/325 határozatra</w:t>
      </w:r>
      <w:r w:rsidRPr="009440ED">
        <w:rPr>
          <w:vertAlign w:val="superscript"/>
        </w:rPr>
        <w:footnoteReference w:id="29"/>
      </w:r>
      <w:r w:rsidRPr="009440ED">
        <w:t>,</w:t>
      </w:r>
    </w:p>
    <w:p w:rsidR="00B077ED" w:rsidRPr="009440ED" w:rsidRDefault="00B077ED" w:rsidP="00AA2C7A">
      <w:pPr>
        <w:pStyle w:val="NormalHanging12a"/>
        <w:widowControl/>
        <w:rPr>
          <w:szCs w:val="24"/>
        </w:rPr>
      </w:pPr>
      <w:r w:rsidRPr="009440ED">
        <w:t>–</w:t>
      </w:r>
      <w:r w:rsidRPr="009440ED">
        <w:tab/>
        <w:t xml:space="preserve">tekintettel a Szlovákiában homofób indíttatásból elkövetett közelmúltbeli gyilkosság fényében az LMBTIQ+-személyek elleni, </w:t>
      </w:r>
      <w:proofErr w:type="gramStart"/>
      <w:r w:rsidRPr="009440ED">
        <w:t>Európa-szerte növekvő</w:t>
      </w:r>
      <w:proofErr w:type="gramEnd"/>
      <w:r w:rsidRPr="009440ED">
        <w:t xml:space="preserve"> számú gyűlölet-bűncselekményekről szóló, 2022. október 20-i állásfoglalására</w:t>
      </w:r>
      <w:r w:rsidRPr="009440ED">
        <w:rPr>
          <w:vertAlign w:val="superscript"/>
        </w:rPr>
        <w:footnoteReference w:id="30"/>
      </w:r>
      <w:r w:rsidRPr="009440ED">
        <w:t>,</w:t>
      </w:r>
    </w:p>
    <w:p w:rsidR="00B077ED" w:rsidRPr="009440ED" w:rsidRDefault="00B077ED" w:rsidP="00AA2C7A">
      <w:pPr>
        <w:pStyle w:val="NormalHanging12a"/>
        <w:widowControl/>
        <w:rPr>
          <w:szCs w:val="24"/>
        </w:rPr>
      </w:pPr>
      <w:r w:rsidRPr="009440ED">
        <w:t>–</w:t>
      </w:r>
      <w:r w:rsidRPr="009440ED">
        <w:tab/>
        <w:t>tekintettel a faji igazságosság, a megkülönböztetésmentesség és a rasszizmus elleni küzdelem EU-n belüli helyzetéről szóló, 2022. november 10-i állásfoglalására</w:t>
      </w:r>
      <w:r w:rsidRPr="009440ED">
        <w:rPr>
          <w:rStyle w:val="FootnoteReference"/>
        </w:rPr>
        <w:footnoteReference w:id="31"/>
      </w:r>
      <w:r w:rsidRPr="009440ED">
        <w:t>,</w:t>
      </w:r>
    </w:p>
    <w:p w:rsidR="00B077ED" w:rsidRPr="009440ED" w:rsidRDefault="00B077ED" w:rsidP="00AA2C7A">
      <w:pPr>
        <w:pStyle w:val="NormalHanging12a"/>
        <w:widowControl/>
        <w:rPr>
          <w:szCs w:val="24"/>
        </w:rPr>
      </w:pPr>
      <w:r w:rsidRPr="009440ED">
        <w:t>–</w:t>
      </w:r>
      <w:r w:rsidRPr="009440ED">
        <w:tab/>
        <w:t>tekintettel „</w:t>
      </w:r>
      <w:proofErr w:type="gramStart"/>
      <w:r w:rsidRPr="009440ED">
        <w:t>A</w:t>
      </w:r>
      <w:proofErr w:type="gramEnd"/>
      <w:r w:rsidRPr="009440ED">
        <w:t xml:space="preserve"> fogyatékossággal élő személyek egyenlő jogai felé” című, 2022. december 13-i állásfoglalására</w:t>
      </w:r>
      <w:r w:rsidRPr="009440ED">
        <w:rPr>
          <w:vertAlign w:val="superscript"/>
        </w:rPr>
        <w:footnoteReference w:id="32"/>
      </w:r>
      <w:r w:rsidRPr="009440ED">
        <w:t>,</w:t>
      </w:r>
    </w:p>
    <w:p w:rsidR="00B077ED" w:rsidRPr="009440ED" w:rsidRDefault="00B077ED" w:rsidP="00AA2C7A">
      <w:pPr>
        <w:pStyle w:val="NormalHanging12a"/>
        <w:widowControl/>
      </w:pPr>
      <w:r w:rsidRPr="009440ED">
        <w:t>–</w:t>
      </w:r>
      <w:r w:rsidRPr="009440ED">
        <w:tab/>
        <w:t xml:space="preserve">tekintettel a megkülönböztetés elleni küzdelem az EU-ban – a megkülönböztetés tilalmáról szóló, régóta várt </w:t>
      </w:r>
      <w:proofErr w:type="gramStart"/>
      <w:r w:rsidRPr="009440ED">
        <w:t>horizontális</w:t>
      </w:r>
      <w:proofErr w:type="gramEnd"/>
      <w:r w:rsidRPr="009440ED">
        <w:t xml:space="preserve"> irányelvről szóló, 2023</w:t>
      </w:r>
      <w:r w:rsidR="00C50567">
        <w:t>.</w:t>
      </w:r>
      <w:r w:rsidRPr="009440ED">
        <w:t xml:space="preserve"> április 19-i állásfoglalására</w:t>
      </w:r>
      <w:r w:rsidRPr="009440ED">
        <w:rPr>
          <w:rStyle w:val="FootnoteReference"/>
        </w:rPr>
        <w:footnoteReference w:id="33"/>
      </w:r>
      <w:r w:rsidRPr="009440ED">
        <w:t>,</w:t>
      </w:r>
    </w:p>
    <w:p w:rsidR="00B077ED" w:rsidRPr="009440ED" w:rsidRDefault="00B077ED" w:rsidP="00AA2C7A">
      <w:pPr>
        <w:pStyle w:val="NormalHanging12a"/>
        <w:widowControl/>
        <w:rPr>
          <w:szCs w:val="24"/>
        </w:rPr>
      </w:pPr>
      <w:r w:rsidRPr="009440ED">
        <w:lastRenderedPageBreak/>
        <w:t>–</w:t>
      </w:r>
      <w:r w:rsidRPr="009440ED">
        <w:tab/>
        <w:t>tekintettel az Európa Tanácsnak a nőkkel szembeni erőszak és a kapcsolati erőszak megelőzéséről és az ellene való küzdelemről szóló egyezményének az Európai Unió nevében történő megkötéséről szóló tanácsi határozat tervezetéről szóló, 2023. május 10-i állásfoglalására az Unió intézményei és közigazgatása</w:t>
      </w:r>
      <w:r w:rsidRPr="009440ED">
        <w:rPr>
          <w:rStyle w:val="FootnoteReference"/>
        </w:rPr>
        <w:footnoteReference w:id="34"/>
      </w:r>
      <w:r w:rsidRPr="009440ED">
        <w:t>, valamint a büntetőügyekben folytatott igazságügyi együttműködéssel, a menedékjoggal és a visszaküldés tilalmával kapcsolatos kérdések tekintetében,</w:t>
      </w:r>
    </w:p>
    <w:p w:rsidR="00B077ED" w:rsidRPr="009440ED" w:rsidRDefault="00B077ED" w:rsidP="00AA2C7A">
      <w:pPr>
        <w:pStyle w:val="NormalHanging12a"/>
        <w:widowControl/>
      </w:pPr>
      <w:r w:rsidRPr="009440ED">
        <w:t>–</w:t>
      </w:r>
      <w:r w:rsidRPr="009440ED">
        <w:tab/>
        <w:t>tekintettel az EU–USA adatvédelmi keret által nyújtott védelem megfelelőségéről szóló, 2023. május 11-i állásfoglalására</w:t>
      </w:r>
      <w:r w:rsidRPr="009440ED">
        <w:rPr>
          <w:rStyle w:val="FootnoteReference"/>
          <w:szCs w:val="24"/>
        </w:rPr>
        <w:footnoteReference w:id="35"/>
      </w:r>
      <w:r w:rsidRPr="009440ED">
        <w:t>,</w:t>
      </w:r>
    </w:p>
    <w:p w:rsidR="00B077ED" w:rsidRPr="009440ED" w:rsidRDefault="00B077ED" w:rsidP="00AA2C7A">
      <w:pPr>
        <w:pStyle w:val="NormalHanging12a"/>
        <w:widowControl/>
        <w:rPr>
          <w:szCs w:val="24"/>
        </w:rPr>
      </w:pPr>
      <w:r w:rsidRPr="009440ED">
        <w:t>–</w:t>
      </w:r>
      <w:r w:rsidRPr="009440ED">
        <w:tab/>
        <w:t xml:space="preserve">tekintettel a Pegasus és azzal egyenértékű kémszoftverek használata tekintetében az uniós </w:t>
      </w:r>
      <w:proofErr w:type="gramStart"/>
      <w:r w:rsidRPr="009440ED">
        <w:t>jog állítólagos</w:t>
      </w:r>
      <w:proofErr w:type="gramEnd"/>
      <w:r w:rsidRPr="009440ED">
        <w:t xml:space="preserve"> megsértésének és az annak alkalmazása során állítólagosan elkövetett hivatali visszásságoknak a kivizsgálásáról szóló, 2023. május 22-i jelentésére és ajánlására, </w:t>
      </w:r>
    </w:p>
    <w:p w:rsidR="00B077ED" w:rsidRPr="009440ED" w:rsidRDefault="00B077ED" w:rsidP="00AA2C7A">
      <w:pPr>
        <w:pStyle w:val="NormalHanging12a"/>
        <w:widowControl/>
        <w:rPr>
          <w:szCs w:val="24"/>
        </w:rPr>
      </w:pPr>
      <w:r w:rsidRPr="009440ED">
        <w:t>–</w:t>
      </w:r>
      <w:r w:rsidRPr="009440ED">
        <w:tab/>
        <w:t>tekintettel a jogállamiság és az alapvető jogok magyarországi megsértéséről és a befagyasztott uniós pénzeszközökről szóló, 2023. június 1-jei állásfoglalására</w:t>
      </w:r>
      <w:r w:rsidRPr="009440ED">
        <w:rPr>
          <w:rStyle w:val="FootnoteReference"/>
        </w:rPr>
        <w:footnoteReference w:id="36"/>
      </w:r>
      <w:r w:rsidRPr="009440ED">
        <w:t>,</w:t>
      </w:r>
    </w:p>
    <w:p w:rsidR="00B077ED" w:rsidRPr="009440ED" w:rsidRDefault="00B077ED" w:rsidP="00AA2C7A">
      <w:pPr>
        <w:pStyle w:val="NormalHanging12a"/>
        <w:widowControl/>
        <w:rPr>
          <w:szCs w:val="24"/>
        </w:rPr>
      </w:pPr>
      <w:r w:rsidRPr="009440ED">
        <w:t>–</w:t>
      </w:r>
      <w:r w:rsidRPr="009440ED">
        <w:tab/>
        <w:t xml:space="preserve">tekintettel „A </w:t>
      </w:r>
      <w:proofErr w:type="gramStart"/>
      <w:r w:rsidRPr="009440ED">
        <w:t>dokumentumokhoz</w:t>
      </w:r>
      <w:proofErr w:type="gramEnd"/>
      <w:r w:rsidRPr="009440ED">
        <w:t xml:space="preserve"> való nyilvános hozzáférésről – a 2019–2021 közötti időszakra vonatkozó éves jelentés” című, 2023. július 13-i állásfoglalására</w:t>
      </w:r>
      <w:r w:rsidRPr="009440ED">
        <w:rPr>
          <w:rStyle w:val="FootnoteReference"/>
        </w:rPr>
        <w:footnoteReference w:id="37"/>
      </w:r>
      <w:r w:rsidRPr="009440ED">
        <w:t>,</w:t>
      </w:r>
    </w:p>
    <w:p w:rsidR="00B077ED" w:rsidRPr="009440ED" w:rsidRDefault="00B077ED" w:rsidP="00AA2C7A">
      <w:pPr>
        <w:pStyle w:val="NormalHanging12a"/>
        <w:widowControl/>
        <w:rPr>
          <w:szCs w:val="24"/>
        </w:rPr>
      </w:pPr>
      <w:r w:rsidRPr="009440ED">
        <w:t>–</w:t>
      </w:r>
      <w:r w:rsidRPr="009440ED">
        <w:tab/>
        <w:t>tekintettel a roma gyermekek oktatásban való szegregációjáról és megkülönböztetéséről szóló, 2023. október 4-i állásfoglalására</w:t>
      </w:r>
      <w:r w:rsidRPr="009440ED">
        <w:rPr>
          <w:rStyle w:val="FootnoteReference"/>
        </w:rPr>
        <w:footnoteReference w:id="38"/>
      </w:r>
      <w:r w:rsidRPr="009440ED">
        <w:t>,</w:t>
      </w:r>
    </w:p>
    <w:p w:rsidR="00B077ED" w:rsidRPr="009440ED" w:rsidRDefault="00B077ED" w:rsidP="00AA2C7A">
      <w:pPr>
        <w:pStyle w:val="NormalHanging12a"/>
        <w:widowControl/>
      </w:pPr>
      <w:r w:rsidRPr="009440ED">
        <w:t>–</w:t>
      </w:r>
      <w:r w:rsidRPr="009440ED">
        <w:tab/>
        <w:t>tekintettel eljárási szabályzata 54. cikkére,</w:t>
      </w:r>
    </w:p>
    <w:p w:rsidR="00B077ED" w:rsidRPr="009440ED" w:rsidRDefault="00B077ED" w:rsidP="00AA2C7A">
      <w:pPr>
        <w:pStyle w:val="NormalHanging12a"/>
        <w:widowControl/>
      </w:pPr>
      <w:r w:rsidRPr="009440ED">
        <w:t>–</w:t>
      </w:r>
      <w:r w:rsidRPr="009440ED">
        <w:tab/>
        <w:t>tekintettel az Alkotmányügyi Bizottság véleményére,</w:t>
      </w:r>
    </w:p>
    <w:p w:rsidR="00B077ED" w:rsidRPr="009440ED" w:rsidRDefault="00B077ED" w:rsidP="00AA2C7A">
      <w:pPr>
        <w:pStyle w:val="NormalHanging12a"/>
        <w:widowControl/>
      </w:pPr>
      <w:r w:rsidRPr="009440ED">
        <w:t>–</w:t>
      </w:r>
      <w:r w:rsidRPr="009440ED">
        <w:tab/>
        <w:t>tekintettel az Állampolgári Jogi, Bel- és Igazságügyi Bizottság jelentésére (A9</w:t>
      </w:r>
      <w:r w:rsidRPr="009440ED">
        <w:noBreakHyphen/>
        <w:t>0376/2023),</w:t>
      </w:r>
    </w:p>
    <w:p w:rsidR="00B077ED" w:rsidRPr="009440ED" w:rsidRDefault="00B077ED" w:rsidP="00AA2C7A">
      <w:pPr>
        <w:pStyle w:val="NormalHanging12a"/>
        <w:widowControl/>
      </w:pPr>
      <w:r w:rsidRPr="009440ED">
        <w:t>A.</w:t>
      </w:r>
      <w:r w:rsidRPr="009440ED">
        <w:tab/>
      </w:r>
      <w:proofErr w:type="gramStart"/>
      <w:r w:rsidRPr="009440ED">
        <w:t>mivel az Unió az emberi méltóság tiszteletben tartásának, a szabadság, a demokrácia, az egyenlőség, a jogállamiság, valamint az emberi jogok – beleértve a kisebbségekhez tartozó személyek jogait is – tiszteletben tartásának értékein alapul, ahogyan azt az EUSZ 2. cikke és a Charta meghatározza, valamint ahogyan azt a nemzetközi emberi jogi szerződések is tartalmazzák; mivel az EU-nak és a tagállamoknak belső és külső tevékenységeik során közösen kell képviselniük, fenn kell tartaniuk és aktívan elő kell mozdítaniuk ezeket az értékeket; mivel az elmúlt években néhány tagállam aggasztó visszaesést</w:t>
      </w:r>
      <w:proofErr w:type="gramEnd"/>
      <w:r w:rsidRPr="009440ED">
        <w:t xml:space="preserve"> </w:t>
      </w:r>
      <w:proofErr w:type="gramStart"/>
      <w:r w:rsidRPr="009440ED">
        <w:t>mutatott</w:t>
      </w:r>
      <w:proofErr w:type="gramEnd"/>
      <w:r w:rsidRPr="009440ED">
        <w:t xml:space="preserve"> ezen értékek tekintetében;</w:t>
      </w:r>
    </w:p>
    <w:p w:rsidR="00B077ED" w:rsidRPr="009440ED" w:rsidRDefault="00B077ED" w:rsidP="00AA2C7A">
      <w:pPr>
        <w:pStyle w:val="NormalHanging12a"/>
        <w:widowControl/>
        <w:rPr>
          <w:szCs w:val="24"/>
        </w:rPr>
      </w:pPr>
      <w:r w:rsidRPr="009440ED">
        <w:t>B.</w:t>
      </w:r>
      <w:r w:rsidRPr="009440ED">
        <w:tab/>
        <w:t>mivel a demokrácia, a jogállamiság és az alapvető jogok egymást kölcsönösen erősítő értékek, amelyek sérelme rendszerszintű fenyegetést jelent az Unióra, valamint az Unióban élők jogaira és szabadságára nézve; mivel a jogállamiság tiszteletben tartása az Unió egészét, illetve a tagállamokat minden kormányzati szinten köti;</w:t>
      </w:r>
    </w:p>
    <w:p w:rsidR="00B077ED" w:rsidRPr="009440ED" w:rsidRDefault="00B077ED" w:rsidP="00AA2C7A">
      <w:pPr>
        <w:pStyle w:val="NormalHanging12a"/>
        <w:widowControl/>
        <w:rPr>
          <w:szCs w:val="24"/>
        </w:rPr>
      </w:pPr>
      <w:r w:rsidRPr="009440ED">
        <w:lastRenderedPageBreak/>
        <w:t>C.</w:t>
      </w:r>
      <w:r w:rsidRPr="009440ED">
        <w:tab/>
        <w:t xml:space="preserve">mivel a szabad, független és átlátható választások a demokrácia </w:t>
      </w:r>
      <w:proofErr w:type="spellStart"/>
      <w:r w:rsidRPr="009440ED">
        <w:t>pillérei</w:t>
      </w:r>
      <w:proofErr w:type="spellEnd"/>
      <w:r w:rsidRPr="009440ED">
        <w:t>;</w:t>
      </w:r>
    </w:p>
    <w:p w:rsidR="00B077ED" w:rsidRPr="009440ED" w:rsidRDefault="00B077ED" w:rsidP="00AA2C7A">
      <w:pPr>
        <w:pStyle w:val="NormalHanging12a"/>
        <w:widowControl/>
        <w:rPr>
          <w:szCs w:val="24"/>
        </w:rPr>
      </w:pPr>
      <w:r w:rsidRPr="009440ED">
        <w:t xml:space="preserve">D. mivel a dezinformáció növekvő terjedése veszélyt jelent az Unió demokratikus működésére; mivel az információmanipuláció csökkentése közérdek; mivel a dezinformáció csökkenti az uniós polgárok és lakosok azon képességét, hogy tényeken alapuló döntéseket </w:t>
      </w:r>
      <w:proofErr w:type="gramStart"/>
      <w:r w:rsidRPr="009440ED">
        <w:t>hozzanak</w:t>
      </w:r>
      <w:proofErr w:type="gramEnd"/>
      <w:r w:rsidRPr="009440ED">
        <w:t xml:space="preserve"> és szabadon részt vegyenek a demokratikus folyamatokban; mivel a független és pluralista média hatékony eszköz a dezinformáció elleni küzdelemben;</w:t>
      </w:r>
    </w:p>
    <w:p w:rsidR="00B077ED" w:rsidRPr="009440ED" w:rsidRDefault="00B077ED" w:rsidP="00AA2C7A">
      <w:pPr>
        <w:pStyle w:val="NormalHanging12a"/>
        <w:widowControl/>
      </w:pPr>
      <w:r w:rsidRPr="009440ED">
        <w:t>E.</w:t>
      </w:r>
      <w:r w:rsidRPr="009440ED">
        <w:tab/>
      </w:r>
      <w:proofErr w:type="gramStart"/>
      <w:r w:rsidRPr="009440ED">
        <w:t>mivel a tömegtájékoztatás szabadsága, pluralizmusa és függetlensége, valamint az újságírók biztonsága alapvető elemei a véleménynyilvánítás és a tájékozódás szabadságához való jognak, és elengedhetetlenek az EU és tagállamai demokratikus működéséhez; mivel az elmúlt években az újságírók és más médiaszereplők számos tagállamban és külföldön is egyre inkább vannak kitéve fenyegetésnek, indokolatlan nyomásnak, megfélemlítésnek, erőszaknak és a munkájukba való beavatkozás egyéb formáinak, különös tekintettel a hatalommal való visszaélésre, a korrupcióra, az alapvető jogok megsértésére és a bűncselekményekre;</w:t>
      </w:r>
      <w:proofErr w:type="gramEnd"/>
      <w:r w:rsidRPr="009440ED">
        <w:t xml:space="preserve"> mivel a stratégiai perek továbbra is sürgető </w:t>
      </w:r>
      <w:proofErr w:type="gramStart"/>
      <w:r w:rsidRPr="009440ED">
        <w:t>problémát</w:t>
      </w:r>
      <w:proofErr w:type="gramEnd"/>
      <w:r w:rsidRPr="009440ED">
        <w:t xml:space="preserve"> jelentenek az Unióban; mivel a fenyegetésekkel és támadásokkal kapcsolatos riasztó helyzet nem korlátozódik kizárólag a hivatásos újságírókra és más hagyományos médiaszereplőkre; mivel a médiaszereplők meghatározása a digitális korban a média új formáinak köszönhetően kibővült, és ezért másokat is magában foglal, akik hozzájárulnak a nyilvános vitához, és újságírói tevékenységet végeznek, vagy nyilvános felügyeleti feladatokat látnak el;</w:t>
      </w:r>
    </w:p>
    <w:p w:rsidR="00B077ED" w:rsidRPr="009440ED" w:rsidRDefault="00B077ED" w:rsidP="00AA2C7A">
      <w:pPr>
        <w:widowControl/>
        <w:spacing w:after="240"/>
        <w:ind w:left="567" w:hanging="567"/>
      </w:pPr>
      <w:r w:rsidRPr="009440ED">
        <w:t>F.</w:t>
      </w:r>
      <w:r w:rsidRPr="009440ED">
        <w:tab/>
      </w:r>
      <w:proofErr w:type="gramStart"/>
      <w:r w:rsidRPr="009440ED">
        <w:t>mivel</w:t>
      </w:r>
      <w:proofErr w:type="gramEnd"/>
      <w:r w:rsidRPr="009440ED">
        <w:t xml:space="preserve"> egyes tagállamok és nem uniós országok kormányzati szervei a Pegasus és más kémszoftvereket használtak újságírók, politikusok, bűnüldöző szervek tisztviselői, diplomaták, ügyvédek, üzletemberek, civil társadalmi szereplők és más szereplők ellen politikai, sőt bűnügyi célokra; mivel ezek a gyakorlatok rendkívül </w:t>
      </w:r>
      <w:proofErr w:type="spellStart"/>
      <w:r w:rsidRPr="009440ED">
        <w:t>aggasztóak</w:t>
      </w:r>
      <w:proofErr w:type="spellEnd"/>
      <w:r w:rsidRPr="009440ED">
        <w:t>, és kiemelik annak kockázatát, hogy az alapvető emberi jogok, a demokrácia és a választási folyamatok aláásása érdekében visszaélnek a megfigyelési technológiákkal;</w:t>
      </w:r>
    </w:p>
    <w:p w:rsidR="00B077ED" w:rsidRPr="009440ED" w:rsidRDefault="00B077ED" w:rsidP="00AA2C7A">
      <w:pPr>
        <w:pStyle w:val="NormalHanging12a"/>
        <w:widowControl/>
      </w:pPr>
      <w:r w:rsidRPr="009440ED">
        <w:t>G.</w:t>
      </w:r>
      <w:r w:rsidRPr="009440ED">
        <w:tab/>
        <w:t xml:space="preserve">mivel a </w:t>
      </w:r>
      <w:proofErr w:type="gramStart"/>
      <w:r w:rsidRPr="009440ED">
        <w:t>korrupció</w:t>
      </w:r>
      <w:proofErr w:type="gramEnd"/>
      <w:r w:rsidRPr="009440ED">
        <w:t xml:space="preserve"> komoly veszélyt jelent a demokráciára és a jogállamiságra; mivel egyes tagállamok esetében tartós és komoly aggodalmak merülnek fel a korrupció elleni küzdelemmel kapcsolatban; mivel a korrupció megállítására szolgáló mechanizmusok több tagállamban gyengék, és a visszaélést bejelentő személyek védelme tekintetében továbbra is széles körű hiányosságok mutatkoznak; mivel a jogállamiságra vonatkozó feltételrendszerről szóló rendelet célja, hogy megvédje az uniós költségvetést a jogállamiság elveinek megsértésével szemben;</w:t>
      </w:r>
    </w:p>
    <w:p w:rsidR="00B077ED" w:rsidRPr="009440ED" w:rsidRDefault="00B077ED" w:rsidP="00AA2C7A">
      <w:pPr>
        <w:pStyle w:val="NormalHanging12a"/>
        <w:widowControl/>
        <w:rPr>
          <w:szCs w:val="24"/>
        </w:rPr>
      </w:pPr>
      <w:r w:rsidRPr="009440ED">
        <w:t>H.</w:t>
      </w:r>
      <w:r w:rsidRPr="009440ED">
        <w:tab/>
      </w:r>
      <w:proofErr w:type="gramStart"/>
      <w:r w:rsidRPr="009440ED">
        <w:t>mivel</w:t>
      </w:r>
      <w:proofErr w:type="gramEnd"/>
      <w:r w:rsidRPr="009440ED">
        <w:t xml:space="preserve"> az újságírók, a médiaorgánumok és a </w:t>
      </w:r>
      <w:proofErr w:type="spellStart"/>
      <w:r w:rsidRPr="009440ED">
        <w:t>bloggerek</w:t>
      </w:r>
      <w:proofErr w:type="spellEnd"/>
      <w:r w:rsidRPr="009440ED">
        <w:t>, az emberijog-védők, valamint a civil társadalmi szervezetek, aktivisták, szakszervezetek, művészek, kutatók, visszaélést bejelentő személyek és politikusok egyre gyakrabban szembesülnek fenyegetésekkel, zaklatással, és a megfélemlítés egyéb formáival nyilvános szerepvállalásuk miatt;</w:t>
      </w:r>
    </w:p>
    <w:p w:rsidR="00B077ED" w:rsidRPr="009440ED" w:rsidRDefault="00B077ED" w:rsidP="00AA2C7A">
      <w:pPr>
        <w:pStyle w:val="NormalHanging12a"/>
        <w:widowControl/>
      </w:pPr>
      <w:r w:rsidRPr="009440ED">
        <w:t>I.</w:t>
      </w:r>
      <w:r w:rsidRPr="009440ED">
        <w:tab/>
        <w:t>mivel az igazságszolgáltatás függetlensége – amely alapvető követelménye a hatalmi ágak szétválasztására vonatkozó demokratikus elvnek és központi szerepet játszik az alapvető jogok tiszteletben tartásának biztosításában – komoly veszélyekkel szembesül, és egyre több tagállamban akár rendszerszinten aláássák azt;</w:t>
      </w:r>
    </w:p>
    <w:p w:rsidR="00B077ED" w:rsidRPr="009440ED" w:rsidRDefault="00B077ED" w:rsidP="00AA2C7A">
      <w:pPr>
        <w:pStyle w:val="NormalHanging12a"/>
        <w:widowControl/>
        <w:rPr>
          <w:szCs w:val="24"/>
        </w:rPr>
      </w:pPr>
      <w:r w:rsidRPr="009440ED">
        <w:lastRenderedPageBreak/>
        <w:t>J.</w:t>
      </w:r>
      <w:r w:rsidRPr="009440ED">
        <w:tab/>
      </w:r>
      <w:proofErr w:type="gramStart"/>
      <w:r w:rsidRPr="009440ED">
        <w:t>mivel a Bíróság emlékeztetett</w:t>
      </w:r>
      <w:r w:rsidRPr="009440ED">
        <w:rPr>
          <w:vertAlign w:val="superscript"/>
        </w:rPr>
        <w:footnoteReference w:id="39"/>
      </w:r>
      <w:r w:rsidRPr="009440ED">
        <w:t xml:space="preserve"> arra, hogy a Charta 12. cikkének (1) bekezdésében foglalt, egyesülési szabadsághoz való jog a demokratikus és pluralista társadalom egyik alapvető alapja, mivel lehetővé teszi az Unióban élők számára, hogy közösen lépjenek fel a közös érdekeket érintő területeken, és ezáltal hozzájáruljanak a közélet megfelelő működéséhez; mivel egyes tagállamokban a békés tüntetők ellen alkalmazott aránytalan erőszak – többek között a tiltakozók megverése – következtében a gyülekezési és egyesülési jog elleni egyre gyakoribb támadásokról számoltak be;</w:t>
      </w:r>
      <w:proofErr w:type="gramEnd"/>
      <w:r w:rsidRPr="009440ED">
        <w:t xml:space="preserve"> </w:t>
      </w:r>
    </w:p>
    <w:p w:rsidR="00B077ED" w:rsidRPr="009440ED" w:rsidRDefault="00B077ED" w:rsidP="00AA2C7A">
      <w:pPr>
        <w:pStyle w:val="NormalHanging12a"/>
        <w:widowControl/>
        <w:rPr>
          <w:szCs w:val="24"/>
        </w:rPr>
      </w:pPr>
      <w:r w:rsidRPr="009440ED">
        <w:t>K.</w:t>
      </w:r>
      <w:r w:rsidRPr="009440ED">
        <w:tab/>
        <w:t xml:space="preserve">mivel egyes tagállamok korlátozásokat vezettek be azzal a szándékkal, hogy korlátozzák a polgári teret; mivel számos tagállamban a polgári tér jogi, adminisztratív és adózási zaklatással, kriminalizálással és negatív retorikával szembesül, amelyek célja a civil szervezetek, aktivisták és emberijog-védők megbélyegzése és </w:t>
      </w:r>
      <w:proofErr w:type="spellStart"/>
      <w:r w:rsidRPr="009440ED">
        <w:t>delegitimizálása</w:t>
      </w:r>
      <w:proofErr w:type="spellEnd"/>
      <w:r w:rsidRPr="009440ED">
        <w:t xml:space="preserve">, valamint a munkájuk végzéséhez szükséges </w:t>
      </w:r>
      <w:proofErr w:type="gramStart"/>
      <w:r w:rsidRPr="009440ED">
        <w:t>kapacitásuk</w:t>
      </w:r>
      <w:proofErr w:type="gramEnd"/>
      <w:r w:rsidRPr="009440ED">
        <w:t xml:space="preserve"> csökkentése;</w:t>
      </w:r>
    </w:p>
    <w:p w:rsidR="00B077ED" w:rsidRPr="009440ED" w:rsidRDefault="00B077ED" w:rsidP="00AA2C7A">
      <w:pPr>
        <w:pStyle w:val="NormalHanging12a"/>
        <w:widowControl/>
        <w:rPr>
          <w:szCs w:val="24"/>
        </w:rPr>
      </w:pPr>
      <w:proofErr w:type="gramStart"/>
      <w:r w:rsidRPr="009440ED">
        <w:t>L.</w:t>
      </w:r>
      <w:r w:rsidRPr="009440ED">
        <w:tab/>
        <w:t>mivel 2023. márciusában az Európa Tanács emberi jogi biztosa úgy értékelte, hogy riasztó mértékben romlott az emberijog-védők helyzete Európában, és a kormányok egyre inkább figyelmen kívül hagyják emberi jogi kötelezettségvállalásaikat, és az emberi jogokkal szemben előtérbe helyezik a nemzetbiztonsági és közbiztonsági aggályokat; mivel a biztos a szabad és biztonságos munkavégzés képességének fokozódó korlátozásáról, valamint a megtorlás különféle formáiról számolt be a tagállamokban és a szomszédos országokban, beleértve a bírósági zaklatást, a vádemelést, a visszaélésszerű ellenőrzéseket</w:t>
      </w:r>
      <w:proofErr w:type="gramEnd"/>
      <w:r w:rsidRPr="009440ED">
        <w:t xml:space="preserve"> és megfigyelést, a rágalomkampányokat, a fenyegetéseket és a megfélemlítést a tagállamokban és a szomszédos országokban; mivel továbbra is komoly aggodalomra ad okot az állami és nem állami szereplők által az emberijog-védőkkel szemben elkövetett jogsértések hatékony kivizsgálásának hiánya; mivel ez aláássa a demokráciát, és része a társadalom szélesebb körű </w:t>
      </w:r>
      <w:proofErr w:type="gramStart"/>
      <w:r w:rsidRPr="009440ED">
        <w:t>problémáját</w:t>
      </w:r>
      <w:proofErr w:type="gramEnd"/>
      <w:r w:rsidRPr="009440ED">
        <w:t xml:space="preserve"> jelentő polarizációnak, amelyet a különböző társadalmi vagy kisebbségi csoportok elleni gyűlölet és erőszak fokozódó kifejezése jellemez;</w:t>
      </w:r>
    </w:p>
    <w:p w:rsidR="00B077ED" w:rsidRPr="009440ED" w:rsidRDefault="00B077ED" w:rsidP="00AA2C7A">
      <w:pPr>
        <w:pStyle w:val="NormalHanging12a"/>
        <w:widowControl/>
      </w:pPr>
      <w:proofErr w:type="gramStart"/>
      <w:r w:rsidRPr="009440ED">
        <w:t>M.</w:t>
      </w:r>
      <w:r w:rsidRPr="009440ED">
        <w:tab/>
        <w:t>mivel számos haláleset és emberijog-sértés történt a migránsok körében az európai határokon amiatt, hogy a hatóságok nem kezelték hatékonyan a helyzetet, és aránytalan mértékben alkalmaztak erőszakot; mivel egyre nagyobb mennyiségű technológiát, köztük mesterséges intelligenciát használnak a migránsok megfigyelésére az EU külső és belső határain; mivel az olyan nem kormányzati szervezetek vagy más nem állami szereplők tevékenységének kriminalizálása, amelyek a vonatkozó jogi keret tiszteletben tartása mellett végeznek kutatási és mentési műveleteket, a nemzetközi jog megsértésének minősül,</w:t>
      </w:r>
      <w:proofErr w:type="gramEnd"/>
      <w:r w:rsidRPr="009440ED">
        <w:rPr>
          <w:vertAlign w:val="superscript"/>
        </w:rPr>
        <w:footnoteReference w:id="40"/>
      </w:r>
      <w:r w:rsidRPr="009440ED">
        <w:t xml:space="preserve"> ezért azt az uniós jog nem teszi lehetővé; mivel a Bíróság emlékeztetett arra, hogy a nem uniós országok </w:t>
      </w:r>
      <w:proofErr w:type="spellStart"/>
      <w:r w:rsidRPr="009440ED">
        <w:t>állampolgárait</w:t>
      </w:r>
      <w:proofErr w:type="spellEnd"/>
      <w:r w:rsidRPr="009440ED">
        <w:t xml:space="preserve"> csak akkor lehet </w:t>
      </w:r>
      <w:r w:rsidRPr="009440ED">
        <w:lastRenderedPageBreak/>
        <w:t xml:space="preserve">bebörtönözni, ha a szabadsághoz való joguk korlátozásának </w:t>
      </w:r>
      <w:proofErr w:type="gramStart"/>
      <w:r w:rsidRPr="009440ED">
        <w:t>konkrét</w:t>
      </w:r>
      <w:proofErr w:type="gramEnd"/>
      <w:r w:rsidRPr="009440ED">
        <w:t xml:space="preserve"> jogalapja van, és nem csak általános kritérium alapján kerül rá sor</w:t>
      </w:r>
      <w:r w:rsidRPr="009440ED">
        <w:rPr>
          <w:vertAlign w:val="superscript"/>
        </w:rPr>
        <w:footnoteReference w:id="41"/>
      </w:r>
      <w:r w:rsidRPr="009440ED">
        <w:t>;</w:t>
      </w:r>
    </w:p>
    <w:p w:rsidR="00B077ED" w:rsidRPr="009440ED" w:rsidRDefault="00B077ED" w:rsidP="00AA2C7A">
      <w:pPr>
        <w:pStyle w:val="NormalHanging12a"/>
        <w:widowControl/>
        <w:rPr>
          <w:szCs w:val="24"/>
        </w:rPr>
      </w:pPr>
      <w:r w:rsidRPr="009440ED">
        <w:t>N.</w:t>
      </w:r>
      <w:r w:rsidRPr="009440ED">
        <w:tab/>
      </w:r>
      <w:proofErr w:type="gramStart"/>
      <w:r w:rsidRPr="009440ED">
        <w:t>mivel</w:t>
      </w:r>
      <w:proofErr w:type="gramEnd"/>
      <w:r w:rsidRPr="009440ED">
        <w:t xml:space="preserve"> Európa tengeri határain a halálos áldozatok száma 2022-ban enyhén csökkent 2021-hez képest, de továbbra is magasabb volt, mint a 2021-et megelőző három évben</w:t>
      </w:r>
      <w:r w:rsidRPr="009440ED">
        <w:rPr>
          <w:vertAlign w:val="superscript"/>
        </w:rPr>
        <w:footnoteReference w:id="42"/>
      </w:r>
      <w:r w:rsidRPr="009440ED">
        <w:t>; mivel a legtöbb haláleset a Földközi-tenger középső részén, az észak-afrikai partok közelében történt</w:t>
      </w:r>
      <w:r w:rsidRPr="009440ED">
        <w:rPr>
          <w:vertAlign w:val="superscript"/>
        </w:rPr>
        <w:footnoteReference w:id="43"/>
      </w:r>
      <w:r w:rsidRPr="009440ED">
        <w:t xml:space="preserve">; </w:t>
      </w:r>
    </w:p>
    <w:p w:rsidR="00B077ED" w:rsidRPr="009440ED" w:rsidRDefault="00B077ED" w:rsidP="00AA2C7A">
      <w:pPr>
        <w:pStyle w:val="NormalHanging12a"/>
        <w:widowControl/>
        <w:rPr>
          <w:szCs w:val="24"/>
        </w:rPr>
      </w:pPr>
      <w:r w:rsidRPr="009440ED">
        <w:t>O.</w:t>
      </w:r>
      <w:r w:rsidRPr="009440ED">
        <w:tab/>
        <w:t xml:space="preserve">mivel többek között az Európai Csalás Elleni Hivatal (OLAF) és az európai ombudsman által számos jelentésre és vizsgálatra került sor a </w:t>
      </w:r>
      <w:proofErr w:type="spellStart"/>
      <w:r w:rsidRPr="009440ED">
        <w:t>Frontexre</w:t>
      </w:r>
      <w:proofErr w:type="spellEnd"/>
      <w:r w:rsidRPr="009440ED">
        <w:t xml:space="preserve"> vonatkozóan az alapvető jogokkal kapcsolatos kérdésekben; mivel a </w:t>
      </w:r>
      <w:proofErr w:type="spellStart"/>
      <w:r w:rsidRPr="009440ED">
        <w:t>Frontex</w:t>
      </w:r>
      <w:proofErr w:type="spellEnd"/>
      <w:r w:rsidRPr="009440ED">
        <w:t xml:space="preserve"> korábbi igazgatója 2022 áprilisában lemondott tisztségéről; mivel minden uniós ügynökségnek tiszteletben kell tartania az alapvető jogokat, és elszámoltathatónak kell lennie az alapvető jogok megsértése esetén;</w:t>
      </w:r>
    </w:p>
    <w:p w:rsidR="00B077ED" w:rsidRPr="009440ED" w:rsidRDefault="00B077ED" w:rsidP="00AA2C7A">
      <w:pPr>
        <w:pStyle w:val="NormalHanging12a"/>
        <w:widowControl/>
      </w:pPr>
      <w:proofErr w:type="gramStart"/>
      <w:r w:rsidRPr="009440ED">
        <w:t>P.</w:t>
      </w:r>
      <w:r w:rsidRPr="009440ED">
        <w:tab/>
        <w:t>mivel az utóbbi években szervezett ellenreakciókra került sor a nők és lányok jogai ellen; mivel egyes tagállamokban kísérletek történtek a szexuális és reprodukciós egészség és jogok további visszaszorítására, például a nők abortuszellátáshoz való hozzáférésének meglévő jogi védelme tekintetében; mivel az elmúlt években egyes tagállamokban a biztonságos és törvényes abortuszhoz való hozzáférés megtagadása számos nő halálához vezetett; mivel a nemi alapú erőszak – beleértve a szexuális erőszakot és a nemi erőszakot – előfordulása továbbra is magas az Európai Unióban; mivel néhány tagállam mé</w:t>
      </w:r>
      <w:proofErr w:type="gramEnd"/>
      <w:r w:rsidRPr="009440ED">
        <w:t xml:space="preserve">g </w:t>
      </w:r>
      <w:proofErr w:type="gramStart"/>
      <w:r w:rsidRPr="009440ED">
        <w:t>mindig</w:t>
      </w:r>
      <w:proofErr w:type="gramEnd"/>
      <w:r w:rsidRPr="009440ED">
        <w:t xml:space="preserve"> nem ratifikálta az Európa Tanácsnak a nők elleni és a családon belüli erőszak megelőzéséről és leküzdéséről szóló egyezményét (Isztambuli Egyezmény); mivel a szexuális nevelés népszerűsítése és biztosítása elleni mozgalmak száma növekszik az EU-ban;</w:t>
      </w:r>
    </w:p>
    <w:p w:rsidR="00B077ED" w:rsidRPr="009440ED" w:rsidRDefault="00B077ED" w:rsidP="00AA2C7A">
      <w:pPr>
        <w:pStyle w:val="NormalHanging12a"/>
        <w:widowControl/>
        <w:rPr>
          <w:szCs w:val="24"/>
        </w:rPr>
      </w:pPr>
      <w:r w:rsidRPr="009440ED">
        <w:t>Q.</w:t>
      </w:r>
      <w:r w:rsidRPr="009440ED">
        <w:tab/>
        <w:t xml:space="preserve">mivel a nemi alapú erőszak a nemi sztereotípiákban és a hatalmi aszimmetriákban gyökerező </w:t>
      </w:r>
      <w:proofErr w:type="gramStart"/>
      <w:r w:rsidRPr="009440ED">
        <w:t>strukturális</w:t>
      </w:r>
      <w:proofErr w:type="gramEnd"/>
      <w:r w:rsidRPr="009440ED">
        <w:t xml:space="preserve"> egyenlőtlenségek oka és következménye is, beleértve a magán-, a társadalmi, a köz- és a gazdasági szférát is;</w:t>
      </w:r>
    </w:p>
    <w:p w:rsidR="00B077ED" w:rsidRPr="009440ED" w:rsidRDefault="00B077ED" w:rsidP="00AA2C7A">
      <w:pPr>
        <w:pStyle w:val="NormalHanging12a"/>
        <w:widowControl/>
      </w:pPr>
      <w:r w:rsidRPr="009440ED">
        <w:t>R.</w:t>
      </w:r>
      <w:r w:rsidRPr="009440ED">
        <w:tab/>
      </w:r>
      <w:proofErr w:type="gramStart"/>
      <w:r w:rsidRPr="009440ED">
        <w:t>mivel az FRA felmérési adatai azt mutatják, hogy a faji vagy etnikai származáson, vagy vallási meggyőződésen alapuló hátrányos megkülönböztetés (beleértve a romákat, muszlimokat, zsidókat és afrikai származásúakat) előfordulási gyakorisága állandóan nagy mind időben, mind a különböző tagállamok különböző népességcsoportjait tekintve, különösen a hátrányos társadalmi-gazdasági háttérrel rendelkező személyek esetében; mivel a faji és etnikai kisebbségek rendszeres rasszizmussal, gyűlöletbűnözéssel és gyűlöletbeszéddel, az igazságszolgáltatáshoz való hozzáférés hiányával és a tartós társadalmi-gazdasági</w:t>
      </w:r>
      <w:proofErr w:type="gramEnd"/>
      <w:r w:rsidRPr="009440ED">
        <w:t xml:space="preserve"> </w:t>
      </w:r>
      <w:proofErr w:type="gramStart"/>
      <w:r w:rsidRPr="009440ED">
        <w:t xml:space="preserve">egyenlőtlenségekkel szembesülnek olyan területeken, mint a lakhatás, az egészségügy, a foglalkoztatás és az oktatás, amit az alapvető jogaik teljes körű gyakorlásának fő akadályaiként, valamint a befogadás és az egyenlőség fő akadályaiként kell elismerni; mivel az </w:t>
      </w:r>
      <w:proofErr w:type="spellStart"/>
      <w:r w:rsidRPr="009440ED">
        <w:t>iszlamofóbia</w:t>
      </w:r>
      <w:proofErr w:type="spellEnd"/>
      <w:r w:rsidRPr="009440ED">
        <w:t xml:space="preserve">, az antiszemitizmus, a cigányellenesség és a rasszizmus a gyűlölet és a hátrányos megkülönböztetés tartós formái; mivel a jobboldali szélsőségesség különös veszélyt jelent a hátrányos megkülönböztetés által érintett személyekre és a társadalom egészére; mivel az FRA </w:t>
      </w:r>
      <w:r w:rsidRPr="009440ED">
        <w:lastRenderedPageBreak/>
        <w:t>szerint az EU-ban – többek között a bűnüldözés területén</w:t>
      </w:r>
      <w:proofErr w:type="gramEnd"/>
      <w:r w:rsidRPr="009440ED">
        <w:t xml:space="preserve"> – rendszerszintű rasszizmusra utaló jelek tapasztalhatók; mivel az </w:t>
      </w:r>
      <w:proofErr w:type="spellStart"/>
      <w:r w:rsidRPr="009440ED">
        <w:t>interszekcionális</w:t>
      </w:r>
      <w:proofErr w:type="spellEnd"/>
      <w:r w:rsidRPr="009440ED">
        <w:t xml:space="preserve"> megkülönböztetést figyelembe kell venni a rasszizmus és a megkülönböztetés elleni küzdelemre irányuló politikákban és intézkedésekben;</w:t>
      </w:r>
    </w:p>
    <w:p w:rsidR="00B077ED" w:rsidRPr="009440ED" w:rsidRDefault="00B077ED" w:rsidP="00AA2C7A">
      <w:pPr>
        <w:pStyle w:val="NormalHanging12a"/>
        <w:widowControl/>
        <w:rPr>
          <w:szCs w:val="24"/>
        </w:rPr>
      </w:pPr>
      <w:r w:rsidRPr="009440ED">
        <w:t>S.</w:t>
      </w:r>
      <w:r w:rsidRPr="009440ED">
        <w:tab/>
      </w:r>
      <w:proofErr w:type="gramStart"/>
      <w:r w:rsidRPr="009440ED">
        <w:t xml:space="preserve">mivel az Unióban élő fogyatékossággal élő személyek továbbra is hátrányos megkülönböztetéssel szembesülnek, beleértve az észszerű alkalmazkodás megtagadását, a zaklatást és a megkülönböztetés többszörös és </w:t>
      </w:r>
      <w:proofErr w:type="spellStart"/>
      <w:r w:rsidRPr="009440ED">
        <w:t>interszekcionális</w:t>
      </w:r>
      <w:proofErr w:type="spellEnd"/>
      <w:r w:rsidRPr="009440ED">
        <w:t xml:space="preserve"> formáit az élet minden területén, beleértve a társadalmi-gazdasági hátrányokat, a társadalmi </w:t>
      </w:r>
      <w:proofErr w:type="spellStart"/>
      <w:r w:rsidRPr="009440ED">
        <w:t>elszigetelődést</w:t>
      </w:r>
      <w:proofErr w:type="spellEnd"/>
      <w:r w:rsidRPr="009440ED">
        <w:t>, a bántalmazást és az erőszakot – ideértve a nemi alapú erőszakot is –, a kényszersterilizációt és kényszerű abortuszt, a közösségi szolgáltatásokhoz való hozzáférés hiányát, az alacsony színvonalú lakhatást, az intézményi elhelyezést, a nem megfelelő egészségügyi ellátást,</w:t>
      </w:r>
      <w:proofErr w:type="gramEnd"/>
      <w:r w:rsidRPr="009440ED">
        <w:t xml:space="preserve"> valamint a társadalmi szerepvállalás és </w:t>
      </w:r>
      <w:proofErr w:type="gramStart"/>
      <w:r w:rsidRPr="009440ED">
        <w:t>aktív</w:t>
      </w:r>
      <w:proofErr w:type="gramEnd"/>
      <w:r w:rsidRPr="009440ED">
        <w:t xml:space="preserve"> társadalmi részvétel lehetőségének megtagadását;</w:t>
      </w:r>
    </w:p>
    <w:p w:rsidR="00B077ED" w:rsidRPr="009440ED" w:rsidRDefault="00B077ED" w:rsidP="00AA2C7A">
      <w:pPr>
        <w:pStyle w:val="NormalHanging12a"/>
        <w:widowControl/>
        <w:rPr>
          <w:szCs w:val="24"/>
        </w:rPr>
      </w:pPr>
      <w:r w:rsidRPr="009440ED">
        <w:t>T.</w:t>
      </w:r>
      <w:r w:rsidRPr="009440ED">
        <w:tab/>
        <w:t>mivel az európai romani népesség jelentős része</w:t>
      </w:r>
      <w:r w:rsidRPr="009440ED">
        <w:rPr>
          <w:vertAlign w:val="superscript"/>
        </w:rPr>
        <w:footnoteReference w:id="44"/>
      </w:r>
      <w:r w:rsidRPr="009440ED">
        <w:t xml:space="preserve"> rendkívül bizonytalan körülmények között él mind a vidéki, mind a városi területeken, valamint nagyon rossz társadalmi-gazdasági körülmények között; mivel a romani emberek többségét megfosztják alapvető emberi jogaiktól az élet minden területén; mivel egyes tagállamokban továbbra is fennáll a gyermekek </w:t>
      </w:r>
      <w:proofErr w:type="spellStart"/>
      <w:r w:rsidRPr="009440ED">
        <w:t>szegregált</w:t>
      </w:r>
      <w:proofErr w:type="spellEnd"/>
      <w:r w:rsidRPr="009440ED">
        <w:t xml:space="preserve"> iskolákban való elhelyezésének, valamint az etnikai és faji kisebbségekhez tartozó gyermekek </w:t>
      </w:r>
      <w:proofErr w:type="gramStart"/>
      <w:r w:rsidRPr="009440ED">
        <w:t>mentális</w:t>
      </w:r>
      <w:proofErr w:type="gramEnd"/>
      <w:r w:rsidRPr="009440ED">
        <w:t xml:space="preserve"> fogyatékossággal élő gyermekek számára fenntartott iskolákban való elhelyezésének diszkriminatív gyakorlata;</w:t>
      </w:r>
    </w:p>
    <w:p w:rsidR="00B077ED" w:rsidRPr="009440ED" w:rsidRDefault="00B077ED" w:rsidP="00AA2C7A">
      <w:pPr>
        <w:pStyle w:val="NormalHanging12a"/>
        <w:widowControl/>
        <w:rPr>
          <w:szCs w:val="24"/>
        </w:rPr>
      </w:pPr>
      <w:proofErr w:type="gramStart"/>
      <w:r w:rsidRPr="009440ED">
        <w:t>U.</w:t>
      </w:r>
      <w:r w:rsidRPr="009440ED">
        <w:tab/>
        <w:t>mivel az LGBTIQ+ személyek és az LGBTIQ+ jogvédők elleni hátrányos megkülönböztetés, gyűlöletbeszéd és erőszak fokozódó tendenciája továbbra is jelen van az EU-ban; mivel az LMBTIQ+-személyek számos tagállamban továbbra is hátrányos megkülönböztetéssel és kirekesztéssel szembesülnek a szociális védelem, a szociális biztonság, az egészségügyi ellátáshoz, oktatáshoz, jogvédelemhez való hozzáférés, valamint a nyilvánosan elérhető árukhoz és egyéb szolgáltatásokhoz való hozzáférés és az azokkal való ellátottság tekintetében, beleértve a lakhatást is; mivel a Bíróság ítélkezési gyakorlata, amely</w:t>
      </w:r>
      <w:proofErr w:type="gramEnd"/>
      <w:r w:rsidRPr="009440ED">
        <w:t xml:space="preserve"> </w:t>
      </w:r>
      <w:proofErr w:type="gramStart"/>
      <w:r w:rsidRPr="009440ED">
        <w:t xml:space="preserve">védi az azonos nemű párok és az azonos nemű szülőktől született gyermekek szociális jogait és magánéletét, nem kerül végrehajtásra, mint például a </w:t>
      </w:r>
      <w:proofErr w:type="spellStart"/>
      <w:r w:rsidRPr="009440ED">
        <w:t>Coman</w:t>
      </w:r>
      <w:proofErr w:type="spellEnd"/>
      <w:r w:rsidRPr="009440ED">
        <w:t>-ügy (C-673/16) és a Baby Sara-ügy (C-490/20); mivel az interszexuális gyermekeken végzett műtéteket és orvosi kezeléseket előzetes, személyes, teljes körű és tájékozott döntésen alapuló beleegyezésük nélkül hajtják végre; mivel az interszexuális személyek nemi szerveinek megcsonkítása egész életen át tartó következményeket, például lelki traumát és testi fogyatékosságot okozhat;</w:t>
      </w:r>
      <w:proofErr w:type="gramEnd"/>
    </w:p>
    <w:p w:rsidR="00B077ED" w:rsidRPr="009440ED" w:rsidRDefault="00B077ED" w:rsidP="00AA2C7A">
      <w:pPr>
        <w:pStyle w:val="NormalHanging12a"/>
        <w:widowControl/>
      </w:pPr>
      <w:proofErr w:type="gramStart"/>
      <w:r w:rsidRPr="009440ED">
        <w:t>V.</w:t>
      </w:r>
      <w:r w:rsidRPr="009440ED">
        <w:tab/>
        <w:t>mivel EU-szerte a gyűlöletbeszéd előfordulása rohamosan nőtt az elmúlt néhány év során</w:t>
      </w:r>
      <w:r w:rsidRPr="009440ED">
        <w:rPr>
          <w:vertAlign w:val="superscript"/>
        </w:rPr>
        <w:footnoteReference w:id="45"/>
      </w:r>
      <w:r w:rsidRPr="009440ED">
        <w:t xml:space="preserve">, nagyrészt a közösségimédia-felhasználók számának növekedése és azon tény miatt, hogy az online térben burjánzik a gyűlöletbeszéd; mivel a közösségimédia-platformok </w:t>
      </w:r>
      <w:proofErr w:type="spellStart"/>
      <w:r w:rsidRPr="009440ED">
        <w:t>mikrotargetált</w:t>
      </w:r>
      <w:proofErr w:type="spellEnd"/>
      <w:r w:rsidRPr="009440ED">
        <w:t xml:space="preserve"> reklámokon alapuló üzleti modellje szerepet játszik a megkülönböztetésre és erőszakra szító gyűlöletbeszéd terjesztésében és felerősítésében; </w:t>
      </w:r>
      <w:r w:rsidRPr="009440ED">
        <w:lastRenderedPageBreak/>
        <w:t>mivel az oktatási rendszerek kulcsfontosságúak a digitális oktatás, az írástudás és a készségek mindenki számára történő biztosításához, a digitális technológiák felhasználó általi megértésének</w:t>
      </w:r>
      <w:proofErr w:type="gramEnd"/>
      <w:r w:rsidRPr="009440ED">
        <w:t xml:space="preserve"> </w:t>
      </w:r>
      <w:proofErr w:type="gramStart"/>
      <w:r w:rsidRPr="009440ED">
        <w:t>előmozdításához</w:t>
      </w:r>
      <w:proofErr w:type="gramEnd"/>
      <w:r w:rsidRPr="009440ED">
        <w:t>, az egyenlőtlenségek leküzdéséhez, a digitális befogadás javításához, valamint az egyének és jogaik megerősítéséhez és védelméhez, miközben körvonalazzák felelősségüket; mivel a gyűlöletbeszéd gyűlölet-bűncselekményhez vezethet; mivel az FRA szerint az Unióban 10-ből 9 gyűlölet-bűncselekményt és gyűlölet motiválta támadást nem jelentenek be, és ezért nem is szankcionálnak;</w:t>
      </w:r>
    </w:p>
    <w:p w:rsidR="00B077ED" w:rsidRPr="009440ED" w:rsidRDefault="00B077ED" w:rsidP="00AA2C7A">
      <w:pPr>
        <w:pStyle w:val="NormalHanging12a"/>
        <w:widowControl/>
        <w:rPr>
          <w:szCs w:val="24"/>
        </w:rPr>
      </w:pPr>
      <w:r w:rsidRPr="009440ED">
        <w:t>W.</w:t>
      </w:r>
      <w:r w:rsidRPr="009440ED">
        <w:tab/>
        <w:t xml:space="preserve">mivel a Charta 21. cikke tiltja a nyelv vagy nemzeti kisebbséghez tartozás alapján történő mindenfajta megkülönböztetést; mivel annak 22. cikke </w:t>
      </w:r>
      <w:proofErr w:type="gramStart"/>
      <w:r w:rsidRPr="009440ED">
        <w:t>garantálja</w:t>
      </w:r>
      <w:proofErr w:type="gramEnd"/>
      <w:r w:rsidRPr="009440ED">
        <w:t xml:space="preserve"> a nyelvi sokszínűség tiszteletben tartását;</w:t>
      </w:r>
    </w:p>
    <w:p w:rsidR="00B077ED" w:rsidRPr="009440ED" w:rsidRDefault="00B077ED" w:rsidP="00AA2C7A">
      <w:pPr>
        <w:pStyle w:val="NormalHanging12a"/>
        <w:widowControl/>
        <w:rPr>
          <w:szCs w:val="24"/>
        </w:rPr>
      </w:pPr>
      <w:proofErr w:type="gramStart"/>
      <w:r w:rsidRPr="009440ED">
        <w:t>X.</w:t>
      </w:r>
      <w:r w:rsidRPr="009440ED">
        <w:tab/>
        <w:t>mivel az EU a szociális, kulturális és gazdasági jogok előmozdításán alapul; mivel az EU-ban még mindig magas a szegénységben élők száma, több mint minden ötödik gyermeket fenyeget a szegénység, és majdnem minden negyedik európai polgárt fenyeget a szegénység vagy a társadalmi kirekesztés veszélye; mivel a szegénység ördögi köre fokozza az egyéb egyenlőtlenségeket, például az emberek oktatáshoz, megfizethető lakhatáshoz, egészségügyi ellátáshoz és foglalkoztatáshoz való hozzáférését; mivel az energiaválság és az infláció növelték a bizonytalanság, a szegénység és a társadalmi kirekesztés által</w:t>
      </w:r>
      <w:proofErr w:type="gramEnd"/>
      <w:r w:rsidRPr="009440ED">
        <w:t xml:space="preserve"> </w:t>
      </w:r>
      <w:proofErr w:type="gramStart"/>
      <w:r w:rsidRPr="009440ED">
        <w:t>érintettek</w:t>
      </w:r>
      <w:proofErr w:type="gramEnd"/>
      <w:r w:rsidRPr="009440ED">
        <w:t xml:space="preserve"> számát; mivel az EUMSZ 151. cikke hivatkozik az alapvető szociális jogokra, például az Európai Szociális Chartában meghatározottakra; mivel a szociális jogok európai pillére és cselekvési tervének végrehajtása kulcsfontosságú eszköz a szociális prioritások érvényesítéséhez valamennyi uniós szakpolitika tekintetében, és útmutatót jelent a 20 alapelv tényleges végrehajtásához;</w:t>
      </w:r>
    </w:p>
    <w:p w:rsidR="00B077ED" w:rsidRPr="009440ED" w:rsidRDefault="00B077ED" w:rsidP="00AA2C7A">
      <w:pPr>
        <w:pStyle w:val="NormalHanging12a"/>
        <w:widowControl/>
      </w:pPr>
      <w:r w:rsidRPr="009440ED">
        <w:t>Y.</w:t>
      </w:r>
      <w:r w:rsidRPr="009440ED">
        <w:tab/>
        <w:t>mivel az EU emberi jogok európai egyezményéhez (EJEE) való csatlakozása az az EUSZ 6. cikkének (2) bekezdése értelmében kötelező, és továbbra is kiemelt prioritás marad;</w:t>
      </w:r>
    </w:p>
    <w:p w:rsidR="00B077ED" w:rsidRPr="009440ED" w:rsidRDefault="00B077ED" w:rsidP="00AA2C7A">
      <w:pPr>
        <w:pStyle w:val="NormalHanging12a"/>
        <w:widowControl/>
        <w:rPr>
          <w:szCs w:val="24"/>
        </w:rPr>
      </w:pPr>
      <w:r w:rsidRPr="009440ED">
        <w:t>Z.</w:t>
      </w:r>
      <w:r w:rsidRPr="009440ED">
        <w:tab/>
      </w:r>
      <w:proofErr w:type="gramStart"/>
      <w:r w:rsidRPr="009440ED">
        <w:t>mivel</w:t>
      </w:r>
      <w:proofErr w:type="gramEnd"/>
      <w:r w:rsidRPr="009440ED">
        <w:t xml:space="preserve"> a tagállamoknak és az uniós intézményeknek és szerveknek, köztük a Bíróságnak, az FRA-</w:t>
      </w:r>
      <w:proofErr w:type="spellStart"/>
      <w:r w:rsidRPr="009440ED">
        <w:t>nak</w:t>
      </w:r>
      <w:proofErr w:type="spellEnd"/>
      <w:r w:rsidRPr="009440ED">
        <w:t xml:space="preserve"> és az Európai Ügyészségnek kulcsfontosságú szerepet kell játszaniuk az uniós értékek tiszteletben tartásában és az alapvető jogok tiszteletben tartásának biztosításában;</w:t>
      </w:r>
    </w:p>
    <w:p w:rsidR="00B077ED" w:rsidRPr="009440ED" w:rsidRDefault="00B077ED" w:rsidP="00AA2C7A">
      <w:pPr>
        <w:pStyle w:val="NormalHanging12a"/>
        <w:widowControl/>
        <w:rPr>
          <w:szCs w:val="24"/>
        </w:rPr>
      </w:pPr>
      <w:r w:rsidRPr="009440ED">
        <w:t>AA.</w:t>
      </w:r>
      <w:r w:rsidRPr="009440ED">
        <w:tab/>
      </w:r>
      <w:proofErr w:type="gramStart"/>
      <w:r w:rsidRPr="009440ED">
        <w:t>mivel</w:t>
      </w:r>
      <w:proofErr w:type="gramEnd"/>
      <w:r w:rsidRPr="009440ED">
        <w:t xml:space="preserve"> az európai ombudsman vizsgálatot folytatott a Bizottság elnöke és a Pfizer vezérigazgatója közötti, a Covid19-vakcinák beszerzésével kapcsolatos személyes SMS-váltás és telefonhívások ügyében, amelyek közzétételét a Bizottság megtagadta; mivel 2022 júliusában az ombudsman megállapította, hogy a közzététel megtagadása hivatali visszásságnak minősül</w:t>
      </w:r>
      <w:r w:rsidRPr="009440ED">
        <w:rPr>
          <w:vertAlign w:val="superscript"/>
        </w:rPr>
        <w:footnoteReference w:id="46"/>
      </w:r>
      <w:r w:rsidRPr="009440ED">
        <w:t>;</w:t>
      </w:r>
    </w:p>
    <w:p w:rsidR="00B077ED" w:rsidRPr="009440ED" w:rsidRDefault="00B077ED" w:rsidP="00AA2C7A">
      <w:pPr>
        <w:pStyle w:val="NormalHanging12a"/>
        <w:widowControl/>
        <w:rPr>
          <w:szCs w:val="24"/>
        </w:rPr>
      </w:pPr>
      <w:r w:rsidRPr="009440ED">
        <w:t>AB.</w:t>
      </w:r>
      <w:r w:rsidRPr="009440ED">
        <w:tab/>
      </w:r>
      <w:proofErr w:type="gramStart"/>
      <w:r w:rsidRPr="009440ED">
        <w:t xml:space="preserve">mivel – kormányaik szisztematikus intézkedései következtében – több tagállamban évek óta romlik a jogállamiság, különösen Magyarországon és Lengyelországban, amelyek ellen az EUSZ 7. cikkének (1) bekezdése szerinti eljárás van folyamatban; mivel a jogállamisággal és az alapvető jogokkal kapcsolatos aggályok más tagállamokban is </w:t>
      </w:r>
      <w:r w:rsidRPr="009440ED">
        <w:lastRenderedPageBreak/>
        <w:t>jelentősen fokozódnak; mivel alapvető fontosságú annak biztosítása, hogy a tagállamok betartsák az EBESZ-kötelezettségvállalásokat és a demokratikus választásokkal kapcsolatos egyéb nemzetközi kötelezettségeket és normákat, beleértve a Velencei Bizottságot is;</w:t>
      </w:r>
      <w:proofErr w:type="gramEnd"/>
    </w:p>
    <w:p w:rsidR="00B077ED" w:rsidRPr="009440ED" w:rsidRDefault="00B077ED" w:rsidP="00AA2C7A">
      <w:pPr>
        <w:pStyle w:val="NormalHanging12a"/>
        <w:widowControl/>
        <w:rPr>
          <w:szCs w:val="24"/>
        </w:rPr>
      </w:pPr>
      <w:r w:rsidRPr="009440ED">
        <w:t>AC.</w:t>
      </w:r>
      <w:r w:rsidRPr="009440ED">
        <w:tab/>
      </w:r>
      <w:proofErr w:type="gramStart"/>
      <w:r w:rsidRPr="009440ED">
        <w:t xml:space="preserve">mivel a szegénység a strukturális erőszak és a társadalmi igazságtalanság egy formája, amely a nemek közötti egyenlőtlenségen, a hátrányos megkülönböztetésen, valamint az árukhoz és szolgáltatásokhoz való egyenlőtlen hozzáférésen alapul, és az alapvető jogok megsértéséhez vezet; mivel a szegénység kezelése </w:t>
      </w:r>
      <w:proofErr w:type="spellStart"/>
      <w:r w:rsidRPr="009440ED">
        <w:t>interszekcionális</w:t>
      </w:r>
      <w:proofErr w:type="spellEnd"/>
      <w:r w:rsidRPr="009440ED">
        <w:t xml:space="preserve"> megközelítést igényel, amelynek során különös figyelmet kell fordítani a kiszolgáltatott helyzetben lévő egyénekre, például a gyermekekre, a nőkre, a faji alapon megkülönböztetett és etnikai közösségekre, az LMBTIQ+-személyekre, a migránsokra és menedékkérőkre, a fogyatékossággal</w:t>
      </w:r>
      <w:proofErr w:type="gramEnd"/>
      <w:r w:rsidRPr="009440ED">
        <w:t xml:space="preserve"> </w:t>
      </w:r>
      <w:proofErr w:type="gramStart"/>
      <w:r w:rsidRPr="009440ED">
        <w:t>élőkre</w:t>
      </w:r>
      <w:proofErr w:type="gramEnd"/>
      <w:r w:rsidRPr="009440ED">
        <w:t>, valamint a társadalmi-gazdasági szempontból hátrányos helyzetű egyénekre;</w:t>
      </w:r>
    </w:p>
    <w:p w:rsidR="00B077ED" w:rsidRPr="009440ED" w:rsidRDefault="00B077ED" w:rsidP="00AA2C7A">
      <w:pPr>
        <w:pStyle w:val="NormalHanging12a"/>
        <w:widowControl/>
        <w:rPr>
          <w:szCs w:val="24"/>
        </w:rPr>
      </w:pPr>
      <w:r w:rsidRPr="009440ED">
        <w:t>AD.</w:t>
      </w:r>
      <w:r w:rsidRPr="009440ED">
        <w:tab/>
      </w:r>
      <w:proofErr w:type="gramStart"/>
      <w:r w:rsidRPr="009440ED">
        <w:t>mivel</w:t>
      </w:r>
      <w:proofErr w:type="gramEnd"/>
      <w:r w:rsidRPr="009440ED">
        <w:t xml:space="preserve"> az Európai Környezetvédelmi Ügynökség „Levegőminőség Európában (2022)” című jelentése szerint a finom szálló por által okozott légszennyezésnek való kitettség az Unióban csak 2020-ban 238 000 korai halálesetet idézett elő;</w:t>
      </w:r>
    </w:p>
    <w:p w:rsidR="00B077ED" w:rsidRPr="009440ED" w:rsidRDefault="00B077ED" w:rsidP="00AA2C7A">
      <w:pPr>
        <w:pStyle w:val="Normal12a24b"/>
        <w:widowControl/>
        <w:spacing w:before="0"/>
        <w:ind w:left="567" w:hanging="567"/>
        <w:rPr>
          <w:i/>
        </w:rPr>
      </w:pPr>
      <w:r w:rsidRPr="009440ED">
        <w:rPr>
          <w:rStyle w:val="Bold"/>
          <w:i/>
        </w:rPr>
        <w:t>Jogállamiság és az igazságszolgáltatáshoz való jog</w:t>
      </w:r>
    </w:p>
    <w:p w:rsidR="00B077ED" w:rsidRPr="009440ED" w:rsidRDefault="00B077ED" w:rsidP="00AA2C7A">
      <w:pPr>
        <w:pStyle w:val="NormalHanging12a"/>
        <w:widowControl/>
      </w:pPr>
      <w:r w:rsidRPr="009440ED">
        <w:t>1.</w:t>
      </w:r>
      <w:r w:rsidRPr="009440ED">
        <w:tab/>
        <w:t xml:space="preserve">emlékeztet a szabad média fontosságára a demokrácia fenntartásában, a köz- és magánintézmények elszámoltatásában és a polgárok tényeken alapuló </w:t>
      </w:r>
      <w:proofErr w:type="gramStart"/>
      <w:r w:rsidRPr="009440ED">
        <w:t>információkhoz</w:t>
      </w:r>
      <w:proofErr w:type="gramEnd"/>
      <w:r w:rsidRPr="009440ED">
        <w:t xml:space="preserve"> való hozzáférésében; hangsúlyozza a médiapluralizmus és az újságírói szabadság fontosságát; határozottan elítéli, hogy 2022-ben ismét rekordot döntött a világszerte bebörtönzött újságírók száma, és teljes körű igazságszolgáltatásra szólít fel az EU-ban az oknyomozó újságírók meggyilkolása tekintetében;</w:t>
      </w:r>
    </w:p>
    <w:p w:rsidR="00B077ED" w:rsidRPr="009440ED" w:rsidRDefault="00B077ED" w:rsidP="00AA2C7A">
      <w:pPr>
        <w:pStyle w:val="NormalHanging12a"/>
        <w:widowControl/>
        <w:rPr>
          <w:szCs w:val="24"/>
        </w:rPr>
      </w:pPr>
      <w:proofErr w:type="gramStart"/>
      <w:r w:rsidRPr="009440ED">
        <w:t>2.</w:t>
      </w:r>
      <w:r w:rsidRPr="009440ED">
        <w:tab/>
        <w:t xml:space="preserve">felhívja a tagállamokat, hogy hajtsák végre a közéletben részt vevő újságíróknak és emberijog-védőknek a nyilvánvalóan megalapozatlan vagy visszaélésszerű bírósági eljárásokkal szembeni védelméről szóló bizottsági ajánlást, kifejezetten a rágalmazási ügyek miatt kiszabott börtönbüntetések megszüntetése, a rágalmazás </w:t>
      </w:r>
      <w:proofErr w:type="spellStart"/>
      <w:r w:rsidRPr="009440ED">
        <w:t>dekriminalizálása</w:t>
      </w:r>
      <w:proofErr w:type="spellEnd"/>
      <w:r w:rsidRPr="009440ED">
        <w:t xml:space="preserve"> és helyette a polgári vagy közigazgatási eljárások előnyben részesítése érdekében; sürgeti a Bizottságot, hogy foglalkozzon a büntetőeljárás formájában indított, a közéleti részvételt akadályozó stratégiai perek súlyosságával olyan intézkedésekre irányuló javaslat</w:t>
      </w:r>
      <w:proofErr w:type="gramEnd"/>
      <w:r w:rsidRPr="009440ED">
        <w:t xml:space="preserve"> </w:t>
      </w:r>
      <w:proofErr w:type="gramStart"/>
      <w:r w:rsidRPr="009440ED">
        <w:t>előterjesztése révén, amelyek biztosítják, hogy a rágalmazás, a hamis vádaskodás és a becsületsértés, amelyek a legtöbb tagállamban bűncselekménynek minősülnek, ne legyenek felhasználhatók a közéleti részvételt akadályozó stratégiai perekre sem közvád, sem magánvád esetén; hangsúlyozza, hogy a közéleti részvételt akadályozó stratégiai perek az újságírók elhallgattatásának csak az egyik módját jelentik, és felhívja a Bizottságot, hogy folytassa az egyéb gyakorlatok kivizsgálását és avatkozzon be; felszólítja a politikusokat, hogy nyilvánosan ítéljék el az újságírók elleni fenyegetéseket és támadásokat;</w:t>
      </w:r>
      <w:proofErr w:type="gramEnd"/>
    </w:p>
    <w:p w:rsidR="00B077ED" w:rsidRPr="009440ED" w:rsidRDefault="00B077ED" w:rsidP="00AA2C7A">
      <w:pPr>
        <w:pStyle w:val="NormalHanging12a"/>
        <w:widowControl/>
        <w:rPr>
          <w:szCs w:val="24"/>
        </w:rPr>
      </w:pPr>
      <w:proofErr w:type="gramStart"/>
      <w:r w:rsidRPr="009440ED">
        <w:t>3.</w:t>
      </w:r>
      <w:r w:rsidRPr="009440ED">
        <w:tab/>
        <w:t xml:space="preserve">ismételten aggodalmát fejezi ki az alapvető jogok megsértése miatt a Pegasus és az azzal egyenértékű kémszoftverek magánszemélyek és kiemelt szereplők, például újságírók, </w:t>
      </w:r>
      <w:proofErr w:type="spellStart"/>
      <w:r w:rsidRPr="009440ED">
        <w:t>bloggerek</w:t>
      </w:r>
      <w:proofErr w:type="spellEnd"/>
      <w:r w:rsidRPr="009440ED">
        <w:t xml:space="preserve">, emberi jogi jogvédők, politikusok vagy más szereplők elleni felhasználása tekintetében; hangsúlyozza, hogy a kémszoftverek nemzeti kormányok általi illegitim használata közvetlenül és közvetve hatással van a döntéshozatal integritására, és ezáltal aláássa az uniós demokráciát, és rávilágít arra, hogy sürgősen </w:t>
      </w:r>
      <w:r w:rsidRPr="009440ED">
        <w:lastRenderedPageBreak/>
        <w:t>nagyobb átláthatóságra és jogi elszámoltathatóságra van szükség a felügyeleti ágazatban;</w:t>
      </w:r>
      <w:proofErr w:type="gramEnd"/>
    </w:p>
    <w:p w:rsidR="00B077ED" w:rsidRPr="009440ED" w:rsidRDefault="00B077ED" w:rsidP="00AA2C7A">
      <w:pPr>
        <w:pStyle w:val="NormalHanging12a"/>
        <w:widowControl/>
        <w:rPr>
          <w:szCs w:val="24"/>
        </w:rPr>
      </w:pPr>
      <w:r w:rsidRPr="009440ED">
        <w:t>4.</w:t>
      </w:r>
      <w:r w:rsidRPr="009440ED">
        <w:tab/>
        <w:t>felszólítja a tagállamokat, különösen Görögországot, Magyarországot, Lengyelországot, Spanyolországot és Ciprust, hogy kövessék a Pegasus és azzal egyenértékű kémszoftverek használatáról szóló jelentésében foglalt saját ajánlásaikat; emlékeztet a közös uniós szabványok követésére vonatkozó ajánlásaira, mivel a megfigyeléshez való korlátlan hozzáférés lehetővé tétele nem veszélyeztetheti a személyhez fűződő jogokat;</w:t>
      </w:r>
    </w:p>
    <w:p w:rsidR="00B077ED" w:rsidRPr="009440ED" w:rsidRDefault="00B077ED" w:rsidP="00AA2C7A">
      <w:pPr>
        <w:pStyle w:val="NormalHanging12a"/>
        <w:widowControl/>
        <w:rPr>
          <w:szCs w:val="24"/>
        </w:rPr>
      </w:pPr>
      <w:r w:rsidRPr="009440ED">
        <w:t>5.</w:t>
      </w:r>
      <w:r w:rsidRPr="009440ED">
        <w:tab/>
        <w:t>sürgeti a tagállamokat, hogy dolgozzanak ki nemzeti cselekvési terveket az újságírók biztonsága érdekében, és teremtsenek kedvező környezetet a plurális és független média virágzásához, valamint ahhoz, hogy betölthessék a kormányok és más szereplők elszámoltatásában betöltött alapvető őrző szerepüket;</w:t>
      </w:r>
    </w:p>
    <w:p w:rsidR="00B077ED" w:rsidRPr="009440ED" w:rsidRDefault="00B077ED" w:rsidP="00AA2C7A">
      <w:pPr>
        <w:pStyle w:val="NormalHanging12a"/>
        <w:widowControl/>
        <w:rPr>
          <w:szCs w:val="24"/>
        </w:rPr>
      </w:pPr>
      <w:proofErr w:type="gramStart"/>
      <w:r w:rsidRPr="009440ED">
        <w:t>6.</w:t>
      </w:r>
      <w:r w:rsidRPr="009440ED">
        <w:tab/>
        <w:t>emlékeztet arra, hogy a kémszoftverek kereskedelmét és használatát szigorúan szabályozni kell; hangsúlyozza, hogy a kémszoftverek használatát csak kivételes és különleges esetekben szabad engedélyezni az egyértelműen és pontosan meghatározott, korlátozott és kimerítő jelleggel felsorolt súlyos bűncselekményekkel kapcsolatos vizsgálatok tekintetében, eseti alapon kell indokolni, meg kell felelni a Chartának és az egyéb vonatkozó uniós jognak, és azt előzetesen egy független és pártatlan igazságügyi hatóságnak kell elrendelnie, hatékony, ismert és hozzáférhető korrekciós intézkedésekkel; hangsúlyozza,</w:t>
      </w:r>
      <w:proofErr w:type="gramEnd"/>
      <w:r w:rsidRPr="009440ED">
        <w:t xml:space="preserve"> </w:t>
      </w:r>
      <w:proofErr w:type="gramStart"/>
      <w:r w:rsidRPr="009440ED">
        <w:t>hogy</w:t>
      </w:r>
      <w:proofErr w:type="gramEnd"/>
      <w:r w:rsidRPr="009440ED">
        <w:t xml:space="preserve"> minden kémszoftverrel folytatott megfigyelést egy független utólagos felügyeleti hatóságnak kell ellenőriznie, amelynek biztosítania kell, hogy az engedélyezett megfigyelés az alapvető jogokkal összhangban és az Európai Unió Bírósága, az Emberi Jogok Európai Bírósága és a Velencei Bizottság által meghatározott feltételeknek megfelelően történik; kitart amellett, hogy a kémprogramokkal megcélzott személyek valódi és érdemi jogorvoslathoz jussanak;</w:t>
      </w:r>
    </w:p>
    <w:p w:rsidR="00B077ED" w:rsidRPr="009440ED" w:rsidRDefault="00B077ED" w:rsidP="00AA2C7A">
      <w:pPr>
        <w:pStyle w:val="NormalHanging12a"/>
        <w:widowControl/>
        <w:rPr>
          <w:szCs w:val="24"/>
        </w:rPr>
      </w:pPr>
      <w:proofErr w:type="gramStart"/>
      <w:r w:rsidRPr="009440ED">
        <w:t>7.</w:t>
      </w:r>
      <w:r w:rsidRPr="009440ED">
        <w:tab/>
        <w:t>hangsúlyozza, hogy a korrupció összeegyeztethetetlen a demokrácia és a jogállamiság értékeivel, mivel elmélyíti az egyenlőtlenségeket és aláássa a polgárok jó kormányzásba vetett bizalmát; mély aggodalmát fejezi ki a több tagállamban egyre növekvő mértékű korrupció miatt, különösen a magas rangú tisztviselőket és politikusokat érintő esetek miatt; ismételten elítéli a jelenlegi és volt európai parlamenti képviselőket érintő állítólagos korrupciós ügyeket; ennek fényében hangsúlyozza az eljárási szabályzatának módosítására irányuló munkát, amelynek célja a Parlament integritásának, függetlenségének</w:t>
      </w:r>
      <w:proofErr w:type="gramEnd"/>
      <w:r w:rsidRPr="009440ED">
        <w:t xml:space="preserve"> és elszámoltathatóságának megerősítése; aggodalmát fejezi ki amiatt, hogy az uniós korrupcióellenes keret végrehajtásának szintje a tagállamokban eltérő; kéri, hogy a </w:t>
      </w:r>
      <w:proofErr w:type="gramStart"/>
      <w:r w:rsidRPr="009440ED">
        <w:t>korrupcióval</w:t>
      </w:r>
      <w:proofErr w:type="gramEnd"/>
      <w:r w:rsidRPr="009440ED">
        <w:t xml:space="preserve"> szembeni zéró tolerancia legyen a szabály; szorgalmazza független etikai testület létrehozását; felhívja a tagállamokat, hogy biztosítsák a visszaélést bejelentő személyek védelméről szóló irányelv teljes körű végrehajtását</w:t>
      </w:r>
      <w:r w:rsidRPr="009440ED">
        <w:rPr>
          <w:rStyle w:val="FootnoteReference"/>
        </w:rPr>
        <w:footnoteReference w:id="47"/>
      </w:r>
      <w:r w:rsidRPr="009440ED">
        <w:t>;</w:t>
      </w:r>
    </w:p>
    <w:p w:rsidR="00B077ED" w:rsidRPr="009440ED" w:rsidRDefault="00B077ED" w:rsidP="00AA2C7A">
      <w:pPr>
        <w:pStyle w:val="NormalHanging12a"/>
        <w:widowControl/>
      </w:pPr>
      <w:r w:rsidRPr="009440ED">
        <w:t>8.</w:t>
      </w:r>
      <w:r w:rsidRPr="009440ED">
        <w:tab/>
        <w:t xml:space="preserve">hangsúlyozza, hogy az igazságszolgáltatás függetlensége, a hatékony fékek és ellensúlyok –amelyek tagállamonként eltérőek lehetnek – a jogállamiság kulcsfontosságú alkotóelemei; kiemeli, hogy a jogállamiság és az igazságszolgáltatás függetlensége több uniós tagállamban továbbra is komoly aggodalomra ad okot; elítél minden olyan próbálkozást a tagállamok kormányai részéről, amelyek célja, hogy </w:t>
      </w:r>
      <w:r w:rsidRPr="009440ED">
        <w:lastRenderedPageBreak/>
        <w:t>közvetlenül vagy szervezeti eszközökkel politikai befolyást vagy ellenőrzést gyakoroljanak az igazságszolgáltatás döntéshozatali folyamatai fölött;</w:t>
      </w:r>
    </w:p>
    <w:p w:rsidR="00B077ED" w:rsidRPr="009440ED" w:rsidRDefault="00B077ED" w:rsidP="00AA2C7A">
      <w:pPr>
        <w:pStyle w:val="NormalHanging12a"/>
        <w:widowControl/>
        <w:rPr>
          <w:szCs w:val="24"/>
        </w:rPr>
      </w:pPr>
      <w:r w:rsidRPr="009440ED">
        <w:t>9.</w:t>
      </w:r>
      <w:r w:rsidRPr="009440ED">
        <w:tab/>
        <w:t xml:space="preserve">támogatja egy olyan uniós stratégia létrehozását, amely a megelőzés, a közvetlen segítségnyújtás és az elszámoltathatóság biztosítása érdekében az EU külpolitikájának példáira építve </w:t>
      </w:r>
      <w:proofErr w:type="gramStart"/>
      <w:r w:rsidRPr="009440ED">
        <w:t>konkrét</w:t>
      </w:r>
      <w:proofErr w:type="gramEnd"/>
      <w:r w:rsidRPr="009440ED">
        <w:t xml:space="preserve"> és összehangolt uniós szintű fellépést biztosít, többek között az emberijog-védők Európán belüli védelmi mechanizmusának létrehozásával;</w:t>
      </w:r>
    </w:p>
    <w:p w:rsidR="00B077ED" w:rsidRPr="009440ED" w:rsidRDefault="00B077ED" w:rsidP="00AA2C7A">
      <w:pPr>
        <w:pStyle w:val="NormalHanging12a"/>
        <w:widowControl/>
      </w:pPr>
      <w:proofErr w:type="gramStart"/>
      <w:r w:rsidRPr="009440ED">
        <w:t>10.</w:t>
      </w:r>
      <w:r w:rsidRPr="009440ED">
        <w:tab/>
        <w:t xml:space="preserve">támogatja a Helyreállítási és </w:t>
      </w:r>
      <w:proofErr w:type="spellStart"/>
      <w:r w:rsidRPr="009440ED">
        <w:t>Rezilienciaépítési</w:t>
      </w:r>
      <w:proofErr w:type="spellEnd"/>
      <w:r w:rsidRPr="009440ED">
        <w:t xml:space="preserve"> Eszköz és a horizontális előfeltételek használatát az uniós finanszírozás befagyasztására a korrupció és a jogállamiság terén tapasztalható visszaesés elleni küzdelem érdekében; hangsúlyozza, hogy a különféle feltételességi intézkedések révén korlátozott pénzeszközöket csak akkor lehet felszabadítani, ha a kulcsfontosságú feljogosító feltételek teljesülnek; sürgeti a tagállamokat, hogy a vonatkozó helyreállítási és </w:t>
      </w:r>
      <w:proofErr w:type="spellStart"/>
      <w:r w:rsidRPr="009440ED">
        <w:t>rezilienciaépítési</w:t>
      </w:r>
      <w:proofErr w:type="spellEnd"/>
      <w:r w:rsidRPr="009440ED">
        <w:t xml:space="preserve"> terveikben meghatározott mérföldkövek elérése érdekében hajtsák végre a megfelelő intézkedéseket; felhívja az</w:t>
      </w:r>
      <w:proofErr w:type="gramEnd"/>
      <w:r w:rsidRPr="009440ED">
        <w:t xml:space="preserve"> </w:t>
      </w:r>
      <w:proofErr w:type="gramStart"/>
      <w:r w:rsidRPr="009440ED">
        <w:t>Európa Tanácsot az annak megállapítására irányuló intézkedések megtételére, hogy Magyarország elkövetett-e súlyos és folyamatos jogsértést az EUSZ 7. cikkének (2) bekezdésében foglalt uniós értékek vonatkozásában; határozottan elítéli, hogy a magyar hatóságok szisztematikusan bűnbaknak állítják be az LMBTQI+-közösséget; hangsúlyozza, hogy a Tanács osztozik az EUSZ 2. cikkében foglalt értékek védelmével kapcsolatos felelősségben, és hogy ennek elmulasztása hosszú távú és potenciálisan káros következményekkel járna; ragaszkodik a Parlament szerepének és hatásköreinek tiszteletben tartásához;</w:t>
      </w:r>
      <w:proofErr w:type="gramEnd"/>
    </w:p>
    <w:p w:rsidR="00B077ED" w:rsidRPr="009440ED" w:rsidRDefault="00B077ED" w:rsidP="00AA2C7A">
      <w:pPr>
        <w:pStyle w:val="NormalHanging12a"/>
        <w:widowControl/>
        <w:rPr>
          <w:szCs w:val="24"/>
        </w:rPr>
      </w:pPr>
      <w:r w:rsidRPr="009440ED">
        <w:t>11.</w:t>
      </w:r>
      <w:r w:rsidRPr="009440ED">
        <w:tab/>
        <w:t xml:space="preserve">sajnálatát fejezi ki amiatt, hogy egyes tagállamok a szükséges és arányos mértéken túl is meghosszabbítják a szükséghelyzeti intézkedéseket, és megfelelő </w:t>
      </w:r>
      <w:proofErr w:type="gramStart"/>
      <w:r w:rsidRPr="009440ED">
        <w:t>konzultáció</w:t>
      </w:r>
      <w:proofErr w:type="gramEnd"/>
      <w:r w:rsidRPr="009440ED">
        <w:t xml:space="preserve"> nélkül igyekeznek jogszabályokat elfogadni;</w:t>
      </w:r>
    </w:p>
    <w:p w:rsidR="00B077ED" w:rsidRPr="009440ED" w:rsidRDefault="00B077ED" w:rsidP="00AA2C7A">
      <w:pPr>
        <w:pStyle w:val="NormalHanging12a"/>
        <w:widowControl/>
        <w:rPr>
          <w:szCs w:val="24"/>
        </w:rPr>
      </w:pPr>
      <w:r w:rsidRPr="009440ED">
        <w:t>12.</w:t>
      </w:r>
      <w:r w:rsidRPr="009440ED">
        <w:tab/>
        <w:t>megismétli, hogy a demokráciára, a jogállamiságra és az alapvető jogokra vonatkozó uniós mechanizmus azonnali létrehozása szükséges, és sürgeti a Bizottságot és a Tanácsot, hogy haladéktalanul kezdjenek tárgyalásokat a Parlamenttel erről a megállapodásról;</w:t>
      </w:r>
    </w:p>
    <w:p w:rsidR="00B077ED" w:rsidRPr="009440ED" w:rsidRDefault="00B077ED" w:rsidP="00AA2C7A">
      <w:pPr>
        <w:pStyle w:val="NormalHanging12a"/>
        <w:widowControl/>
        <w:rPr>
          <w:szCs w:val="24"/>
        </w:rPr>
      </w:pPr>
      <w:r w:rsidRPr="009440ED">
        <w:t>13.</w:t>
      </w:r>
      <w:r w:rsidRPr="009440ED">
        <w:tab/>
        <w:t>üdvözli, hogy a Bíróság 2022-ben bevezette a műsorszórást és az élő közvetítést, hogy megkönnyítse az igazságszolgáltatási tevékenységéhez való részleges nyilvános hozzáférést;</w:t>
      </w:r>
    </w:p>
    <w:p w:rsidR="00B077ED" w:rsidRPr="009440ED" w:rsidRDefault="00B077ED" w:rsidP="00AA2C7A">
      <w:pPr>
        <w:pStyle w:val="Normal12a24b"/>
        <w:widowControl/>
        <w:spacing w:before="0"/>
        <w:ind w:left="567" w:hanging="567"/>
        <w:rPr>
          <w:i/>
        </w:rPr>
      </w:pPr>
      <w:r w:rsidRPr="009440ED">
        <w:rPr>
          <w:rStyle w:val="Bold"/>
          <w:i/>
        </w:rPr>
        <w:t>Szabadságok</w:t>
      </w:r>
    </w:p>
    <w:p w:rsidR="00B077ED" w:rsidRPr="009440ED" w:rsidRDefault="00B077ED" w:rsidP="00AA2C7A">
      <w:pPr>
        <w:pStyle w:val="NormalHanging12a"/>
        <w:widowControl/>
        <w:rPr>
          <w:szCs w:val="24"/>
        </w:rPr>
      </w:pPr>
      <w:proofErr w:type="gramStart"/>
      <w:r w:rsidRPr="009440ED">
        <w:t>14.</w:t>
      </w:r>
      <w:r w:rsidRPr="009440ED">
        <w:tab/>
        <w:t>mély aggodalmának ad hangot amiatt, hogy a gyülekezés szabadsága, a szólásszabadság és az egyesülés szabadsága egyre nagyobb fenyegetettségnek van kitéve; ismételten hangsúlyozza, hogy a békés gyülekezés szabadságához való jog csak abban az esetben korlátozható, ha arról jogszabály rendelkezik, és csak akkor, ha az szükséges és arányos egy Unió által elismert általános érdek vagy mások jogainak és szabadságainak védelme érdekében; elítéli a békés tüntetések során a bűnüldöző hatóságok erőszakos és aránytalan beavatkozását, és elítéli a potenciális tüntetők diszkrecionális tömeges letartóztatását;</w:t>
      </w:r>
      <w:proofErr w:type="gramEnd"/>
      <w:r w:rsidRPr="009440ED">
        <w:t xml:space="preserve"> </w:t>
      </w:r>
      <w:proofErr w:type="spellStart"/>
      <w:proofErr w:type="gramStart"/>
      <w:r w:rsidRPr="009440ED">
        <w:t>ösztönzi</w:t>
      </w:r>
      <w:proofErr w:type="spellEnd"/>
      <w:proofErr w:type="gramEnd"/>
      <w:r w:rsidRPr="009440ED">
        <w:t xml:space="preserve"> az illetékes hatóságokat, hogy átlátható, pártatlan, független és hatékony vizsgálatokat biztosítsanak az aránytalan erőszak gyanújával vagy állítólagos alkalmazásával kapcsolatban; felhívja a tagállamokat, hogy alkalmazzanak olyan alternatív gyakorlatokat a közrend fenntartására, amelyek más tagállamokban már hatékonynak bizonyultak;</w:t>
      </w:r>
    </w:p>
    <w:p w:rsidR="00B077ED" w:rsidRPr="009440ED" w:rsidRDefault="00B077ED" w:rsidP="00AA2C7A">
      <w:pPr>
        <w:pStyle w:val="NormalHanging12a"/>
        <w:widowControl/>
      </w:pPr>
      <w:proofErr w:type="gramStart"/>
      <w:r w:rsidRPr="009440ED">
        <w:lastRenderedPageBreak/>
        <w:t>15.</w:t>
      </w:r>
      <w:r w:rsidRPr="009440ED">
        <w:tab/>
        <w:t>hangsúlyozza, hogy a – valamennyi demokráciában alapvető – véleménynyilvánításhoz és tájékozódás szabadságához való jog biztosítása érdekében az információknak mindenki számára hozzáférhetőnek és sokrétűnek kell lennie; hangsúlyozza, hogy biztosítani kell a művészi szabadságot; hangsúlyozza, hogy a dezinformáció jelentős zavarokat okozhat a demokratikus társadalmak, gazdaságok és politikai rendszerek működésében; emlékeztet arra, hogy a dezinformáció terjedésének megakadályozása érdekében a médiatudatosságot és a digitális jártasságot be kell építeni az állampolgári ismeretek oktatásába; ismételte</w:t>
      </w:r>
      <w:proofErr w:type="gramEnd"/>
      <w:r w:rsidRPr="009440ED">
        <w:t xml:space="preserve">n ajánlja hatékony intézkedések meghozatalát a rosszindulatú külföldi hatalmak által terjesztett dezinformáció kezelése érdekében, különös tekintettel a közelgő európai választásokra; hangsúlyozza, hogy a dezinformáció és a </w:t>
      </w:r>
      <w:proofErr w:type="gramStart"/>
      <w:r w:rsidRPr="009440ED">
        <w:t>propaganda</w:t>
      </w:r>
      <w:proofErr w:type="gramEnd"/>
      <w:r w:rsidRPr="009440ED">
        <w:t xml:space="preserve"> elleni hatékony fellépéshez elengedhetetlen a független és pluralista online és offline médiakörnyezet, ezért azt többek között a médiakoncentráció elleni hatékony fellépés révén kell támogatni;</w:t>
      </w:r>
    </w:p>
    <w:p w:rsidR="00B077ED" w:rsidRPr="009440ED" w:rsidRDefault="00B077ED" w:rsidP="00AA2C7A">
      <w:pPr>
        <w:pStyle w:val="NormalHanging12a"/>
        <w:widowControl/>
        <w:rPr>
          <w:szCs w:val="24"/>
        </w:rPr>
      </w:pPr>
      <w:proofErr w:type="gramStart"/>
      <w:r w:rsidRPr="009440ED">
        <w:t>16.</w:t>
      </w:r>
      <w:r w:rsidRPr="009440ED">
        <w:tab/>
        <w:t xml:space="preserve"> hangsúlyozza, hogy az uniós jog értelmében a nemzeti szabályozó hatóságoknak és/vagy szerveknek kormányuktól függetlenül kell működniük, és nem kérhetnek vagy fogadhatnak el utasításokat más szervektől; </w:t>
      </w:r>
      <w:proofErr w:type="spellStart"/>
      <w:r w:rsidRPr="009440ED">
        <w:t>megjegyzi</w:t>
      </w:r>
      <w:proofErr w:type="spellEnd"/>
      <w:r w:rsidRPr="009440ED">
        <w:t>, hogy a médiaszabályozás politikai függetlensége, továbbá a tagállamok és a Bizottság általi felügyelete, a szerkesztői függetlenség egész Unióban biztosított védelme, valamint az újságírók és forrásaik védelme a megfigyeléssel szemben kiemelkedő fontosságú; e tekintetben felszólít egy erős európai médiaszabadsági jogszabály elfogadására, amely garantálja a média függetlenségét,</w:t>
      </w:r>
      <w:proofErr w:type="gramEnd"/>
      <w:r w:rsidRPr="009440ED">
        <w:t xml:space="preserve"> pluralitását és szabadságát az EU-ban, biztosítva a tulajdonosok és a </w:t>
      </w:r>
      <w:proofErr w:type="gramStart"/>
      <w:r w:rsidRPr="009440ED">
        <w:t>finanszírozás</w:t>
      </w:r>
      <w:proofErr w:type="gramEnd"/>
      <w:r w:rsidRPr="009440ED">
        <w:t xml:space="preserve"> átláthatóságát;</w:t>
      </w:r>
    </w:p>
    <w:p w:rsidR="00B077ED" w:rsidRPr="009440ED" w:rsidRDefault="00B077ED" w:rsidP="00AA2C7A">
      <w:pPr>
        <w:pStyle w:val="NormalHanging12a"/>
        <w:widowControl/>
        <w:rPr>
          <w:szCs w:val="24"/>
        </w:rPr>
      </w:pPr>
      <w:proofErr w:type="gramStart"/>
      <w:r w:rsidRPr="009440ED">
        <w:t>17.</w:t>
      </w:r>
      <w:r w:rsidRPr="009440ED">
        <w:tab/>
        <w:t>hangsúlyozza a civil társadalmi szervezetek kulcsfontosságú szerepét az aktív polgári szerepvállalás, az alapvető jogok és a demokratikus részvétel előmozdításában Európában; sürgeti az Európai Bizottságot, hogy terjesszen elő egy stratégiát és hozzon létre minimumszabályokat a civil társadalmi szervezetek védelmére valamennyi tagállamban egy olyan szabályozás és politikai környezet előmozdítása érdekében, amely elrettentő hatásoktól, fenyegetésektől és támadásoktól mentes, és ami fenntartható és megkülönböztetésmentes hozzáférést biztosít a civil szervezetek számára a forrásokhoz, valamint</w:t>
      </w:r>
      <w:proofErr w:type="gramEnd"/>
      <w:r w:rsidRPr="009440ED">
        <w:t xml:space="preserve"> támogatja a civil </w:t>
      </w:r>
      <w:proofErr w:type="gramStart"/>
      <w:r w:rsidRPr="009440ED">
        <w:t>párbeszédben</w:t>
      </w:r>
      <w:proofErr w:type="gramEnd"/>
      <w:r w:rsidRPr="009440ED">
        <w:t xml:space="preserve"> a politikai döntéshozatalban való részvételüket; helyteleníti, hogy az emberijog-védők helyzete az elmúlt években riasztóan romlott az Unióban; sürgeti az Európai Bizottságot és a tagállamokat, hogy tegyék meg a szükséges intézkedéseket annak biztosítása érdekében, hogy az emberijog-védők akadályoktól mentesen és biztonságban dolgozhassanak;</w:t>
      </w:r>
    </w:p>
    <w:p w:rsidR="00B077ED" w:rsidRPr="009440ED" w:rsidRDefault="00B077ED" w:rsidP="00AA2C7A">
      <w:pPr>
        <w:pStyle w:val="NormalHanging12a"/>
        <w:widowControl/>
        <w:rPr>
          <w:szCs w:val="24"/>
        </w:rPr>
      </w:pPr>
      <w:r w:rsidRPr="009440ED">
        <w:t>18.</w:t>
      </w:r>
      <w:r w:rsidRPr="009440ED">
        <w:tab/>
        <w:t xml:space="preserve">emlékeztet arra, hogy az Európai Unió Alapjogi Chartájának 6. cikke értelmében mindenkinek joga van a szabadsághoz és a személyi biztonsághoz, ami azt jelenti, hogy az Unióban mindenkit védeni kell a jogtalan és önkényes letartóztatástól; felszólítja a tagállamokat, hogy kövessék a gyanúsítottak és vádlottak eljárási jogairól szóló bizottsági ajánlást, a fogva tartás körülményeinek javítása és </w:t>
      </w:r>
      <w:proofErr w:type="gramStart"/>
      <w:r w:rsidRPr="009440ED">
        <w:t>ezáltal</w:t>
      </w:r>
      <w:proofErr w:type="gramEnd"/>
      <w:r w:rsidRPr="009440ED">
        <w:t xml:space="preserve"> a szabadsághoz és biztonsághoz való jog magasabb szintű védelmének biztosítása érdekében;</w:t>
      </w:r>
    </w:p>
    <w:p w:rsidR="00B077ED" w:rsidRPr="009440ED" w:rsidRDefault="00B077ED" w:rsidP="00AA2C7A">
      <w:pPr>
        <w:pStyle w:val="NormalHanging12a"/>
        <w:widowControl/>
      </w:pPr>
      <w:proofErr w:type="gramStart"/>
      <w:r w:rsidRPr="009440ED">
        <w:t>19.</w:t>
      </w:r>
      <w:r w:rsidRPr="009440ED">
        <w:tab/>
        <w:t xml:space="preserve">elítéli a vallási vagy meggyőződésen alapuló megkülönböztetés és rasszista incidensek számának növekedését az EU-ban; felhívja a Bizottságot és a tagállamokat, hogy tegyenek határozott lépéseket e tekintetben, nemzetközi szinten is; emlékeztet arra, hogy a Charta 10. cikke értelmében mindenkinek joga van a vallás és meggyőződés szabadságához; helyteleníti, hogy a hátrányos megkülönböztetés eseteiről, a rasszista és idegengyűlölő bűncselekményekről sok esetben nem történik bejelentés a hatóságok felé, ami de facto büntetlenséghez vezet; sajnálatosnak tartja, hogy nem minden </w:t>
      </w:r>
      <w:r w:rsidRPr="009440ED">
        <w:lastRenderedPageBreak/>
        <w:t>tagállam ültette</w:t>
      </w:r>
      <w:proofErr w:type="gramEnd"/>
      <w:r w:rsidRPr="009440ED">
        <w:t xml:space="preserve"> </w:t>
      </w:r>
      <w:proofErr w:type="gramStart"/>
      <w:r w:rsidRPr="009440ED">
        <w:t>át</w:t>
      </w:r>
      <w:proofErr w:type="gramEnd"/>
      <w:r w:rsidRPr="009440ED">
        <w:t xml:space="preserve"> </w:t>
      </w:r>
      <w:proofErr w:type="spellStart"/>
      <w:r w:rsidRPr="009440ED">
        <w:t>teljeskörűen</w:t>
      </w:r>
      <w:proofErr w:type="spellEnd"/>
      <w:r w:rsidRPr="009440ED">
        <w:t xml:space="preserve"> a rasszizmus és az idegengyűlölet egyes formái és megnyilvánulásai elleni, büntetőjogi eszközökkel történő küzdelemről szóló kerethatározatot;</w:t>
      </w:r>
    </w:p>
    <w:p w:rsidR="00B077ED" w:rsidRPr="009440ED" w:rsidRDefault="00B077ED" w:rsidP="00AA2C7A">
      <w:pPr>
        <w:pStyle w:val="NormalHanging12a"/>
        <w:widowControl/>
        <w:rPr>
          <w:szCs w:val="24"/>
        </w:rPr>
      </w:pPr>
      <w:proofErr w:type="gramStart"/>
      <w:r w:rsidRPr="009440ED">
        <w:t>20.</w:t>
      </w:r>
      <w:r w:rsidRPr="009440ED">
        <w:tab/>
        <w:t>aggodalmát fejezi ki a roma lakossággal szemben alkalmazott rendőri erőszak egyre gyakoribb esetei miatt; felszólítja a tagállamokat, hogy szigorúan vizsgálják ki ezeket az incidenseket annak biztosítása érdekében, hogy a roma személyekkel vagy közösségekkel szembeni elnyomó, erőszakos intézkedések bevezetése és/vagy végrehajtása ne maradjon büntetlenül; felhívja továbbá a tagállamokat, hogy foglalkozzanak az elfogult rendőrségi felvételekkel, jelentéstétellel, büntetőeljárásokkal és bírósági ítéletekkel, valamint a roma emberek igazságszolgáltatáshoz való hozzáférésének hiányával;</w:t>
      </w:r>
      <w:proofErr w:type="gramEnd"/>
    </w:p>
    <w:p w:rsidR="00B077ED" w:rsidRPr="009440ED" w:rsidRDefault="00B077ED" w:rsidP="00AA2C7A">
      <w:pPr>
        <w:pStyle w:val="NormalHanging12a"/>
        <w:widowControl/>
        <w:rPr>
          <w:szCs w:val="24"/>
        </w:rPr>
      </w:pPr>
      <w:r w:rsidRPr="009440ED">
        <w:t>21.</w:t>
      </w:r>
      <w:r w:rsidRPr="009440ED">
        <w:tab/>
        <w:t xml:space="preserve">rámutat, hogy a mindennapi élet </w:t>
      </w:r>
      <w:proofErr w:type="spellStart"/>
      <w:r w:rsidRPr="009440ED">
        <w:t>adatosítása</w:t>
      </w:r>
      <w:proofErr w:type="spellEnd"/>
      <w:r w:rsidRPr="009440ED">
        <w:t xml:space="preserve"> és az adatbotrányok eredményeként a személyes adatok védelméhez való jog egyre növekvő jelentőségű; ismételten aggodalmát fejezi ki az általános adatvédelmi rendelet nem egységes alkalmazása miatt; támogatja a mesterséges intelligenciára vonatkozó uniós szabályozási kerettel kapcsolatos jogalkotási folyamat megerősítésére irányuló kezdeményezéseket, amelyek erős biztosítékokat nyújtanak az alapvető jogok számára;</w:t>
      </w:r>
    </w:p>
    <w:p w:rsidR="00B077ED" w:rsidRPr="009440ED" w:rsidRDefault="00B077ED" w:rsidP="00AA2C7A">
      <w:pPr>
        <w:pStyle w:val="NormalHanging12a"/>
        <w:widowControl/>
      </w:pPr>
      <w:proofErr w:type="gramStart"/>
      <w:r w:rsidRPr="009440ED">
        <w:t>22.</w:t>
      </w:r>
      <w:r w:rsidRPr="009440ED">
        <w:tab/>
        <w:t>határozottan elítéli az alapvető jogok széles körű megsértését és a migránsokkal, köztük a menekültekkel szemben az Unió határain alkalmazott aránytalan mértékű erőszakot, beleértve az önkényes fogva tartást, az embertelen életkörülményeket és az egészségügyi ellátáshoz való hozzáférés hiányát, a jogellenes visszaküldést és az erőszakos visszatoloncolást; mély aggodalmának ad hangot amiatt, hogy a tagállamok nemzeti jogukban rögzítik a visszatoloncolások alkalmazását; elítéli a tagállamok azon jogszabályait, amelyek aláássák a menekültek, a menedékkérők és a migránsok emberi jogainak hatékony</w:t>
      </w:r>
      <w:proofErr w:type="gramEnd"/>
      <w:r w:rsidRPr="009440ED">
        <w:t xml:space="preserve"> védelmét a szárazföldön és a tengeren; elítéli továbbá a </w:t>
      </w:r>
      <w:proofErr w:type="gramStart"/>
      <w:r w:rsidRPr="009440ED">
        <w:t>humanitárius</w:t>
      </w:r>
      <w:proofErr w:type="gramEnd"/>
      <w:r w:rsidRPr="009440ED">
        <w:t xml:space="preserve"> dolgozók és aktivisták kriminalizálását; hangsúlyozza, hogy a menedékkérők közel egyharmada gyermek, és megismétli, hogy a gyermekek bevándorlással kapcsolatos őrizetbe vételét nem szabad engedélyezni;</w:t>
      </w:r>
    </w:p>
    <w:p w:rsidR="00B077ED" w:rsidRPr="009440ED" w:rsidRDefault="00B077ED" w:rsidP="00AA2C7A">
      <w:pPr>
        <w:pStyle w:val="NormalHanging12a"/>
        <w:widowControl/>
        <w:rPr>
          <w:szCs w:val="24"/>
        </w:rPr>
      </w:pPr>
      <w:r w:rsidRPr="009440ED">
        <w:t>23.</w:t>
      </w:r>
      <w:r w:rsidRPr="009440ED">
        <w:tab/>
        <w:t xml:space="preserve">felszólítja az EU-t és a tagállamokat, hogy biztosítsák a külső határokon az alapjogok tiszteletben tartását szavatoló hatékony felügyeleti mechanizmusok létrehozását, amelyeknek ki kell terjedniük a határőrizeti tevékenység ellenőrzésére is; Felhívja továbbá az Európai Bizottságot és a tagállamokat annak biztosítására is, hogy azok a személyek, akiknek az adatait az EU nagyméretű </w:t>
      </w:r>
      <w:proofErr w:type="gramStart"/>
      <w:r w:rsidRPr="009440ED">
        <w:t>információs</w:t>
      </w:r>
      <w:proofErr w:type="gramEnd"/>
      <w:r w:rsidRPr="009440ED">
        <w:t xml:space="preserve"> rendszereinek adatbázisaiban tárolják, tájékoztatást kapjanak jogaikról, és hozzáférhessenek a rendelkezésre álló jogorvoslati lehetőségekhez;</w:t>
      </w:r>
    </w:p>
    <w:p w:rsidR="00B077ED" w:rsidRPr="009440ED" w:rsidRDefault="00B077ED" w:rsidP="00AA2C7A">
      <w:pPr>
        <w:pStyle w:val="NormalHanging12a"/>
        <w:widowControl/>
        <w:rPr>
          <w:szCs w:val="24"/>
        </w:rPr>
      </w:pPr>
      <w:proofErr w:type="gramStart"/>
      <w:r w:rsidRPr="009440ED">
        <w:t>24.</w:t>
      </w:r>
      <w:r w:rsidRPr="009440ED">
        <w:tab/>
        <w:t>határozottan elítéli a menekültek és migránsok tengeren bekövetkezett elhalálozásának nagy számát, akik gyakran az emberkereskedelem áldozatai, és akiknek embertelen és megalázó, a biztonságukat figyelmen kívül hagyó bánásmóddal kell szembenézniük; megismétli a nemzetközi tengerjog szerinti kötelezettséget a bajba jutott személyek megsegítésére, és sürgősen felszólítja a tagállamokat, hogy tegyenek meg minden tőlük telhetőt a tengereken veszélyben lévő emberek életének megmentése érdekében; kéri, hogy tartsák tiszteletben a tengeren kimentett valamennyi személy menedékhez való jogát, és minden</w:t>
      </w:r>
      <w:proofErr w:type="gramEnd"/>
      <w:r w:rsidRPr="009440ED">
        <w:t xml:space="preserve"> </w:t>
      </w:r>
      <w:proofErr w:type="gramStart"/>
      <w:r w:rsidRPr="009440ED">
        <w:t>esetben</w:t>
      </w:r>
      <w:proofErr w:type="gramEnd"/>
      <w:r w:rsidRPr="009440ED">
        <w:t xml:space="preserve"> vizsgálják meg az egyedi körülményeket;</w:t>
      </w:r>
    </w:p>
    <w:p w:rsidR="00B077ED" w:rsidRPr="009440ED" w:rsidRDefault="00B077ED" w:rsidP="00AA2C7A">
      <w:pPr>
        <w:pStyle w:val="NormalHanging12a"/>
        <w:widowControl/>
        <w:rPr>
          <w:szCs w:val="24"/>
        </w:rPr>
      </w:pPr>
      <w:proofErr w:type="gramStart"/>
      <w:r w:rsidRPr="009440ED">
        <w:t>25.</w:t>
      </w:r>
      <w:r w:rsidRPr="009440ED">
        <w:tab/>
      </w:r>
      <w:proofErr w:type="spellStart"/>
      <w:r w:rsidRPr="009440ED">
        <w:t>megjegyzi</w:t>
      </w:r>
      <w:proofErr w:type="spellEnd"/>
      <w:r w:rsidRPr="009440ED">
        <w:t xml:space="preserve">, hogy számos tagállamban a nemzetbiztonságot a belső politikák, és egyúttal a migráció meghatározó tényezőjének tekintik; hangsúlyozza, hogy a nemzetbiztonsági </w:t>
      </w:r>
      <w:r w:rsidRPr="009440ED">
        <w:lastRenderedPageBreak/>
        <w:t>okokból hozott intézkedéseknek kellően indokoltaknak és arányosnak kell lenniük, és nem sérthetik a Chartában szavatolt jogokat; emlékeztet arra, hogy a Charta 19. cikke védelmet biztosít kitoloncolás, kiutasítás vagy kiadatás esetén a kollektív kiutasítás megtiltásával, ezért egyedi értékelést követel meg, és megtiltja a nemzetközi védelem iránti kérelmek kizárólag egy adott állampolgárság alapján történő elutasítását;</w:t>
      </w:r>
      <w:proofErr w:type="gramEnd"/>
    </w:p>
    <w:p w:rsidR="00B077ED" w:rsidRPr="009440ED" w:rsidRDefault="00B077ED" w:rsidP="00AA2C7A">
      <w:pPr>
        <w:pStyle w:val="NormalHanging12a"/>
        <w:widowControl/>
        <w:rPr>
          <w:szCs w:val="24"/>
        </w:rPr>
      </w:pPr>
      <w:proofErr w:type="gramStart"/>
      <w:r w:rsidRPr="009440ED">
        <w:t>26.</w:t>
      </w:r>
      <w:r w:rsidRPr="009440ED">
        <w:tab/>
        <w:t>üdvözli, hogy az ukrajnai háború kitörését követően aktiválták az átmeneti védelemről szóló uniós irányelvet</w:t>
      </w:r>
      <w:r w:rsidRPr="009440ED">
        <w:rPr>
          <w:rStyle w:val="FootnoteReference"/>
        </w:rPr>
        <w:footnoteReference w:id="48"/>
      </w:r>
      <w:r w:rsidRPr="009440ED">
        <w:t>, amelynek célja, hogy a menekültek és menedékkérők számára biztosítsa a védelemhez való hozzáférést, származástól függetlenül; emlékeztet arra, hogy az irányelv keretében nyújtott, szálláshoz, foglalkoztatáshoz, oktatáshoz, egészségügyi ellátáshoz és szociális jóléti szolgáltatásokhoz való hozzáférés biztosítása során figyelmet kell fordítani a nemek közötti egyenlőség szempontjaira is; elítéli az egyenlőtlen bánásmódot, a faji megkülönböztetést és az erőszakot, amellyel a konfliktus</w:t>
      </w:r>
      <w:proofErr w:type="gramEnd"/>
      <w:r w:rsidRPr="009440ED">
        <w:t xml:space="preserve"> </w:t>
      </w:r>
      <w:proofErr w:type="gramStart"/>
      <w:r w:rsidRPr="009440ED">
        <w:t>elől</w:t>
      </w:r>
      <w:proofErr w:type="gramEnd"/>
      <w:r w:rsidRPr="009440ED">
        <w:t xml:space="preserve"> menekülő, nem ukrán nemzetiségűek, különösen a színes bőrűek és az LMBTIQ+-személyek szembesülnek; sajnálja, hogy az EU kettős mércét alkalmaz a migránsokkal és menekültekkel szemben, és felszólít e helyzet megszüntetésére;</w:t>
      </w:r>
    </w:p>
    <w:p w:rsidR="00B077ED" w:rsidRPr="009440ED" w:rsidRDefault="00B077ED" w:rsidP="00AA2C7A">
      <w:pPr>
        <w:pStyle w:val="NormalHanging12a"/>
        <w:widowControl/>
        <w:rPr>
          <w:szCs w:val="24"/>
        </w:rPr>
      </w:pPr>
      <w:r w:rsidRPr="009440ED">
        <w:t>27.</w:t>
      </w:r>
      <w:r w:rsidRPr="009440ED">
        <w:tab/>
        <w:t>üdvözli az Európa Tanács Miniszteri Bizottságának a migráns, menekült és menedékkérő nők és lányok jogainak védelméről szóló ajánlását, melyben felszólítja a tagállamokat, hogy hozzanak intézkedéseket az említett nőkkel szembeni megkülönböztetés megelőzésére, többek között a foglalkoztatáshoz, valamint a szexuális és reproduktív egészségügyi ellátáshoz való hozzáférésük előmozdítása, továbbá a nemi alapú erőszak túlélőinek a szolgáltatásokhoz és az igazságszolgáltatáshoz való hozzáférésének elősegítése révén</w:t>
      </w:r>
      <w:r w:rsidRPr="009440ED">
        <w:rPr>
          <w:vertAlign w:val="superscript"/>
        </w:rPr>
        <w:footnoteReference w:id="49"/>
      </w:r>
      <w:r w:rsidRPr="009440ED">
        <w:t>;</w:t>
      </w:r>
    </w:p>
    <w:p w:rsidR="00B077ED" w:rsidRPr="009440ED" w:rsidRDefault="00B077ED" w:rsidP="00AA2C7A">
      <w:pPr>
        <w:pStyle w:val="NormalHanging12a"/>
        <w:widowControl/>
        <w:rPr>
          <w:szCs w:val="24"/>
        </w:rPr>
      </w:pPr>
      <w:r w:rsidRPr="009440ED">
        <w:t>28.</w:t>
      </w:r>
      <w:r w:rsidRPr="009440ED">
        <w:tab/>
        <w:t>aggodalommal veszi tudomásul a hontalanok nagy számát az EU-ban, különös tekintettel a hontalanul született gyermekekre; felhívja az Európai Bizottságot, hogy dolgozzon ki átfogó stratégiát és cselekvési tervet az EU-n belüli hontalanság kezelésére és a kiutasítással szembeni védelemre; felhívja a tagállamokat, hogy megfelelően azonosítsák, ismerjék el és védjék meg a hontalan személyeket, és foglalkozzanak a hontalan személyek sajátos kiszolgáltatott helyzetével;</w:t>
      </w:r>
    </w:p>
    <w:p w:rsidR="00B077ED" w:rsidRPr="009440ED" w:rsidRDefault="00B077ED" w:rsidP="00AA2C7A">
      <w:pPr>
        <w:pStyle w:val="Normal12a24b"/>
        <w:widowControl/>
        <w:spacing w:before="0"/>
        <w:ind w:left="567" w:hanging="567"/>
        <w:rPr>
          <w:i/>
        </w:rPr>
      </w:pPr>
      <w:r w:rsidRPr="009440ED">
        <w:rPr>
          <w:rStyle w:val="Bold"/>
          <w:i/>
        </w:rPr>
        <w:t>Egyenlőség és méltóság</w:t>
      </w:r>
    </w:p>
    <w:p w:rsidR="00B077ED" w:rsidRPr="009440ED" w:rsidRDefault="00B077ED" w:rsidP="00AA2C7A">
      <w:pPr>
        <w:pStyle w:val="NormalHanging12a"/>
        <w:widowControl/>
      </w:pPr>
      <w:proofErr w:type="gramStart"/>
      <w:r w:rsidRPr="009440ED">
        <w:t>29.</w:t>
      </w:r>
      <w:r w:rsidRPr="009440ED">
        <w:tab/>
        <w:t xml:space="preserve">felszólítja az Európai Bizottságot, hogy biztosítsa a megkülönböztetésmentességhez és az egyenlő bánásmódhoz való jog tiszteletben tartását az egész EU-ban; helyteleníti, hogy a megkülönböztetés tilalmáról szóló horizontális irányelvre irányuló javaslatot már 2008 óta blokkolják a Tanácsban; úgy véli, hogy e javaslat Bizottság általi aktualizálásának a Parlament álláspontjára kell épülnie, foglalkoznia kell az </w:t>
      </w:r>
      <w:proofErr w:type="spellStart"/>
      <w:r w:rsidRPr="009440ED">
        <w:t>interszekcionális</w:t>
      </w:r>
      <w:proofErr w:type="spellEnd"/>
      <w:r w:rsidRPr="009440ED">
        <w:t xml:space="preserve"> megkülönböztetéssel, és kifejezetten meg kell tiltania a Chartában felsorolt okok bármilyen kombinációján alapuló megkülönböztetést; sajnálatát fejezi ki amiatt, hogy</w:t>
      </w:r>
      <w:proofErr w:type="gramEnd"/>
      <w:r w:rsidRPr="009440ED">
        <w:t xml:space="preserve"> </w:t>
      </w:r>
      <w:proofErr w:type="gramStart"/>
      <w:r w:rsidRPr="009440ED">
        <w:t>a</w:t>
      </w:r>
      <w:proofErr w:type="gramEnd"/>
      <w:r w:rsidRPr="009440ED">
        <w:t xml:space="preserve"> Tanács figyelmen kívül hagyta ezeket a kéréseket, és sürgeti a Tanácsot, </w:t>
      </w:r>
      <w:r w:rsidRPr="009440ED">
        <w:lastRenderedPageBreak/>
        <w:t>hogy azokat építse be a megbízatásába, és tegyen meg minden szükséges lépést az EU-n belül a megkülönböztetés elleni küzdelem érdekében;</w:t>
      </w:r>
    </w:p>
    <w:p w:rsidR="00B077ED" w:rsidRPr="009440ED" w:rsidRDefault="00B077ED" w:rsidP="00AA2C7A">
      <w:pPr>
        <w:pStyle w:val="NormalHanging12a"/>
        <w:widowControl/>
        <w:rPr>
          <w:szCs w:val="24"/>
        </w:rPr>
      </w:pPr>
      <w:r w:rsidRPr="009440ED">
        <w:t>30.</w:t>
      </w:r>
      <w:r w:rsidRPr="009440ED">
        <w:tab/>
        <w:t xml:space="preserve">felhívja a Bizottságot, hogy felügyelje és biztosítsa az EU rasszizmus elleni cselekvési tervének, valamint a rasszizmus elleni nemzeti cselekvési terveknek a tagállami végrehajtását; sürgeti továbbá a Bizottságot, hogy valamennyi uniós szakpolitikában érvényesítse a rasszizmus és a megkülönböztetés elleni küzdelmet; felhívja a Tanács soron következő elnökségeit, hogy vegyék komolyan fontolóra a nemek közötti egyenlőséggel és az esélyegyenlőséggel foglalkozó tanácsi </w:t>
      </w:r>
      <w:proofErr w:type="gramStart"/>
      <w:r w:rsidRPr="009440ED">
        <w:t>formáció</w:t>
      </w:r>
      <w:proofErr w:type="gramEnd"/>
      <w:r w:rsidRPr="009440ED">
        <w:t xml:space="preserve"> létrehozását;</w:t>
      </w:r>
    </w:p>
    <w:p w:rsidR="00B077ED" w:rsidRPr="009440ED" w:rsidRDefault="00B077ED" w:rsidP="00AA2C7A">
      <w:pPr>
        <w:pStyle w:val="NormalHanging12a"/>
        <w:widowControl/>
        <w:rPr>
          <w:szCs w:val="24"/>
        </w:rPr>
      </w:pPr>
      <w:r w:rsidRPr="009440ED">
        <w:t>31.</w:t>
      </w:r>
      <w:r w:rsidRPr="009440ED">
        <w:tab/>
        <w:t>felhívja a Bizottságot és a tagállamokat, hogy hatékony jogalkotási és politikai intézkedésekkel lépjenek fel a faji megkülönböztetés ellen a társadalom minden területén, különös tekintettel az oktatásra és az iskolai szegregáció megelőzésére, mind a tagállamokban, mind a bővítési folyamatban részt vevő országokban;</w:t>
      </w:r>
    </w:p>
    <w:p w:rsidR="00B077ED" w:rsidRPr="009440ED" w:rsidRDefault="00B077ED" w:rsidP="00AA2C7A">
      <w:pPr>
        <w:pStyle w:val="NormalHanging12a"/>
        <w:widowControl/>
        <w:rPr>
          <w:szCs w:val="24"/>
        </w:rPr>
      </w:pPr>
      <w:proofErr w:type="gramStart"/>
      <w:r w:rsidRPr="009440ED">
        <w:t>32.</w:t>
      </w:r>
      <w:r w:rsidRPr="009440ED">
        <w:tab/>
        <w:t xml:space="preserve">emlékeztet arra, hogy a </w:t>
      </w:r>
      <w:proofErr w:type="spellStart"/>
      <w:r w:rsidRPr="009440ED">
        <w:t>digitalizáció</w:t>
      </w:r>
      <w:proofErr w:type="spellEnd"/>
      <w:r w:rsidRPr="009440ED">
        <w:t xml:space="preserve"> tekintetében nagy figyelmet kell fordítani az új technológiákba bevezetett diszkriminatív előítéletekre, és hogy meg kell követelni a fejlesztőktől és a létesítőktől, hogy nyilvánosan hozzáférhető információkat nyújtsanak e rendszerek betanításának módjáról; felhívja a Bizottságot és a tagállamokat, hogy hozzanak intézkedéseket annak megelőzése érdekében, hogy az új technológiák, köztük a mesterséges intelligencia fokozzák a hátrányos megkülönböztetést, a meglévő egyenlőtlenségeket és a szegénységet; felszólítja a Bizottságot és a tagállamokat annak biztosítására,</w:t>
      </w:r>
      <w:proofErr w:type="gramEnd"/>
      <w:r w:rsidRPr="009440ED">
        <w:t xml:space="preserve"> </w:t>
      </w:r>
      <w:proofErr w:type="gramStart"/>
      <w:r w:rsidRPr="009440ED">
        <w:t>hogy a mesterséges intelligenciát alkalmazó rendszereket az átláthatóság, a megmagyarázhatóság, a méltányosság és az elszámoltathatóság elvei vezéreljék, és hogy vezessék be az alapjogokra vonatkozó hatásvizsgálatot; felhívja továbbá a Bizottságot és a tagállamokat, hogy kezeljék az információs és kommunikációs technológiai (IKT) ágazatban, valamint a tudomány, a technológia, a mérnöki tudományok és a matematika (STEM) területén a nemek és a sokszínűség terén mutatkozó hiányosságokat, különösen az új technológiák fejlesztése, és különösen a döntéshozatali pozíciók terén;</w:t>
      </w:r>
      <w:proofErr w:type="gramEnd"/>
      <w:r w:rsidRPr="009440ED">
        <w:t xml:space="preserve"> </w:t>
      </w:r>
    </w:p>
    <w:p w:rsidR="00B077ED" w:rsidRPr="009440ED" w:rsidRDefault="00B077ED" w:rsidP="00AA2C7A">
      <w:pPr>
        <w:pStyle w:val="NormalHanging12a"/>
        <w:widowControl/>
        <w:rPr>
          <w:szCs w:val="24"/>
        </w:rPr>
      </w:pPr>
      <w:r w:rsidRPr="009440ED">
        <w:t>33.</w:t>
      </w:r>
      <w:r w:rsidRPr="009440ED">
        <w:tab/>
        <w:t xml:space="preserve">emlékeztet annak fontosságára, hogy a nemzeti kisebbségekhez tartozó gyermekek megtalálhassák a nyelvükön oktató iskolákat; </w:t>
      </w:r>
      <w:proofErr w:type="spellStart"/>
      <w:r w:rsidRPr="009440ED">
        <w:t>ösztönzi</w:t>
      </w:r>
      <w:proofErr w:type="spellEnd"/>
      <w:r w:rsidRPr="009440ED">
        <w:t xml:space="preserve"> a nemzeti kisebbségek képviselőinek bevonását az oktatási rendszerrel kapcsolatos döntéshozatali folyamatokba;</w:t>
      </w:r>
    </w:p>
    <w:p w:rsidR="00B077ED" w:rsidRPr="009440ED" w:rsidRDefault="00B077ED" w:rsidP="00AA2C7A">
      <w:pPr>
        <w:pStyle w:val="NormalHanging12a"/>
        <w:widowControl/>
      </w:pPr>
      <w:proofErr w:type="gramStart"/>
      <w:r w:rsidRPr="009440ED">
        <w:t>34.</w:t>
      </w:r>
      <w:r w:rsidRPr="009440ED">
        <w:tab/>
        <w:t>emlékeztet arra, hogy a nemi alapú erőszak igen gyakori az Unió valamennyi tagállamában; határozottan elítéli a nők és az LMBTIQ+-személyek jogai terén tapasztalható gyors visszaesést számos tagállamban; határozottan elítéli a biztonságos és törvényes abortuszhoz való hozzáférés megtagadását, mivel ez a nemi alapú erőszak egyik formája; kiemeli az EJEB határozatát, mely szerint az abortuszra vonatkozó korlátozó jogszabályok és a végrehajtás hiánya sérti a nők testi autonómiához és személyi sérthetetlenséghez való jogát; ismételten elítéli azt a lengyel törvényt, amely az abortusz szinte teljes</w:t>
      </w:r>
      <w:proofErr w:type="gramEnd"/>
      <w:r w:rsidRPr="009440ED">
        <w:t xml:space="preserve"> </w:t>
      </w:r>
      <w:proofErr w:type="gramStart"/>
      <w:r w:rsidRPr="009440ED">
        <w:t>körű</w:t>
      </w:r>
      <w:proofErr w:type="gramEnd"/>
      <w:r w:rsidRPr="009440ED">
        <w:t xml:space="preserve"> tilalmát rendeli el; emlékeztet arra, hogy nem üldözhetők azok a polgárok, akik segítséget nyújtanak az abortuszellátáshoz való hozzáféréshez, ha az szabadon vagy törvényesen nem elérhető; ismételten kéri, hogy az abortuszhoz való jog kerüljön be a Chartába;</w:t>
      </w:r>
    </w:p>
    <w:p w:rsidR="00B077ED" w:rsidRPr="009440ED" w:rsidRDefault="00B077ED" w:rsidP="00AA2C7A">
      <w:pPr>
        <w:pStyle w:val="NormalHanging12a"/>
        <w:widowControl/>
        <w:rPr>
          <w:szCs w:val="24"/>
        </w:rPr>
      </w:pPr>
      <w:proofErr w:type="gramStart"/>
      <w:r w:rsidRPr="009440ED">
        <w:t>35.</w:t>
      </w:r>
      <w:r w:rsidRPr="009440ED">
        <w:tab/>
        <w:t xml:space="preserve">üdvözli a Bizottságnak a nők elleni erőszak és a kapcsolati erőszak elleni küzdelemről szóló irányelvre irányuló javaslatát, és kéri a tárgyalások gyors lezárását, valamint a nemi alapú erőszak felvételét az uniós bűncselekmények listájára; hangsúlyozza, hogy </w:t>
      </w:r>
      <w:r w:rsidRPr="009440ED">
        <w:lastRenderedPageBreak/>
        <w:t>ennek az irányelvnek garantálnia kell az Isztambuli Egyezményben minimumszabályként meghatározott kötelezettségeket, és a védelem szintjének növelése érdekében szigorítania kell ezeken az előírásokon; üdvözli az Isztambuli Egyezmény Európai Unió általi ratifikálását, amely 2023. október 1-jén lépett hatályba; felszólítja a fennmaradó</w:t>
      </w:r>
      <w:proofErr w:type="gramEnd"/>
      <w:r w:rsidRPr="009440ED">
        <w:t xml:space="preserve"> </w:t>
      </w:r>
      <w:proofErr w:type="gramStart"/>
      <w:r w:rsidRPr="009440ED">
        <w:t>tagállamokat</w:t>
      </w:r>
      <w:proofErr w:type="gramEnd"/>
      <w:r w:rsidRPr="009440ED">
        <w:t>, hogy mielőbb ratifikálják az egyezményt a nők erőszakkal szembeni védelme érdekében;</w:t>
      </w:r>
    </w:p>
    <w:p w:rsidR="00B077ED" w:rsidRPr="009440ED" w:rsidRDefault="00B077ED" w:rsidP="00AA2C7A">
      <w:pPr>
        <w:pStyle w:val="NormalHanging12a"/>
        <w:widowControl/>
        <w:rPr>
          <w:szCs w:val="24"/>
        </w:rPr>
      </w:pPr>
      <w:proofErr w:type="gramStart"/>
      <w:r w:rsidRPr="009440ED">
        <w:t>36.</w:t>
      </w:r>
      <w:r w:rsidRPr="009440ED">
        <w:tab/>
        <w:t xml:space="preserve">hangsúlyozza, hogy a fogyatékossággal élő személyek, különösen a fogyatékossággal élő nők továbbra is többszörös és </w:t>
      </w:r>
      <w:proofErr w:type="spellStart"/>
      <w:r w:rsidRPr="009440ED">
        <w:t>interszekcionális</w:t>
      </w:r>
      <w:proofErr w:type="spellEnd"/>
      <w:r w:rsidRPr="009440ED">
        <w:t xml:space="preserve"> megkülönböztetéssel szembesülnek fogyatékosságuk, nemük, fajuk, etnikai hovatartozásuk, koruk, vallásuk vagy meggyőződésük, szexuális irányultságuk, migrációs státuszuk vagy társadalmi-gazdasági hátterük alapján; hangsúlyozza, hogy a fogyatékossággal élő nők és lányok különösen ki vannak téve a nemi alapú erőszaknak, beleértve a fizikai, szexuális, pszichológiai és gazdasági erőszakot is; felhívja a Bizottságot és a tagállamokat, hogy gondoskodjanak a fogyatékossággal</w:t>
      </w:r>
      <w:proofErr w:type="gramEnd"/>
      <w:r w:rsidRPr="009440ED">
        <w:t xml:space="preserve"> </w:t>
      </w:r>
      <w:proofErr w:type="gramStart"/>
      <w:r w:rsidRPr="009440ED">
        <w:t>élő</w:t>
      </w:r>
      <w:proofErr w:type="gramEnd"/>
      <w:r w:rsidRPr="009440ED">
        <w:t xml:space="preserve"> személyek elleni erőszak bejelentésére szolgáló mechanizmusok, valamint az áldozatokat támogató szolgáltatások bevezetéséről és akadálymentessé tételéről;</w:t>
      </w:r>
    </w:p>
    <w:p w:rsidR="00B077ED" w:rsidRPr="009440ED" w:rsidRDefault="00B077ED" w:rsidP="00AA2C7A">
      <w:pPr>
        <w:pStyle w:val="NormalHanging12a"/>
        <w:widowControl/>
        <w:rPr>
          <w:szCs w:val="24"/>
        </w:rPr>
      </w:pPr>
      <w:proofErr w:type="gramStart"/>
      <w:r w:rsidRPr="009440ED">
        <w:t>37.</w:t>
      </w:r>
      <w:r w:rsidRPr="009440ED">
        <w:tab/>
        <w:t>hangsúlyozza, hogy a gyermekek jogai egyetemesek, és hogy minden gyermeket megkülönböztetés nélkül ugyanazok a jogok illetnek meg, mint például a szülői felelősség elismeréséhez való jog, beleértve az azonos nemű párokat is; üdvözli a Bizottságnak a leszármazással kapcsolatos ügyekben a joghatóságról, az alkalmazandó jogról, a határozatok elismeréséről és a közokiratok elfogadásáról, valamint az európai leszármazási igazolás létrehozásáról szóló rendeletre irányuló javaslatát, melynek célja a gyermekek jogainak védelme azáltal, hogy ha egy tagállam megállapította a leszármazást – különösen</w:t>
      </w:r>
      <w:proofErr w:type="gramEnd"/>
      <w:r w:rsidRPr="009440ED">
        <w:t xml:space="preserve"> </w:t>
      </w:r>
      <w:proofErr w:type="gramStart"/>
      <w:r w:rsidRPr="009440ED">
        <w:t>az</w:t>
      </w:r>
      <w:proofErr w:type="gramEnd"/>
      <w:r w:rsidRPr="009440ED">
        <w:t xml:space="preserve"> azonos nemű szülők esetében –, azt a többi tagállam is elismerje;</w:t>
      </w:r>
    </w:p>
    <w:p w:rsidR="00B077ED" w:rsidRPr="009440ED" w:rsidRDefault="00B077ED" w:rsidP="00AA2C7A">
      <w:pPr>
        <w:pStyle w:val="NormalHanging12a"/>
        <w:widowControl/>
        <w:rPr>
          <w:szCs w:val="24"/>
        </w:rPr>
      </w:pPr>
      <w:r w:rsidRPr="009440ED">
        <w:t>38.</w:t>
      </w:r>
      <w:r w:rsidRPr="009440ED">
        <w:tab/>
        <w:t>felhívja a tagállamokat, hogy a kényszersterilizációt tekintsék bűncselekménynek; megismétli azon álláspontját, hogy a nők elleni erőszak és a kapcsolati erőszak elleni küzdelemről szóló irányelvnek az EUMSZ 83. cikkének (1) bekezdése szerinti bűncselekményként tartalmaznia kell a kényszersterilizációt;</w:t>
      </w:r>
    </w:p>
    <w:p w:rsidR="00B077ED" w:rsidRPr="009440ED" w:rsidRDefault="00B077ED" w:rsidP="00AA2C7A">
      <w:pPr>
        <w:pStyle w:val="NormalHanging12a"/>
        <w:widowControl/>
        <w:rPr>
          <w:szCs w:val="24"/>
        </w:rPr>
      </w:pPr>
      <w:proofErr w:type="gramStart"/>
      <w:r w:rsidRPr="009440ED">
        <w:t>39.</w:t>
      </w:r>
      <w:r w:rsidRPr="009440ED">
        <w:tab/>
        <w:t xml:space="preserve">emlékeztet arra, hogy a hátrányos megkülönböztetés szélsőséges példái az olyan gyűlölet-bűncselekmények és gyűlöletbeszéd, amelyek hátterében rasszizmus, idegengyűlölet, vallási intolerancia, ellenségesség vagy egy személy fogyatékossága, szexuális orientációja, nemi identitása, nemi önkifejezése vagy nemi jellege miatti előítélet áll. </w:t>
      </w:r>
      <w:proofErr w:type="spellStart"/>
      <w:r w:rsidRPr="009440ED">
        <w:t>megjegyzi</w:t>
      </w:r>
      <w:proofErr w:type="spellEnd"/>
      <w:r w:rsidRPr="009440ED">
        <w:t>, hogy a tagállamok kötelessége a gyűlölet-bűncselekmények elleni küzdelem és azok kivizsgálása, az elkövetők megbüntetése és megelőző intézkedések alkalmazása; hangsúlyozza, hogy a bűnüldöző hatóságoknak megfelelő nyilvántartást kell vezetniük a gyűlölet-bűncselekményekről,</w:t>
      </w:r>
      <w:proofErr w:type="gramEnd"/>
      <w:r w:rsidRPr="009440ED">
        <w:t xml:space="preserve"> </w:t>
      </w:r>
      <w:proofErr w:type="gramStart"/>
      <w:r w:rsidRPr="009440ED">
        <w:t>hogy</w:t>
      </w:r>
      <w:proofErr w:type="gramEnd"/>
      <w:r w:rsidRPr="009440ED">
        <w:t xml:space="preserve"> jobban megérthessük a jelenség jellegét és elterjedtségét, valamint az áldozatokra gyakorolt hatását, és kezelhessük a kiváltó okokat;</w:t>
      </w:r>
    </w:p>
    <w:p w:rsidR="00B077ED" w:rsidRPr="009440ED" w:rsidRDefault="00B077ED" w:rsidP="00AA2C7A">
      <w:pPr>
        <w:pStyle w:val="NormalHanging12a"/>
        <w:widowControl/>
      </w:pPr>
      <w:r w:rsidRPr="009440ED">
        <w:t>40.</w:t>
      </w:r>
      <w:r w:rsidRPr="009440ED">
        <w:tab/>
        <w:t xml:space="preserve">üdvözli a Bizottság arra vonatkozó kezdeményezését, hogy az EUMSZ 83. cikkének (1) bekezdésében kibővítse az uniós bűncselekmények listáját a gyűlöletbeszéddel és a gyűlölet-bűncselekményekkel, hangsúlyozva, hogy a gyűlöletbeszédre és a gyűlölet-bűncselekményekre szigorú uniós büntetőjogi választ kell adni; határozottan helyteleníti a kezdeményezés elfogadásának elhúzódását, és ismételten felszólítja a Tanácsot, hogy törekedjen a </w:t>
      </w:r>
      <w:proofErr w:type="gramStart"/>
      <w:r w:rsidRPr="009440ED">
        <w:t>konszenzusra</w:t>
      </w:r>
      <w:proofErr w:type="gramEnd"/>
      <w:r w:rsidRPr="009440ED">
        <w:t>;</w:t>
      </w:r>
    </w:p>
    <w:p w:rsidR="00B077ED" w:rsidRPr="009440ED" w:rsidRDefault="00B077ED" w:rsidP="00AA2C7A">
      <w:pPr>
        <w:pStyle w:val="NormalHanging12a"/>
        <w:widowControl/>
        <w:rPr>
          <w:szCs w:val="24"/>
        </w:rPr>
      </w:pPr>
      <w:r w:rsidRPr="009440ED">
        <w:lastRenderedPageBreak/>
        <w:t>41.</w:t>
      </w:r>
      <w:r w:rsidRPr="009440ED">
        <w:tab/>
        <w:t xml:space="preserve">emlékeztet arra, hogy a gyűlöletbeszédre és a gyűlölet-bűncselekményekre vonatkozó uniós jogszabályoknak egyetemesen védeniük kell az emberi méltóságot és küzdeniük kell a gyűlölet és az </w:t>
      </w:r>
      <w:proofErr w:type="gramStart"/>
      <w:r w:rsidRPr="009440ED">
        <w:t>intolerancia</w:t>
      </w:r>
      <w:proofErr w:type="gramEnd"/>
      <w:r w:rsidRPr="009440ED">
        <w:t xml:space="preserve"> ellen, függetlenül azok indítékától, különös tekintettel a célzott személyekre, csoportokra és közösségekre; határozottan elítéli az újságírók, politikusok, tisztviselők, aktivisták és más szereplők ellen irányuló gyűlöletbeszéd és lejárató kampányok minden formáját a közmédiában;</w:t>
      </w:r>
    </w:p>
    <w:p w:rsidR="00B077ED" w:rsidRPr="009440ED" w:rsidRDefault="00B077ED" w:rsidP="00AA2C7A">
      <w:pPr>
        <w:pStyle w:val="NormalHanging12a"/>
        <w:widowControl/>
        <w:rPr>
          <w:szCs w:val="24"/>
        </w:rPr>
      </w:pPr>
      <w:r w:rsidRPr="009440ED">
        <w:t>42.</w:t>
      </w:r>
      <w:r w:rsidRPr="009440ED">
        <w:tab/>
        <w:t>felhívja a Bizottságot, hogy folyamatosan ellenőrizze a különböző esélyegyenlőségi stratégiák – az LMBTIQ+-személyek egyenlőségéről szóló uniós stratégia (2020–2025), az uniós nemi esélyegyenlőségi stratégia (2020–2025), a romák egyenlőségét és társadalmi befogadását célzó stratégia, valamint a rasszizmus elleni uniós cselekvési terv (2020–2025) – intézkedéseinek végrehajtását; sürgeti a tagállamokat, hogy mielőbb állítsák össze és hajtsák végre rasszizmus elleni nemzeti cselekvési terveiket;</w:t>
      </w:r>
    </w:p>
    <w:p w:rsidR="00B077ED" w:rsidRPr="009440ED" w:rsidRDefault="00B077ED" w:rsidP="00AA2C7A">
      <w:pPr>
        <w:pStyle w:val="NormalHanging12a"/>
        <w:widowControl/>
      </w:pPr>
      <w:r w:rsidRPr="009440ED">
        <w:t>43.</w:t>
      </w:r>
      <w:r w:rsidRPr="009440ED">
        <w:tab/>
        <w:t>üdvözli, hogy a Bizottság első alkalommal hivatkozott az EUSZ 2. cikke megsértésének egy egyedi esetére, amikor az Európai Unió Bíróságához utalta a más célokat álcázó magyar „gyermekvédelmi törvényt”;</w:t>
      </w:r>
    </w:p>
    <w:p w:rsidR="00B077ED" w:rsidRPr="009440ED" w:rsidRDefault="00B077ED" w:rsidP="00AA2C7A">
      <w:pPr>
        <w:pStyle w:val="Normal12a24b"/>
        <w:widowControl/>
        <w:spacing w:before="0"/>
        <w:ind w:left="567" w:hanging="567"/>
        <w:rPr>
          <w:b/>
          <w:i/>
        </w:rPr>
      </w:pPr>
      <w:r w:rsidRPr="009440ED">
        <w:rPr>
          <w:rStyle w:val="Bold"/>
          <w:i/>
        </w:rPr>
        <w:t>Társadalmi, gazdasági és környezeti jogok</w:t>
      </w:r>
    </w:p>
    <w:p w:rsidR="00B077ED" w:rsidRPr="009440ED" w:rsidRDefault="00B077ED" w:rsidP="00AA2C7A">
      <w:pPr>
        <w:pStyle w:val="NormalHanging12a"/>
        <w:widowControl/>
      </w:pPr>
      <w:proofErr w:type="gramStart"/>
      <w:r w:rsidRPr="009440ED">
        <w:t>44.</w:t>
      </w:r>
      <w:r w:rsidRPr="009440ED">
        <w:tab/>
        <w:t xml:space="preserve">elismeri, hogy a szegénység a hátrányos megkülönböztetés egy másik formája, amely az alapvető jogok megsértéséhez, valamint a termékekhez és a szolgáltatásokhoz való hozzáférés tekintetében esélyegyenlőtlenséghez vezet; kiemeli a gyermekek sajátos kiszolgáltatottságát és a szegénység rájuk, valamint testi és pszichológiai fejlődésükre gyakorolt hatását; felhívja a Bizottságot, a Tanácsot és a tagállamokat, hogy dolgozzanak ki politikákat a szegénység és a társadalmi kirekesztés csökkentésére, figyelembe véve az </w:t>
      </w:r>
      <w:proofErr w:type="spellStart"/>
      <w:r w:rsidRPr="009440ED">
        <w:t>interszekcionális</w:t>
      </w:r>
      <w:proofErr w:type="spellEnd"/>
      <w:r w:rsidRPr="009440ED">
        <w:t xml:space="preserve"> megközelítést, és különös figyelmet fordítva a kiszolgáltatott</w:t>
      </w:r>
      <w:proofErr w:type="gramEnd"/>
      <w:r w:rsidRPr="009440ED">
        <w:t xml:space="preserve"> helyzetben lévő egyénekre; üdvözli az európai gyermekgarancia elfogadását, de úgy véli, hogy további erőfeszítésekre van szükség, különösen a szociális védelem területén; felkéri a tagállamokat, hogy </w:t>
      </w:r>
      <w:proofErr w:type="gramStart"/>
      <w:r w:rsidRPr="009440ED">
        <w:t>garantálják</w:t>
      </w:r>
      <w:proofErr w:type="gramEnd"/>
      <w:r w:rsidRPr="009440ED">
        <w:t xml:space="preserve"> a minőségi oktatáshoz és foglalkoztatáshoz való egyenlő hozzáférést és az esélyegyenlőséget, mivel ezek döntő szerepet játszanak az egyenlőtlenségek csökkentésében és az emberek szegénységből való kiemelésében;</w:t>
      </w:r>
    </w:p>
    <w:p w:rsidR="00B077ED" w:rsidRPr="009440ED" w:rsidRDefault="00B077ED" w:rsidP="00AA2C7A">
      <w:pPr>
        <w:pStyle w:val="NormalHanging12a"/>
        <w:widowControl/>
        <w:rPr>
          <w:szCs w:val="24"/>
        </w:rPr>
      </w:pPr>
      <w:proofErr w:type="gramStart"/>
      <w:r w:rsidRPr="009440ED">
        <w:t>45.</w:t>
      </w:r>
      <w:r w:rsidRPr="009440ED">
        <w:tab/>
        <w:t xml:space="preserve">mély aggodalmát fejezi ki a szegénység, az egyenlőtlenség és a társadalmi kirekesztés növekedése miatt az Unióban; felhívja a tagállamokat, hogy kezeljék a „menstruációs szegénységet” és szüntessék meg a személyes higiéniai termékekre kivetett </w:t>
      </w:r>
      <w:proofErr w:type="spellStart"/>
      <w:r w:rsidRPr="009440ED">
        <w:t>héát</w:t>
      </w:r>
      <w:proofErr w:type="spellEnd"/>
      <w:r w:rsidRPr="009440ED">
        <w:t xml:space="preserve">; hangsúlyozza, hogy a Covid19-világjárvány hosszú távú gazdasági következményei, valamint az élelmiszer- és energiaárak emelkedése súlyosan érintette az alacsony </w:t>
      </w:r>
      <w:proofErr w:type="spellStart"/>
      <w:r w:rsidRPr="009440ED">
        <w:t>jövedelmű</w:t>
      </w:r>
      <w:proofErr w:type="spellEnd"/>
      <w:r w:rsidRPr="009440ED">
        <w:t xml:space="preserve"> vagy szegénységben élő emberek jogait, beleértve a megfelelő életszínvonalhoz, az élelemhez, az egészséghez, a lakhatáshoz és a szociális biztonsághoz való jogot; felhívja a Bizottságo</w:t>
      </w:r>
      <w:proofErr w:type="gramEnd"/>
      <w:r w:rsidRPr="009440ED">
        <w:t xml:space="preserve">t </w:t>
      </w:r>
      <w:proofErr w:type="gramStart"/>
      <w:r w:rsidRPr="009440ED">
        <w:t>és</w:t>
      </w:r>
      <w:proofErr w:type="gramEnd"/>
      <w:r w:rsidRPr="009440ED">
        <w:t xml:space="preserve"> a Tanácsot, hogy dolgozzanak ki olyan makrogazdasági politikákat, amelyeket nemcsak a gazdasági növekedés, hanem a szociális normák is vezérelnek, és emlékeztet a szociális normák fontosságára az európai szemeszterben;</w:t>
      </w:r>
    </w:p>
    <w:p w:rsidR="00B077ED" w:rsidRPr="009440ED" w:rsidRDefault="00B077ED" w:rsidP="00AA2C7A">
      <w:pPr>
        <w:pStyle w:val="NormalHanging12a"/>
        <w:widowControl/>
        <w:rPr>
          <w:szCs w:val="24"/>
        </w:rPr>
      </w:pPr>
      <w:r w:rsidRPr="009440ED">
        <w:t>46.</w:t>
      </w:r>
      <w:r w:rsidRPr="009440ED">
        <w:tab/>
        <w:t>üdvözli a megfelelő minimumjövedelemről szóló, 2023. január 30-i tanácsi ajánlást</w:t>
      </w:r>
      <w:r w:rsidRPr="009440ED">
        <w:rPr>
          <w:vertAlign w:val="superscript"/>
        </w:rPr>
        <w:footnoteReference w:id="50"/>
      </w:r>
      <w:r w:rsidRPr="009440ED">
        <w:t xml:space="preserve">, amely biztosítja az aktív befogadást, előremutató lépésként a szociális jogok európai </w:t>
      </w:r>
      <w:r w:rsidRPr="009440ED">
        <w:lastRenderedPageBreak/>
        <w:t xml:space="preserve">pillére 14. elvének alkalmazása felé; sajnálatát fejezi ki azonban a kiszolgáltatott csoportok elleni strukturális megkülönböztetés leküzdésére irányuló konkrét intézkedések hiánya miatt; felhívja a tagállamokat, hogy gyűjtsenek adatokat a minimáljövedelemről, </w:t>
      </w:r>
      <w:proofErr w:type="gramStart"/>
      <w:r w:rsidRPr="009440ED">
        <w:t>ezen</w:t>
      </w:r>
      <w:proofErr w:type="gramEnd"/>
      <w:r w:rsidRPr="009440ED">
        <w:t xml:space="preserve"> csoportokra lebontva;</w:t>
      </w:r>
    </w:p>
    <w:p w:rsidR="00B077ED" w:rsidRPr="009440ED" w:rsidRDefault="00B077ED" w:rsidP="00AA2C7A">
      <w:pPr>
        <w:pStyle w:val="NormalHanging12a"/>
        <w:widowControl/>
        <w:rPr>
          <w:szCs w:val="24"/>
        </w:rPr>
      </w:pPr>
      <w:proofErr w:type="gramStart"/>
      <w:r w:rsidRPr="009440ED">
        <w:t>47.</w:t>
      </w:r>
      <w:r w:rsidRPr="009440ED">
        <w:tab/>
        <w:t xml:space="preserve">hangsúlyozza, hogy a </w:t>
      </w:r>
      <w:proofErr w:type="spellStart"/>
      <w:r w:rsidRPr="009440ED">
        <w:t>digitalizáció</w:t>
      </w:r>
      <w:proofErr w:type="spellEnd"/>
      <w:r w:rsidRPr="009440ED">
        <w:t xml:space="preserve"> egy transzverzális folyamat, amely hatással van az összes szolgáltatáshoz való hozzáférésre, különösen az egészségügyi ellátásra, valamint az alapvető jogok gyakorlására; hangsúlyozza, hogy az EU-ban a digitális szegénységet nyomon kell követni, és többek között az idősek, a távoli területeken élők, a hajléktalanok és a romák alapvető szolgáltatásokhoz és jogokhoz való hozzáférésével együtt kell értékelni; emlékeztet a tagállamok azon kötelezettségére, hogy a fogyatékossággal élő személyek jogairól szóló egyezmény értelmében biztosítsák a fogyatékossággal</w:t>
      </w:r>
      <w:proofErr w:type="gramEnd"/>
      <w:r w:rsidRPr="009440ED">
        <w:t xml:space="preserve"> élő személyek teljes körű hozzáférését a társadalomhoz; emlékeztet arra, hogy a technológiai függőség közegészségügyi </w:t>
      </w:r>
      <w:proofErr w:type="gramStart"/>
      <w:r w:rsidRPr="009440ED">
        <w:t>problémát</w:t>
      </w:r>
      <w:proofErr w:type="gramEnd"/>
      <w:r w:rsidRPr="009440ED">
        <w:t xml:space="preserve"> jelent, amely különösen a kiskorúakat, és azok fizikai és mentális integritását érinti;</w:t>
      </w:r>
    </w:p>
    <w:p w:rsidR="00B077ED" w:rsidRPr="009440ED" w:rsidRDefault="00B077ED" w:rsidP="00AA2C7A">
      <w:pPr>
        <w:pStyle w:val="NormalHanging12a"/>
        <w:widowControl/>
        <w:rPr>
          <w:szCs w:val="24"/>
        </w:rPr>
      </w:pPr>
      <w:r w:rsidRPr="009440ED">
        <w:t>48.</w:t>
      </w:r>
      <w:r w:rsidRPr="009440ED">
        <w:tab/>
      </w:r>
      <w:proofErr w:type="spellStart"/>
      <w:r w:rsidRPr="009440ED">
        <w:t>megjegyzi</w:t>
      </w:r>
      <w:proofErr w:type="spellEnd"/>
      <w:r w:rsidRPr="009440ED">
        <w:t>, hogy a lakhatás nem árucikk, hanem szükséglet és a társadalomban való teljes értékű részvétel előfeltétele; felszólítja a tagállamokat, hogy növeljék a megfizethető szociális lakhatásba történő beruházásokat a lakásköltség-túlterheltség felszámolása érdekében, különösen a hátrányos helyzetű és kiszolgáltatott csoportok körében, valamint az e csoportok közötti verseny elkerülése érdekében;</w:t>
      </w:r>
    </w:p>
    <w:p w:rsidR="00B077ED" w:rsidRPr="009440ED" w:rsidRDefault="00B077ED" w:rsidP="00AA2C7A">
      <w:pPr>
        <w:pStyle w:val="NormalHanging12a"/>
        <w:widowControl/>
        <w:rPr>
          <w:szCs w:val="24"/>
        </w:rPr>
      </w:pPr>
      <w:r w:rsidRPr="009440ED">
        <w:t>49.</w:t>
      </w:r>
      <w:r w:rsidRPr="009440ED">
        <w:tab/>
        <w:t>üdvözli az egészséges és fenntartható környezethez való hozzáférés egyetemes jogának az Emberi Jogi Tanács által 2021. október 8-án történő elismerését; kiemeli, hogy az egyének számára súlyos negatív következményekkel járhat mind a környezetkárosodás, mind pedig az, hogy néhány hatóság elmulasztja az egyéneket érintő súlyos környezeti kockázatokkal kapcsolatos tájékoztatást; emlékeztet arra, hogy 2030-ig teljes összhangba kell hozni a környezeti levegő minőségére vonatkozó uniós előírásokat a WHO legfrissebb iránymutatásaival;</w:t>
      </w:r>
    </w:p>
    <w:p w:rsidR="00B077ED" w:rsidRPr="009440ED" w:rsidRDefault="00B077ED" w:rsidP="00AA2C7A">
      <w:pPr>
        <w:pStyle w:val="Normal12a24b"/>
        <w:widowControl/>
        <w:spacing w:before="0"/>
        <w:ind w:left="567" w:hanging="567"/>
        <w:rPr>
          <w:i/>
        </w:rPr>
      </w:pPr>
      <w:r w:rsidRPr="009440ED">
        <w:rPr>
          <w:rStyle w:val="Bold"/>
          <w:i/>
        </w:rPr>
        <w:t>Az alapvető jogok intézményi biztosítékai</w:t>
      </w:r>
    </w:p>
    <w:p w:rsidR="00B077ED" w:rsidRPr="009440ED" w:rsidRDefault="00B077ED" w:rsidP="00AA2C7A">
      <w:pPr>
        <w:pStyle w:val="NormalHanging12a"/>
        <w:widowControl/>
        <w:rPr>
          <w:szCs w:val="24"/>
        </w:rPr>
      </w:pPr>
      <w:r w:rsidRPr="009440ED">
        <w:t>50.</w:t>
      </w:r>
      <w:r w:rsidRPr="009440ED">
        <w:tab/>
        <w:t xml:space="preserve">üdvözli az </w:t>
      </w:r>
      <w:proofErr w:type="spellStart"/>
      <w:r w:rsidRPr="009440ED">
        <w:t>előrelépéseket</w:t>
      </w:r>
      <w:proofErr w:type="spellEnd"/>
      <w:r w:rsidRPr="009440ED">
        <w:t>, amelyekre az Unió EJEE-</w:t>
      </w:r>
      <w:proofErr w:type="spellStart"/>
      <w:r w:rsidRPr="009440ED">
        <w:t>hez</w:t>
      </w:r>
      <w:proofErr w:type="spellEnd"/>
      <w:r w:rsidRPr="009440ED">
        <w:t xml:space="preserve"> való csatlakozására irányuló tárgyalások 2020. júniusi újraindítása óta került sor, valamint a felülvizsgált csatlakozási eszközök tervezetéről szóló, 2023. márciusában született ideiglenes megállapodást; felhívja a Bizottságot és a Tanácsot, hogy a csatlakozási folyamat lezárása érdekében haladéktalanul oldják meg a közös </w:t>
      </w:r>
      <w:proofErr w:type="spellStart"/>
      <w:r w:rsidRPr="009440ED">
        <w:t>kül</w:t>
      </w:r>
      <w:proofErr w:type="spellEnd"/>
      <w:r w:rsidRPr="009440ED">
        <w:t xml:space="preserve">- és biztonságpolitika terén fennálló, a jogi </w:t>
      </w:r>
      <w:proofErr w:type="gramStart"/>
      <w:r w:rsidRPr="009440ED">
        <w:t>aktusok</w:t>
      </w:r>
      <w:proofErr w:type="gramEnd"/>
      <w:r w:rsidRPr="009440ED">
        <w:t xml:space="preserve"> helyzetével kapcsolatos kérdést;</w:t>
      </w:r>
    </w:p>
    <w:p w:rsidR="00B077ED" w:rsidRPr="009440ED" w:rsidRDefault="00B077ED" w:rsidP="00AA2C7A">
      <w:pPr>
        <w:pStyle w:val="NormalHanging12a"/>
        <w:widowControl/>
      </w:pPr>
      <w:proofErr w:type="gramStart"/>
      <w:r w:rsidRPr="009440ED">
        <w:t>51.</w:t>
      </w:r>
      <w:r w:rsidRPr="009440ED">
        <w:tab/>
        <w:t xml:space="preserve">támogatja az Európai Unió Alapjogi Ügynökségének munkáját, amelyet a hátrányos megkülönböztetés dokumentálása céljából az adatok elemzése terén végez, valamint üdvözli a további </w:t>
      </w:r>
      <w:proofErr w:type="spellStart"/>
      <w:r w:rsidRPr="009440ED">
        <w:t>előrelépéseket</w:t>
      </w:r>
      <w:proofErr w:type="spellEnd"/>
      <w:r w:rsidRPr="009440ED">
        <w:t xml:space="preserve"> e téren; üdvözli a Bizottságnak az egyenlőséggel foglalkozó szervekre vonatkozó normákról szóló két irányelvre irányuló javaslatát, amelynek célja, hogy biztosítsa az EU hátrányos megkülönböztetés tilalmára vonatkozó szabályainak végrehajtását és érvényesítését; felhívja az Ügynökséggel együttműködő nemzeti szerveket, hogy szolgáltassanak elfogulatlan adatokat; felkéri az Ügynökséget, hogy amennyiben</w:t>
      </w:r>
      <w:proofErr w:type="gramEnd"/>
      <w:r w:rsidRPr="009440ED">
        <w:t xml:space="preserve"> az adatok minőségével kapcsolatos komoly aggályok továbbra is fennállnak, </w:t>
      </w:r>
      <w:proofErr w:type="gramStart"/>
      <w:r w:rsidRPr="009440ED">
        <w:t>konzultáljon</w:t>
      </w:r>
      <w:proofErr w:type="gramEnd"/>
      <w:r w:rsidRPr="009440ED">
        <w:t xml:space="preserve"> további forrásokkal is;</w:t>
      </w:r>
    </w:p>
    <w:p w:rsidR="00B077ED" w:rsidRPr="009440ED" w:rsidRDefault="00B077ED" w:rsidP="00AA2C7A">
      <w:pPr>
        <w:pStyle w:val="NormalHanging12a"/>
        <w:widowControl/>
        <w:rPr>
          <w:szCs w:val="24"/>
        </w:rPr>
      </w:pPr>
      <w:r w:rsidRPr="009440ED">
        <w:t>52.</w:t>
      </w:r>
      <w:r w:rsidRPr="009440ED">
        <w:tab/>
        <w:t xml:space="preserve">kiemeli az uniós intézmények, a tagállamok, az OLAF és az EPPO közötti együttműködés támogatásának és megerősítésének jelentőségét; felkéri a Bizottságot, </w:t>
      </w:r>
      <w:r w:rsidRPr="009440ED">
        <w:lastRenderedPageBreak/>
        <w:t>hogy terjesszen elő egy jelentést, amelyben értékeli annak lehetőségét és módozatait, hogy az EUMSZ 86. cikkében foglaltaknak megfelelően kiterjessze az Európai Ügyészség megbízatását az Unió érdekeit sértő vagy a környezet védelmével összefüggő uniós szakpolitikák következetes alkalmazását befolyásoló súlyos környezeti bűncselekményekre;</w:t>
      </w:r>
    </w:p>
    <w:p w:rsidR="00B077ED" w:rsidRPr="009440ED" w:rsidRDefault="00B077ED" w:rsidP="00AA2C7A">
      <w:pPr>
        <w:pStyle w:val="NormalHanging12a"/>
        <w:widowControl/>
        <w:rPr>
          <w:szCs w:val="24"/>
        </w:rPr>
      </w:pPr>
      <w:proofErr w:type="gramStart"/>
      <w:r w:rsidRPr="009440ED">
        <w:t>53.</w:t>
      </w:r>
      <w:r w:rsidRPr="009440ED">
        <w:tab/>
        <w:t>kéri, hogy az Európai Unió Alapjogi Ügynökségét a nemzeti emberi jogi intézményekhez hasonlóan és az ENSZ Közgyűlésének 1993-as párizsi alapelveivel összhangban független emberi jogi hatóságként hozzák létre, melynek feladata az uniós intézmények, szervek, hivatalok és ügynökségek, valamint a tagállamok által az uniós jog végrehajtása során alkalmazott, Charta szerinti szakpolitikák és gyakorlatok védelme és előmozdítása; úgy véli, hogy ehhez a Szerződésekben jogalapot kell teremteni az Európai Unió Alapjogi Ügynökségének felállításához, rögzítve annak függetlenségét, és bevezetve a megbízatásának</w:t>
      </w:r>
      <w:proofErr w:type="gramEnd"/>
      <w:r w:rsidRPr="009440ED">
        <w:t xml:space="preserve"> elfogadására és módosítására vonatkozó rendes jogalkotási eljárást; felszólít arra, hogy ez az új Ügynökség legyen jogosult az EUMSZ 263. cikke alapján eljárást indítani a Charta megsértése miatt; kéri, hogy az Ügynökség megbízatásába foglalják bele a panaszok kezelésének hatáskörét, és a Bizottságot kötelezzék arra, hogy </w:t>
      </w:r>
      <w:proofErr w:type="gramStart"/>
      <w:r w:rsidRPr="009440ED">
        <w:t>konzultáljon</w:t>
      </w:r>
      <w:proofErr w:type="gramEnd"/>
      <w:r w:rsidRPr="009440ED">
        <w:t xml:space="preserve"> az Ügynökséggel az alapvető jogokat érintő jogalkotási aktusokra vagy ajánlásokra irányuló javaslatok előkészítése során;</w:t>
      </w:r>
    </w:p>
    <w:p w:rsidR="00B077ED" w:rsidRPr="009440ED" w:rsidRDefault="00B077ED" w:rsidP="00AA2C7A">
      <w:pPr>
        <w:pStyle w:val="NormalHanging12a"/>
        <w:widowControl/>
      </w:pPr>
      <w:proofErr w:type="gramStart"/>
      <w:r w:rsidRPr="009440ED">
        <w:t>54.</w:t>
      </w:r>
      <w:r w:rsidRPr="009440ED">
        <w:tab/>
        <w:t>emlékeztet a Bíróság kapcsolódó ítélkezési gyakorlatának fontosságára, amely támogatja az alapvető jogok tiszteletben tartását és tovább pontosítja a jogállamiság fogalmát; aggodalmát fejezi ki amiatt, hogy egyes tagállamok továbbra sem hajtják végre a hazai bíróságok, a Bíróság és az EJEB ítéleteit, ami hozzájárul a jogállamiság erodálódásához; hangsúlyozza, hogy az ítéletek végrehajtásának elmulasztása eredményeként az emberi jogok megsértése jogorvoslat nélkül maradhat; kiemeli, hogy az uniós jog elsőbbsége képezi az uniós jogrend alapját; felhívja a Bizottságot, hogy ennek az elvnek az</w:t>
      </w:r>
      <w:proofErr w:type="gramEnd"/>
      <w:r w:rsidRPr="009440ED">
        <w:t xml:space="preserve"> </w:t>
      </w:r>
      <w:proofErr w:type="gramStart"/>
      <w:r w:rsidRPr="009440ED">
        <w:t>elmulasztása</w:t>
      </w:r>
      <w:proofErr w:type="gramEnd"/>
      <w:r w:rsidRPr="009440ED">
        <w:t xml:space="preserve"> esetén gondoskodjon a megfelelő nyomon követésről;</w:t>
      </w:r>
    </w:p>
    <w:p w:rsidR="00B077ED" w:rsidRPr="009440ED" w:rsidRDefault="00B077ED" w:rsidP="00AA2C7A">
      <w:pPr>
        <w:pStyle w:val="NormalHanging12a"/>
        <w:widowControl/>
      </w:pPr>
      <w:r w:rsidRPr="009440ED">
        <w:t>55.</w:t>
      </w:r>
      <w:r w:rsidRPr="009440ED">
        <w:tab/>
        <w:t>hangsúlyozza a nemzeti és helyi közigazgatás, a tagállamok parlamentjei és a bűnüldöző hatóságok szerepét a Chartában foglalt jogok előmozdításában és védelmében;</w:t>
      </w:r>
    </w:p>
    <w:p w:rsidR="00B077ED" w:rsidRPr="009440ED" w:rsidRDefault="00B077ED" w:rsidP="00AA2C7A">
      <w:pPr>
        <w:pStyle w:val="NormalHanging12a"/>
        <w:widowControl/>
      </w:pPr>
      <w:r w:rsidRPr="009440ED">
        <w:t>56.</w:t>
      </w:r>
      <w:r w:rsidRPr="009440ED">
        <w:tab/>
        <w:t>megemlíti az Európai Unió Alapjogi Ügynökségének észrevételét, miszerint a tagállamok láthatóan nem kötelezik el magukat strukturáltan a Charta alkalmazásának megerősítésére irányuló bizottsági stratégia végrehajtása mellett, például nem határoznak meg egyértelmű célokat, mérföldköveket és határidőket; felszólítja a tagállamokat, hogy maradéktalanul hajtsák végre a stratégiát;</w:t>
      </w:r>
    </w:p>
    <w:p w:rsidR="00B077ED" w:rsidRPr="009440ED" w:rsidRDefault="00B077ED" w:rsidP="00AA2C7A">
      <w:pPr>
        <w:pStyle w:val="NormalHanging12a"/>
        <w:widowControl/>
        <w:rPr>
          <w:szCs w:val="24"/>
        </w:rPr>
      </w:pPr>
      <w:r w:rsidRPr="009440ED">
        <w:t>57.</w:t>
      </w:r>
      <w:r w:rsidRPr="009440ED">
        <w:tab/>
        <w:t xml:space="preserve">emlékeztet arra, hogy a demokratikus életben való részvételhez való jogot és azt a kötelezettséget, hogy a döntéseket a lehető legnyíltabban és a polgárokhoz a lehető legközelebb eső szinten kell meghozni, a Szerződések – különösen az EUSZ 10. cikke – védik; felhívja az uniós intézményeket és a tagállamokat, hogy biztosítsanak elegendő időt a nyilvános </w:t>
      </w:r>
      <w:proofErr w:type="gramStart"/>
      <w:r w:rsidRPr="009440ED">
        <w:t>konzultációra</w:t>
      </w:r>
      <w:proofErr w:type="gramEnd"/>
      <w:r w:rsidRPr="009440ED">
        <w:t>, biztosítsák az átláthatóságot, és proaktív módon tegyék közzé a nyilvános dokumentumokat;</w:t>
      </w:r>
    </w:p>
    <w:p w:rsidR="00B077ED" w:rsidRPr="009440ED" w:rsidRDefault="00B077ED" w:rsidP="00AA2C7A">
      <w:pPr>
        <w:pStyle w:val="NormalHanging12a"/>
        <w:widowControl/>
        <w:jc w:val="center"/>
      </w:pPr>
      <w:r w:rsidRPr="009440ED">
        <w:t>°</w:t>
      </w:r>
    </w:p>
    <w:p w:rsidR="00B077ED" w:rsidRPr="009440ED" w:rsidRDefault="00B077ED" w:rsidP="00AA2C7A">
      <w:pPr>
        <w:pStyle w:val="NormalHanging12a"/>
        <w:widowControl/>
        <w:jc w:val="center"/>
      </w:pPr>
      <w:r w:rsidRPr="009440ED">
        <w:t>°</w:t>
      </w:r>
      <w:r w:rsidRPr="009440ED">
        <w:tab/>
        <w:t>°</w:t>
      </w:r>
    </w:p>
    <w:p w:rsidR="00B077ED" w:rsidRPr="009440ED" w:rsidRDefault="00B077ED" w:rsidP="00AA2C7A">
      <w:pPr>
        <w:pStyle w:val="NormalHanging12a"/>
        <w:widowControl/>
      </w:pPr>
      <w:r w:rsidRPr="009440ED">
        <w:t>58.</w:t>
      </w:r>
      <w:r w:rsidRPr="009440ED">
        <w:tab/>
        <w:t>utasítja elnökét, hogy továbbítsa ezt az állásfoglalást a Tanácsnak és a Bizottságnak.</w:t>
      </w:r>
    </w:p>
    <w:sectPr w:rsidR="00B077ED" w:rsidRPr="009440ED" w:rsidSect="002B264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7BF" w:rsidRPr="002B2649" w:rsidRDefault="00D027BF">
      <w:r w:rsidRPr="002B2649">
        <w:separator/>
      </w:r>
    </w:p>
  </w:endnote>
  <w:endnote w:type="continuationSeparator" w:id="0">
    <w:p w:rsidR="00D027BF" w:rsidRPr="002B2649" w:rsidRDefault="00D027BF">
      <w:r w:rsidRPr="002B26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4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4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4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7BF" w:rsidRPr="002B2649" w:rsidRDefault="00D027BF">
      <w:r w:rsidRPr="002B2649">
        <w:separator/>
      </w:r>
    </w:p>
  </w:footnote>
  <w:footnote w:type="continuationSeparator" w:id="0">
    <w:p w:rsidR="00D027BF" w:rsidRPr="002B2649" w:rsidRDefault="00D027BF">
      <w:r w:rsidRPr="002B2649">
        <w:continuationSeparator/>
      </w:r>
    </w:p>
  </w:footnote>
  <w:footnote w:id="1">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Többek k</w:t>
      </w:r>
      <w:r w:rsidRPr="006454D6">
        <w:rPr>
          <w:sz w:val="24"/>
          <w:lang w:val="hu-HU"/>
        </w:rPr>
        <w:t>özött: Bizottság kontra Magyarország (Az egyesületek átláthatósága), C-78/18 sz. ügy, ECLI</w:t>
      </w:r>
      <w:proofErr w:type="gramStart"/>
      <w:r w:rsidRPr="006454D6">
        <w:rPr>
          <w:sz w:val="24"/>
          <w:lang w:val="hu-HU"/>
        </w:rPr>
        <w:t>:EU</w:t>
      </w:r>
      <w:proofErr w:type="gramEnd"/>
      <w:r w:rsidRPr="006454D6">
        <w:rPr>
          <w:sz w:val="24"/>
          <w:lang w:val="hu-HU"/>
        </w:rPr>
        <w:t>:C:2020:476, a Bíróság (második tanács) 2022. október 6-i ítélete;</w:t>
      </w:r>
      <w:r w:rsidR="006454D6" w:rsidRPr="006454D6">
        <w:rPr>
          <w:sz w:val="24"/>
          <w:lang w:val="hu-HU"/>
        </w:rPr>
        <w:t xml:space="preserve"> </w:t>
      </w:r>
      <w:r w:rsidRPr="006454D6">
        <w:rPr>
          <w:sz w:val="24"/>
          <w:lang w:val="hu-HU"/>
        </w:rPr>
        <w:t xml:space="preserve">I. L. kontra </w:t>
      </w:r>
      <w:proofErr w:type="spellStart"/>
      <w:r w:rsidRPr="006454D6">
        <w:rPr>
          <w:sz w:val="24"/>
          <w:lang w:val="hu-HU"/>
        </w:rPr>
        <w:t>Politsei</w:t>
      </w:r>
      <w:proofErr w:type="spellEnd"/>
      <w:r w:rsidRPr="006454D6">
        <w:rPr>
          <w:sz w:val="24"/>
          <w:lang w:val="hu-HU"/>
        </w:rPr>
        <w:t xml:space="preserve">- ja </w:t>
      </w:r>
      <w:proofErr w:type="spellStart"/>
      <w:r w:rsidRPr="006454D6">
        <w:rPr>
          <w:sz w:val="24"/>
          <w:lang w:val="hu-HU"/>
        </w:rPr>
        <w:t>Piirivalveamet</w:t>
      </w:r>
      <w:proofErr w:type="spellEnd"/>
      <w:r w:rsidRPr="006454D6">
        <w:rPr>
          <w:sz w:val="24"/>
          <w:lang w:val="hu-HU"/>
        </w:rPr>
        <w:t>, C-2</w:t>
      </w:r>
      <w:r w:rsidRPr="002B2649">
        <w:rPr>
          <w:sz w:val="24"/>
          <w:lang w:val="hu-HU"/>
        </w:rPr>
        <w:t>41/21. sz. ügy, ECLI:EU:C:2022:753.</w:t>
      </w:r>
    </w:p>
  </w:footnote>
  <w:footnote w:id="2">
    <w:p w:rsidR="00B077ED" w:rsidRPr="002B2649" w:rsidRDefault="00B077ED" w:rsidP="002B2649">
      <w:pPr>
        <w:pStyle w:val="FootnoteText"/>
        <w:ind w:left="567" w:hanging="567"/>
        <w:rPr>
          <w:color w:val="0000FF"/>
          <w:sz w:val="24"/>
          <w:u w:val="single" w:color="0000FF"/>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433. I, 2020.12.22</w:t>
      </w:r>
      <w:proofErr w:type="gramStart"/>
      <w:r w:rsidRPr="002B2649">
        <w:rPr>
          <w:sz w:val="24"/>
          <w:lang w:val="hu-HU"/>
        </w:rPr>
        <w:t>.,</w:t>
      </w:r>
      <w:proofErr w:type="gramEnd"/>
      <w:r w:rsidRPr="002B2649">
        <w:rPr>
          <w:sz w:val="24"/>
          <w:lang w:val="hu-HU"/>
        </w:rPr>
        <w:t xml:space="preserve"> 1. o</w:t>
      </w:r>
      <w:hyperlink r:id="rId1" w:history="1">
        <w:r w:rsidRPr="002B2649">
          <w:rPr>
            <w:rStyle w:val="Hyperlink"/>
            <w:sz w:val="24"/>
            <w:lang w:val="hu-HU"/>
          </w:rPr>
          <w:t>.</w:t>
        </w:r>
      </w:hyperlink>
    </w:p>
  </w:footnote>
  <w:footnote w:id="3">
    <w:p w:rsidR="00B077ED" w:rsidRPr="002B2649" w:rsidRDefault="00B077ED" w:rsidP="002B2649">
      <w:pPr>
        <w:pStyle w:val="FootnoteText"/>
        <w:ind w:left="567" w:hanging="567"/>
        <w:rPr>
          <w:color w:val="0000FF"/>
          <w:sz w:val="24"/>
          <w:u w:val="single" w:color="0000FF"/>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156., 2021.5.5</w:t>
      </w:r>
      <w:proofErr w:type="gramStart"/>
      <w:r w:rsidR="00B94656">
        <w:rPr>
          <w:sz w:val="24"/>
          <w:lang w:val="hu-HU"/>
        </w:rPr>
        <w:t>.</w:t>
      </w:r>
      <w:r w:rsidRPr="002B2649">
        <w:rPr>
          <w:sz w:val="24"/>
          <w:lang w:val="hu-HU"/>
        </w:rPr>
        <w:t>,</w:t>
      </w:r>
      <w:proofErr w:type="gramEnd"/>
      <w:r w:rsidRPr="002B2649">
        <w:rPr>
          <w:sz w:val="24"/>
          <w:lang w:val="hu-HU"/>
        </w:rPr>
        <w:t xml:space="preserve"> 1. o</w:t>
      </w:r>
      <w:hyperlink r:id="rId2" w:history="1">
        <w:r w:rsidRPr="002B2649">
          <w:rPr>
            <w:rStyle w:val="Hyperlink"/>
            <w:sz w:val="24"/>
            <w:lang w:val="hu-HU"/>
          </w:rPr>
          <w:t>.</w:t>
        </w:r>
      </w:hyperlink>
    </w:p>
  </w:footnote>
  <w:footnote w:id="4">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283., 2017.10.31</w:t>
      </w:r>
      <w:proofErr w:type="gramStart"/>
      <w:r w:rsidRPr="002B2649">
        <w:rPr>
          <w:sz w:val="24"/>
          <w:lang w:val="hu-HU"/>
        </w:rPr>
        <w:t>.,</w:t>
      </w:r>
      <w:proofErr w:type="gramEnd"/>
      <w:r w:rsidRPr="002B2649">
        <w:rPr>
          <w:sz w:val="24"/>
          <w:lang w:val="hu-HU"/>
        </w:rPr>
        <w:t xml:space="preserve"> 1. o.</w:t>
      </w:r>
    </w:p>
  </w:footnote>
  <w:footnote w:id="5">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119., 2016.5.4</w:t>
      </w:r>
      <w:proofErr w:type="gramStart"/>
      <w:r w:rsidRPr="002B2649">
        <w:rPr>
          <w:sz w:val="24"/>
          <w:lang w:val="hu-HU"/>
        </w:rPr>
        <w:t>.,</w:t>
      </w:r>
      <w:proofErr w:type="gramEnd"/>
      <w:r w:rsidRPr="002B2649">
        <w:rPr>
          <w:sz w:val="24"/>
          <w:lang w:val="hu-HU"/>
        </w:rPr>
        <w:t xml:space="preserve"> 1. o.</w:t>
      </w:r>
    </w:p>
  </w:footnote>
  <w:footnote w:id="6">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198., 2017.7.28</w:t>
      </w:r>
      <w:proofErr w:type="gramStart"/>
      <w:r w:rsidRPr="002B2649">
        <w:rPr>
          <w:sz w:val="24"/>
          <w:lang w:val="hu-HU"/>
        </w:rPr>
        <w:t>.,</w:t>
      </w:r>
      <w:proofErr w:type="gramEnd"/>
      <w:r w:rsidRPr="002B2649">
        <w:rPr>
          <w:sz w:val="24"/>
          <w:lang w:val="hu-HU"/>
        </w:rPr>
        <w:t xml:space="preserve"> 29. o.</w:t>
      </w:r>
    </w:p>
  </w:footnote>
  <w:footnote w:id="7">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328., 2008.12.6</w:t>
      </w:r>
      <w:proofErr w:type="gramStart"/>
      <w:r w:rsidRPr="002B2649">
        <w:rPr>
          <w:sz w:val="24"/>
          <w:lang w:val="hu-HU"/>
        </w:rPr>
        <w:t>.,</w:t>
      </w:r>
      <w:proofErr w:type="gramEnd"/>
      <w:r w:rsidRPr="002B2649">
        <w:rPr>
          <w:sz w:val="24"/>
          <w:lang w:val="hu-HU"/>
        </w:rPr>
        <w:t xml:space="preserve"> 55. o.</w:t>
      </w:r>
    </w:p>
  </w:footnote>
  <w:footnote w:id="8">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180., 2000.7.19</w:t>
      </w:r>
      <w:proofErr w:type="gramStart"/>
      <w:r w:rsidRPr="002B2649">
        <w:rPr>
          <w:sz w:val="24"/>
          <w:lang w:val="hu-HU"/>
        </w:rPr>
        <w:t>.,</w:t>
      </w:r>
      <w:proofErr w:type="gramEnd"/>
      <w:r w:rsidRPr="002B2649">
        <w:rPr>
          <w:sz w:val="24"/>
          <w:lang w:val="hu-HU"/>
        </w:rPr>
        <w:t xml:space="preserve"> 22. o.</w:t>
      </w:r>
    </w:p>
  </w:footnote>
  <w:footnote w:id="9">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93., 2021.3.19</w:t>
      </w:r>
      <w:proofErr w:type="gramStart"/>
      <w:r w:rsidRPr="002B2649">
        <w:rPr>
          <w:sz w:val="24"/>
          <w:lang w:val="hu-HU"/>
        </w:rPr>
        <w:t>.,</w:t>
      </w:r>
      <w:proofErr w:type="gramEnd"/>
      <w:r w:rsidRPr="002B2649">
        <w:rPr>
          <w:sz w:val="24"/>
          <w:lang w:val="hu-HU"/>
        </w:rPr>
        <w:t xml:space="preserve"> 1. o.</w:t>
      </w:r>
    </w:p>
  </w:footnote>
  <w:footnote w:id="10">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331., 2021.9.20</w:t>
      </w:r>
      <w:proofErr w:type="gramStart"/>
      <w:r w:rsidRPr="002B2649">
        <w:rPr>
          <w:sz w:val="24"/>
          <w:lang w:val="hu-HU"/>
        </w:rPr>
        <w:t>.,</w:t>
      </w:r>
      <w:proofErr w:type="gramEnd"/>
      <w:r w:rsidRPr="002B2649">
        <w:rPr>
          <w:sz w:val="24"/>
          <w:lang w:val="hu-HU"/>
        </w:rPr>
        <w:t xml:space="preserve"> 8. o.</w:t>
      </w:r>
    </w:p>
  </w:footnote>
  <w:footnote w:id="11">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86., 2023.3.24</w:t>
      </w:r>
      <w:proofErr w:type="gramStart"/>
      <w:r w:rsidRPr="002B2649">
        <w:rPr>
          <w:sz w:val="24"/>
          <w:lang w:val="hu-HU"/>
        </w:rPr>
        <w:t>.,</w:t>
      </w:r>
      <w:proofErr w:type="gramEnd"/>
      <w:r w:rsidRPr="002B2649">
        <w:rPr>
          <w:sz w:val="24"/>
          <w:lang w:val="hu-HU"/>
        </w:rPr>
        <w:t xml:space="preserve"> 44. o.</w:t>
      </w:r>
    </w:p>
  </w:footnote>
  <w:footnote w:id="12">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245., 2022.9.22</w:t>
      </w:r>
      <w:proofErr w:type="gramStart"/>
      <w:r w:rsidR="00B94656">
        <w:rPr>
          <w:sz w:val="24"/>
          <w:lang w:val="hu-HU"/>
        </w:rPr>
        <w:t>.</w:t>
      </w:r>
      <w:r w:rsidRPr="002B2649">
        <w:rPr>
          <w:sz w:val="24"/>
          <w:lang w:val="hu-HU"/>
        </w:rPr>
        <w:t>,</w:t>
      </w:r>
      <w:proofErr w:type="gramEnd"/>
      <w:r w:rsidRPr="002B2649">
        <w:rPr>
          <w:sz w:val="24"/>
          <w:lang w:val="hu-HU"/>
        </w:rPr>
        <w:t xml:space="preserve"> 56. o.</w:t>
      </w:r>
    </w:p>
  </w:footnote>
  <w:footnote w:id="13">
    <w:p w:rsidR="00B077ED" w:rsidRPr="006454D6" w:rsidRDefault="00B077ED" w:rsidP="002B2649">
      <w:pPr>
        <w:pStyle w:val="FootnoteText"/>
        <w:ind w:left="567" w:hanging="567"/>
        <w:rPr>
          <w:sz w:val="24"/>
          <w:szCs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Európa Tanács</w:t>
      </w:r>
      <w:r w:rsidRPr="006454D6">
        <w:rPr>
          <w:sz w:val="24"/>
          <w:szCs w:val="24"/>
          <w:lang w:val="hu-HU"/>
        </w:rPr>
        <w:t>, „</w:t>
      </w:r>
      <w:hyperlink r:id="rId3" w:history="1">
        <w:r w:rsidRPr="006454D6">
          <w:rPr>
            <w:sz w:val="24"/>
            <w:szCs w:val="24"/>
          </w:rPr>
          <w:t xml:space="preserve">Human </w:t>
        </w:r>
        <w:proofErr w:type="spellStart"/>
        <w:r w:rsidRPr="006454D6">
          <w:rPr>
            <w:sz w:val="24"/>
            <w:szCs w:val="24"/>
          </w:rPr>
          <w:t>Rights</w:t>
        </w:r>
        <w:proofErr w:type="spellEnd"/>
        <w:r w:rsidRPr="006454D6">
          <w:rPr>
            <w:sz w:val="24"/>
            <w:szCs w:val="24"/>
          </w:rPr>
          <w:t xml:space="preserve"> </w:t>
        </w:r>
        <w:proofErr w:type="spellStart"/>
        <w:r w:rsidRPr="006454D6">
          <w:rPr>
            <w:sz w:val="24"/>
            <w:szCs w:val="24"/>
          </w:rPr>
          <w:t>Defenders</w:t>
        </w:r>
        <w:proofErr w:type="spellEnd"/>
        <w:r w:rsidRPr="006454D6">
          <w:rPr>
            <w:sz w:val="24"/>
            <w:szCs w:val="24"/>
          </w:rPr>
          <w:t xml:space="preserve"> in </w:t>
        </w:r>
        <w:proofErr w:type="spellStart"/>
        <w:r w:rsidRPr="006454D6">
          <w:rPr>
            <w:sz w:val="24"/>
            <w:szCs w:val="24"/>
          </w:rPr>
          <w:t>the</w:t>
        </w:r>
        <w:proofErr w:type="spellEnd"/>
        <w:r w:rsidRPr="006454D6">
          <w:rPr>
            <w:sz w:val="24"/>
            <w:szCs w:val="24"/>
          </w:rPr>
          <w:t xml:space="preserve"> </w:t>
        </w:r>
        <w:proofErr w:type="spellStart"/>
        <w:r w:rsidRPr="006454D6">
          <w:rPr>
            <w:sz w:val="24"/>
            <w:szCs w:val="24"/>
          </w:rPr>
          <w:t>Council</w:t>
        </w:r>
        <w:proofErr w:type="spellEnd"/>
        <w:r w:rsidRPr="006454D6">
          <w:rPr>
            <w:sz w:val="24"/>
            <w:szCs w:val="24"/>
          </w:rPr>
          <w:t xml:space="preserve"> of Europe </w:t>
        </w:r>
        <w:proofErr w:type="spellStart"/>
        <w:r w:rsidRPr="006454D6">
          <w:rPr>
            <w:sz w:val="24"/>
            <w:szCs w:val="24"/>
          </w:rPr>
          <w:t>Area</w:t>
        </w:r>
        <w:proofErr w:type="spellEnd"/>
        <w:r w:rsidRPr="006454D6">
          <w:rPr>
            <w:sz w:val="24"/>
            <w:szCs w:val="24"/>
          </w:rPr>
          <w:t xml:space="preserve"> in Times of </w:t>
        </w:r>
        <w:proofErr w:type="spellStart"/>
        <w:r w:rsidRPr="006454D6">
          <w:rPr>
            <w:sz w:val="24"/>
            <w:szCs w:val="24"/>
          </w:rPr>
          <w:t>Crises</w:t>
        </w:r>
        <w:proofErr w:type="spellEnd"/>
        <w:r w:rsidRPr="006454D6">
          <w:rPr>
            <w:sz w:val="24"/>
            <w:szCs w:val="24"/>
          </w:rPr>
          <w:t>” [Emberijog-védők az Európa Tanács környezetében válság idején]</w:t>
        </w:r>
      </w:hyperlink>
      <w:r w:rsidRPr="006454D6">
        <w:rPr>
          <w:sz w:val="24"/>
          <w:szCs w:val="24"/>
          <w:lang w:val="hu-HU"/>
        </w:rPr>
        <w:t>”, 2023. március 23</w:t>
      </w:r>
      <w:hyperlink r:id="rId4" w:history="1">
        <w:r w:rsidRPr="006454D6">
          <w:rPr>
            <w:sz w:val="24"/>
            <w:szCs w:val="24"/>
          </w:rPr>
          <w:t>.</w:t>
        </w:r>
      </w:hyperlink>
    </w:p>
  </w:footnote>
  <w:footnote w:id="14">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363., 2020.10.28</w:t>
      </w:r>
      <w:proofErr w:type="gramStart"/>
      <w:r w:rsidRPr="002B2649">
        <w:rPr>
          <w:sz w:val="24"/>
          <w:lang w:val="hu-HU"/>
        </w:rPr>
        <w:t>.,</w:t>
      </w:r>
      <w:proofErr w:type="gramEnd"/>
      <w:r w:rsidRPr="002B2649">
        <w:rPr>
          <w:sz w:val="24"/>
          <w:lang w:val="hu-HU"/>
        </w:rPr>
        <w:t xml:space="preserve"> 13. o.</w:t>
      </w:r>
    </w:p>
  </w:footnote>
  <w:footnote w:id="15">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411., 2020.11.27</w:t>
      </w:r>
      <w:proofErr w:type="gramStart"/>
      <w:r w:rsidRPr="002B2649">
        <w:rPr>
          <w:sz w:val="24"/>
          <w:lang w:val="hu-HU"/>
        </w:rPr>
        <w:t>.,</w:t>
      </w:r>
      <w:proofErr w:type="gramEnd"/>
      <w:r w:rsidRPr="002B2649">
        <w:rPr>
          <w:sz w:val="24"/>
          <w:lang w:val="hu-HU"/>
        </w:rPr>
        <w:t xml:space="preserve"> 38. o.</w:t>
      </w:r>
    </w:p>
  </w:footnote>
  <w:footnote w:id="16">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205., 2022.5.20</w:t>
      </w:r>
      <w:proofErr w:type="gramStart"/>
      <w:r w:rsidRPr="002B2649">
        <w:rPr>
          <w:sz w:val="24"/>
          <w:lang w:val="hu-HU"/>
        </w:rPr>
        <w:t>.,</w:t>
      </w:r>
      <w:proofErr w:type="gramEnd"/>
      <w:r w:rsidRPr="002B2649">
        <w:rPr>
          <w:sz w:val="24"/>
          <w:lang w:val="hu-HU"/>
        </w:rPr>
        <w:t xml:space="preserve"> 2. o.</w:t>
      </w:r>
    </w:p>
  </w:footnote>
  <w:footnote w:id="17">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251., 2022.6.30</w:t>
      </w:r>
      <w:proofErr w:type="gramStart"/>
      <w:r w:rsidRPr="002B2649">
        <w:rPr>
          <w:sz w:val="24"/>
          <w:lang w:val="hu-HU"/>
        </w:rPr>
        <w:t>.,</w:t>
      </w:r>
      <w:proofErr w:type="gramEnd"/>
      <w:r w:rsidRPr="002B2649">
        <w:rPr>
          <w:sz w:val="24"/>
          <w:lang w:val="hu-HU"/>
        </w:rPr>
        <w:t xml:space="preserve"> 48. o.</w:t>
      </w:r>
    </w:p>
  </w:footnote>
  <w:footnote w:id="18">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342., 2022.9.6</w:t>
      </w:r>
      <w:proofErr w:type="gramStart"/>
      <w:r w:rsidRPr="002B2649">
        <w:rPr>
          <w:sz w:val="24"/>
          <w:lang w:val="hu-HU"/>
        </w:rPr>
        <w:t>.,</w:t>
      </w:r>
      <w:proofErr w:type="gramEnd"/>
      <w:r w:rsidRPr="002B2649">
        <w:rPr>
          <w:sz w:val="24"/>
          <w:lang w:val="hu-HU"/>
        </w:rPr>
        <w:t xml:space="preserve"> 225. o.</w:t>
      </w:r>
    </w:p>
  </w:footnote>
  <w:footnote w:id="19">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347., 2022.9.9</w:t>
      </w:r>
      <w:proofErr w:type="gramStart"/>
      <w:r w:rsidRPr="002B2649">
        <w:rPr>
          <w:sz w:val="24"/>
          <w:lang w:val="hu-HU"/>
        </w:rPr>
        <w:t>.,</w:t>
      </w:r>
      <w:proofErr w:type="gramEnd"/>
      <w:r w:rsidRPr="002B2649">
        <w:rPr>
          <w:sz w:val="24"/>
          <w:lang w:val="hu-HU"/>
        </w:rPr>
        <w:t xml:space="preserve"> 2. o.</w:t>
      </w:r>
    </w:p>
  </w:footnote>
  <w:footnote w:id="20">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347., 2022.9.9</w:t>
      </w:r>
      <w:proofErr w:type="gramStart"/>
      <w:r w:rsidRPr="002B2649">
        <w:rPr>
          <w:sz w:val="24"/>
          <w:lang w:val="hu-HU"/>
        </w:rPr>
        <w:t>.,</w:t>
      </w:r>
      <w:proofErr w:type="gramEnd"/>
      <w:r w:rsidRPr="002B2649">
        <w:rPr>
          <w:sz w:val="24"/>
          <w:lang w:val="hu-HU"/>
        </w:rPr>
        <w:t xml:space="preserve"> 168. o.</w:t>
      </w:r>
    </w:p>
  </w:footnote>
  <w:footnote w:id="21">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493., 2022.12.27</w:t>
      </w:r>
      <w:proofErr w:type="gramStart"/>
      <w:r w:rsidRPr="002B2649">
        <w:rPr>
          <w:sz w:val="24"/>
          <w:lang w:val="hu-HU"/>
        </w:rPr>
        <w:t>.,</w:t>
      </w:r>
      <w:proofErr w:type="gramEnd"/>
      <w:r w:rsidRPr="002B2649">
        <w:rPr>
          <w:sz w:val="24"/>
          <w:lang w:val="hu-HU"/>
        </w:rPr>
        <w:t xml:space="preserve"> 108. o.</w:t>
      </w:r>
    </w:p>
  </w:footnote>
  <w:footnote w:id="22">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47., 2023.2.7</w:t>
      </w:r>
      <w:proofErr w:type="gramStart"/>
      <w:r w:rsidRPr="002B2649">
        <w:rPr>
          <w:sz w:val="24"/>
          <w:lang w:val="hu-HU"/>
        </w:rPr>
        <w:t>.,</w:t>
      </w:r>
      <w:proofErr w:type="gramEnd"/>
      <w:r w:rsidRPr="002B2649">
        <w:rPr>
          <w:sz w:val="24"/>
          <w:lang w:val="hu-HU"/>
        </w:rPr>
        <w:t> 184. o.</w:t>
      </w:r>
    </w:p>
  </w:footnote>
  <w:footnote w:id="23">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125., 2023.4.5</w:t>
      </w:r>
      <w:proofErr w:type="gramStart"/>
      <w:r w:rsidRPr="002B2649">
        <w:rPr>
          <w:sz w:val="24"/>
          <w:lang w:val="hu-HU"/>
        </w:rPr>
        <w:t>.,</w:t>
      </w:r>
      <w:proofErr w:type="gramEnd"/>
      <w:r w:rsidRPr="002B2649">
        <w:rPr>
          <w:sz w:val="24"/>
          <w:lang w:val="hu-HU"/>
        </w:rPr>
        <w:t> 463. o.</w:t>
      </w:r>
    </w:p>
  </w:footnote>
  <w:footnote w:id="24">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132., 2023.4.14</w:t>
      </w:r>
      <w:proofErr w:type="gramStart"/>
      <w:r w:rsidRPr="002B2649">
        <w:rPr>
          <w:sz w:val="24"/>
          <w:lang w:val="hu-HU"/>
        </w:rPr>
        <w:t>.,</w:t>
      </w:r>
      <w:proofErr w:type="gramEnd"/>
      <w:r w:rsidRPr="002B2649">
        <w:rPr>
          <w:sz w:val="24"/>
          <w:lang w:val="hu-HU"/>
        </w:rPr>
        <w:t> 29. o.</w:t>
      </w:r>
    </w:p>
  </w:footnote>
  <w:footnote w:id="25">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177., 2023.5.17</w:t>
      </w:r>
      <w:proofErr w:type="gramStart"/>
      <w:r w:rsidRPr="002B2649">
        <w:rPr>
          <w:sz w:val="24"/>
          <w:lang w:val="hu-HU"/>
        </w:rPr>
        <w:t>.,</w:t>
      </w:r>
      <w:proofErr w:type="gramEnd"/>
      <w:r w:rsidRPr="002B2649">
        <w:rPr>
          <w:sz w:val="24"/>
          <w:lang w:val="hu-HU"/>
        </w:rPr>
        <w:t> 109. o.</w:t>
      </w:r>
    </w:p>
  </w:footnote>
  <w:footnote w:id="26">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47., 2023.2.7</w:t>
      </w:r>
      <w:proofErr w:type="gramStart"/>
      <w:r w:rsidRPr="002B2649">
        <w:rPr>
          <w:sz w:val="24"/>
          <w:lang w:val="hu-HU"/>
        </w:rPr>
        <w:t>.,</w:t>
      </w:r>
      <w:proofErr w:type="gramEnd"/>
      <w:r w:rsidRPr="002B2649">
        <w:rPr>
          <w:sz w:val="24"/>
          <w:lang w:val="hu-HU"/>
        </w:rPr>
        <w:t> 268. o.</w:t>
      </w:r>
    </w:p>
  </w:footnote>
  <w:footnote w:id="27">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465., 2022.12.6</w:t>
      </w:r>
      <w:proofErr w:type="gramStart"/>
      <w:r w:rsidRPr="002B2649">
        <w:rPr>
          <w:sz w:val="24"/>
          <w:lang w:val="hu-HU"/>
        </w:rPr>
        <w:t>.,</w:t>
      </w:r>
      <w:proofErr w:type="gramEnd"/>
      <w:r w:rsidRPr="002B2649">
        <w:rPr>
          <w:sz w:val="24"/>
          <w:lang w:val="hu-HU"/>
        </w:rPr>
        <w:t xml:space="preserve"> 33. o.</w:t>
      </w:r>
    </w:p>
  </w:footnote>
  <w:footnote w:id="28">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465., 2022.12.6</w:t>
      </w:r>
      <w:proofErr w:type="gramStart"/>
      <w:r w:rsidRPr="002B2649">
        <w:rPr>
          <w:sz w:val="24"/>
          <w:lang w:val="hu-HU"/>
        </w:rPr>
        <w:t>.,</w:t>
      </w:r>
      <w:proofErr w:type="gramEnd"/>
      <w:r w:rsidRPr="002B2649">
        <w:rPr>
          <w:sz w:val="24"/>
          <w:lang w:val="hu-HU"/>
        </w:rPr>
        <w:t xml:space="preserve"> 147. o.</w:t>
      </w:r>
    </w:p>
  </w:footnote>
  <w:footnote w:id="29">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L 45., 2023.2.14</w:t>
      </w:r>
      <w:proofErr w:type="gramStart"/>
      <w:r w:rsidRPr="002B2649">
        <w:rPr>
          <w:sz w:val="24"/>
          <w:lang w:val="hu-HU"/>
        </w:rPr>
        <w:t>.,</w:t>
      </w:r>
      <w:proofErr w:type="gramEnd"/>
      <w:r w:rsidRPr="002B2649">
        <w:rPr>
          <w:sz w:val="24"/>
          <w:lang w:val="hu-HU"/>
        </w:rPr>
        <w:t xml:space="preserve"> 13. o.</w:t>
      </w:r>
      <w:r w:rsidRPr="002B2649">
        <w:rPr>
          <w:b/>
          <w:i/>
          <w:sz w:val="24"/>
          <w:lang w:val="hu-HU"/>
        </w:rPr>
        <w:t xml:space="preserve"> </w:t>
      </w:r>
    </w:p>
  </w:footnote>
  <w:footnote w:id="30">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149., 2023.4.28</w:t>
      </w:r>
      <w:proofErr w:type="gramStart"/>
      <w:r w:rsidRPr="002B2649">
        <w:rPr>
          <w:sz w:val="24"/>
          <w:lang w:val="hu-HU"/>
        </w:rPr>
        <w:t>.,</w:t>
      </w:r>
      <w:proofErr w:type="gramEnd"/>
      <w:r w:rsidRPr="002B2649">
        <w:rPr>
          <w:sz w:val="24"/>
          <w:lang w:val="hu-HU"/>
        </w:rPr>
        <w:t> 22. o.</w:t>
      </w:r>
      <w:r w:rsidRPr="002B2649">
        <w:rPr>
          <w:b/>
          <w:i/>
          <w:sz w:val="24"/>
          <w:lang w:val="hu-HU"/>
        </w:rPr>
        <w:t xml:space="preserve"> </w:t>
      </w:r>
    </w:p>
  </w:footnote>
  <w:footnote w:id="31">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161., 2023.5.5</w:t>
      </w:r>
      <w:proofErr w:type="gramStart"/>
      <w:r w:rsidRPr="002B2649">
        <w:rPr>
          <w:sz w:val="24"/>
          <w:lang w:val="hu-HU"/>
        </w:rPr>
        <w:t>.,</w:t>
      </w:r>
      <w:proofErr w:type="gramEnd"/>
      <w:r w:rsidRPr="002B2649">
        <w:rPr>
          <w:sz w:val="24"/>
          <w:lang w:val="hu-HU"/>
        </w:rPr>
        <w:t> 10. o.</w:t>
      </w:r>
    </w:p>
  </w:footnote>
  <w:footnote w:id="32">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HL C 177., 2023.5.17</w:t>
      </w:r>
      <w:proofErr w:type="gramStart"/>
      <w:r w:rsidRPr="002B2649">
        <w:rPr>
          <w:sz w:val="24"/>
          <w:lang w:val="hu-HU"/>
        </w:rPr>
        <w:t>.,</w:t>
      </w:r>
      <w:proofErr w:type="gramEnd"/>
      <w:r w:rsidRPr="002B2649">
        <w:rPr>
          <w:sz w:val="24"/>
          <w:lang w:val="hu-HU"/>
        </w:rPr>
        <w:t> 13. o.</w:t>
      </w:r>
      <w:r w:rsidRPr="002B2649">
        <w:rPr>
          <w:b/>
          <w:i/>
          <w:sz w:val="24"/>
          <w:lang w:val="hu-HU"/>
        </w:rPr>
        <w:t xml:space="preserve"> </w:t>
      </w:r>
    </w:p>
  </w:footnote>
  <w:footnote w:id="33">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00B94656">
        <w:rPr>
          <w:sz w:val="24"/>
          <w:lang w:val="hu-HU"/>
        </w:rPr>
        <w:t xml:space="preserve">Elfogadott szövegek, </w:t>
      </w:r>
      <w:r w:rsidRPr="002B2649">
        <w:rPr>
          <w:sz w:val="24"/>
          <w:lang w:val="hu-HU"/>
        </w:rPr>
        <w:t>P9_</w:t>
      </w:r>
      <w:proofErr w:type="gramStart"/>
      <w:r w:rsidRPr="002B2649">
        <w:rPr>
          <w:sz w:val="24"/>
          <w:lang w:val="hu-HU"/>
        </w:rPr>
        <w:t>TA(</w:t>
      </w:r>
      <w:proofErr w:type="gramEnd"/>
      <w:r w:rsidRPr="002B2649">
        <w:rPr>
          <w:sz w:val="24"/>
          <w:lang w:val="hu-HU"/>
        </w:rPr>
        <w:t>2023)0111.</w:t>
      </w:r>
    </w:p>
  </w:footnote>
  <w:footnote w:id="34">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Elfogadott szövegek, P9_</w:t>
      </w:r>
      <w:proofErr w:type="gramStart"/>
      <w:r w:rsidRPr="002B2649">
        <w:rPr>
          <w:sz w:val="24"/>
          <w:lang w:val="hu-HU"/>
        </w:rPr>
        <w:t>TA(</w:t>
      </w:r>
      <w:proofErr w:type="gramEnd"/>
      <w:r w:rsidRPr="002B2649">
        <w:rPr>
          <w:sz w:val="24"/>
          <w:lang w:val="hu-HU"/>
        </w:rPr>
        <w:t>2023)0196.</w:t>
      </w:r>
    </w:p>
  </w:footnote>
  <w:footnote w:id="35">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Elfogadott szövegek, P9_</w:t>
      </w:r>
      <w:proofErr w:type="gramStart"/>
      <w:r w:rsidRPr="002B2649">
        <w:rPr>
          <w:sz w:val="24"/>
          <w:lang w:val="hu-HU"/>
        </w:rPr>
        <w:t>TA(</w:t>
      </w:r>
      <w:proofErr w:type="gramEnd"/>
      <w:r w:rsidRPr="002B2649">
        <w:rPr>
          <w:sz w:val="24"/>
          <w:lang w:val="hu-HU"/>
        </w:rPr>
        <w:t>2023)0204.</w:t>
      </w:r>
    </w:p>
  </w:footnote>
  <w:footnote w:id="36">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Elfogadott szövegek, P9_</w:t>
      </w:r>
      <w:proofErr w:type="gramStart"/>
      <w:r w:rsidRPr="002B2649">
        <w:rPr>
          <w:sz w:val="24"/>
          <w:lang w:val="hu-HU"/>
        </w:rPr>
        <w:t>TA(</w:t>
      </w:r>
      <w:proofErr w:type="gramEnd"/>
      <w:r w:rsidRPr="002B2649">
        <w:rPr>
          <w:sz w:val="24"/>
          <w:lang w:val="hu-HU"/>
        </w:rPr>
        <w:t>2023)0216.</w:t>
      </w:r>
    </w:p>
  </w:footnote>
  <w:footnote w:id="37">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Elfogadott szövegek, P9_</w:t>
      </w:r>
      <w:proofErr w:type="gramStart"/>
      <w:r w:rsidRPr="002B2649">
        <w:rPr>
          <w:sz w:val="24"/>
          <w:lang w:val="hu-HU"/>
        </w:rPr>
        <w:t>TA(</w:t>
      </w:r>
      <w:proofErr w:type="gramEnd"/>
      <w:r w:rsidRPr="002B2649">
        <w:rPr>
          <w:sz w:val="24"/>
          <w:lang w:val="hu-HU"/>
        </w:rPr>
        <w:t>2023)0295.</w:t>
      </w:r>
    </w:p>
  </w:footnote>
  <w:footnote w:id="38">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Elfogadott szövegek, P9_</w:t>
      </w:r>
      <w:proofErr w:type="gramStart"/>
      <w:r w:rsidRPr="002B2649">
        <w:rPr>
          <w:sz w:val="24"/>
          <w:lang w:val="hu-HU"/>
        </w:rPr>
        <w:t>TA(</w:t>
      </w:r>
      <w:proofErr w:type="gramEnd"/>
      <w:r w:rsidRPr="002B2649">
        <w:rPr>
          <w:sz w:val="24"/>
          <w:lang w:val="hu-HU"/>
        </w:rPr>
        <w:t>2023)0342.</w:t>
      </w:r>
    </w:p>
  </w:footnote>
  <w:footnote w:id="39">
    <w:p w:rsidR="00B077ED" w:rsidRPr="006454D6" w:rsidRDefault="00B077ED" w:rsidP="002B2649">
      <w:pPr>
        <w:pStyle w:val="FootnoteText"/>
        <w:ind w:left="567" w:hanging="567"/>
        <w:rPr>
          <w:sz w:val="24"/>
          <w:lang w:val="hu-HU"/>
        </w:rPr>
      </w:pPr>
      <w:r w:rsidRPr="002B2649">
        <w:rPr>
          <w:rStyle w:val="FootnoteReference"/>
          <w:sz w:val="24"/>
          <w:lang w:val="hu-HU"/>
        </w:rPr>
        <w:footnoteRef/>
      </w:r>
      <w:r w:rsidR="002B2649" w:rsidRPr="002B2649">
        <w:rPr>
          <w:i/>
          <w:sz w:val="24"/>
          <w:lang w:val="hu-HU"/>
        </w:rPr>
        <w:t xml:space="preserve"> </w:t>
      </w:r>
      <w:r w:rsidR="002B2649" w:rsidRPr="002B2649">
        <w:rPr>
          <w:i/>
          <w:sz w:val="24"/>
          <w:lang w:val="hu-HU"/>
        </w:rPr>
        <w:tab/>
      </w:r>
      <w:r w:rsidRPr="006454D6">
        <w:rPr>
          <w:sz w:val="24"/>
          <w:lang w:val="hu-HU"/>
        </w:rPr>
        <w:t>Európai Bizottság kontra Magyarország (Az egyesületek átláthatósága), C-78/18 sz. ügy, ECLI</w:t>
      </w:r>
      <w:proofErr w:type="gramStart"/>
      <w:r w:rsidRPr="006454D6">
        <w:rPr>
          <w:sz w:val="24"/>
          <w:lang w:val="hu-HU"/>
        </w:rPr>
        <w:t>:EU</w:t>
      </w:r>
      <w:proofErr w:type="gramEnd"/>
      <w:r w:rsidRPr="006454D6">
        <w:rPr>
          <w:sz w:val="24"/>
          <w:lang w:val="hu-HU"/>
        </w:rPr>
        <w:t>:C:2020:476.</w:t>
      </w:r>
    </w:p>
  </w:footnote>
  <w:footnote w:id="40">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 xml:space="preserve">A tengeren bajba jutott személyeknek való segítségnyújtás az uniós országok jogi kötelezettsége, amelyet a nemzetközi szokásjog és a nemzetközi egyezmények (az „Életbiztonság a tengeren” tárgyú nemzetközi egyezmény – 1974. évi SOLAS-egyezmény; az Egyesült Nemzetek Tengerjogi Egyezménye – UNCLOS, 1982; </w:t>
      </w:r>
      <w:proofErr w:type="gramStart"/>
      <w:r w:rsidRPr="002B2649">
        <w:rPr>
          <w:sz w:val="24"/>
          <w:lang w:val="hu-HU"/>
        </w:rPr>
        <w:t>A</w:t>
      </w:r>
      <w:proofErr w:type="gramEnd"/>
      <w:r w:rsidRPr="002B2649">
        <w:rPr>
          <w:sz w:val="24"/>
          <w:lang w:val="hu-HU"/>
        </w:rPr>
        <w:t xml:space="preserve"> tengeri felkutatásról és mentésről szóló 1979. évi nemzetközi egyezmény – SAR-egyezmény, 1979), valamint az uniós jog állapítanak meg.</w:t>
      </w:r>
    </w:p>
  </w:footnote>
  <w:footnote w:id="41">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A Bíróság ítél</w:t>
      </w:r>
      <w:r w:rsidRPr="006454D6">
        <w:rPr>
          <w:sz w:val="24"/>
          <w:lang w:val="hu-HU"/>
        </w:rPr>
        <w:t>ete (második tanács), 2022. október 6</w:t>
      </w:r>
      <w:proofErr w:type="gramStart"/>
      <w:r w:rsidRPr="006454D6">
        <w:rPr>
          <w:sz w:val="24"/>
          <w:lang w:val="hu-HU"/>
        </w:rPr>
        <w:t>.,</w:t>
      </w:r>
      <w:proofErr w:type="gramEnd"/>
      <w:r w:rsidRPr="006454D6">
        <w:rPr>
          <w:sz w:val="24"/>
          <w:lang w:val="hu-HU"/>
        </w:rPr>
        <w:t xml:space="preserve"> I. L. kontra </w:t>
      </w:r>
      <w:proofErr w:type="spellStart"/>
      <w:r w:rsidRPr="006454D6">
        <w:rPr>
          <w:sz w:val="24"/>
          <w:lang w:val="hu-HU"/>
        </w:rPr>
        <w:t>Politsei</w:t>
      </w:r>
      <w:proofErr w:type="spellEnd"/>
      <w:r w:rsidRPr="006454D6">
        <w:rPr>
          <w:sz w:val="24"/>
          <w:lang w:val="hu-HU"/>
        </w:rPr>
        <w:t xml:space="preserve">- ja </w:t>
      </w:r>
      <w:proofErr w:type="spellStart"/>
      <w:r w:rsidRPr="006454D6">
        <w:rPr>
          <w:sz w:val="24"/>
          <w:lang w:val="hu-HU"/>
        </w:rPr>
        <w:t>Piirivalveamet</w:t>
      </w:r>
      <w:proofErr w:type="spellEnd"/>
      <w:r w:rsidRPr="006454D6">
        <w:rPr>
          <w:sz w:val="24"/>
          <w:lang w:val="hu-HU"/>
        </w:rPr>
        <w:t xml:space="preserve">, C-241/21. sz. </w:t>
      </w:r>
      <w:r w:rsidRPr="002B2649">
        <w:rPr>
          <w:sz w:val="24"/>
          <w:lang w:val="hu-HU"/>
        </w:rPr>
        <w:t>ügy, ECLI:EU:C:2022:753.</w:t>
      </w:r>
    </w:p>
  </w:footnote>
  <w:footnote w:id="42">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Az Európai Unió Alapjogi Ügynöksége, 2023. évi alapjogi jelentés (2023. június 8.), 148. o.</w:t>
      </w:r>
    </w:p>
  </w:footnote>
  <w:footnote w:id="43">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Az Európai Unió Alapjogi Ügynöksége, 2023. évi alapjogi jelentés (2023. június 8.), 148. o.</w:t>
      </w:r>
    </w:p>
  </w:footnote>
  <w:footnote w:id="44">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A „romani személyek</w:t>
      </w:r>
      <w:proofErr w:type="gramStart"/>
      <w:r w:rsidRPr="002B2649">
        <w:rPr>
          <w:sz w:val="24"/>
          <w:lang w:val="hu-HU"/>
        </w:rPr>
        <w:t>” kifejezés</w:t>
      </w:r>
      <w:proofErr w:type="gramEnd"/>
      <w:r w:rsidRPr="002B2649">
        <w:rPr>
          <w:sz w:val="24"/>
          <w:lang w:val="hu-HU"/>
        </w:rPr>
        <w:t xml:space="preserve"> különböző csoportokat foglal magában, ilyenek a roma, káló, </w:t>
      </w:r>
      <w:proofErr w:type="spellStart"/>
      <w:r w:rsidRPr="002B2649">
        <w:rPr>
          <w:sz w:val="24"/>
          <w:lang w:val="hu-HU"/>
        </w:rPr>
        <w:t>mánus</w:t>
      </w:r>
      <w:proofErr w:type="spellEnd"/>
      <w:r w:rsidRPr="002B2649">
        <w:rPr>
          <w:sz w:val="24"/>
          <w:lang w:val="hu-HU"/>
        </w:rPr>
        <w:t xml:space="preserve">, </w:t>
      </w:r>
      <w:proofErr w:type="spellStart"/>
      <w:r w:rsidRPr="002B2649">
        <w:rPr>
          <w:sz w:val="24"/>
          <w:lang w:val="hu-HU"/>
        </w:rPr>
        <w:t>askáli</w:t>
      </w:r>
      <w:proofErr w:type="spellEnd"/>
      <w:r w:rsidRPr="002B2649">
        <w:rPr>
          <w:sz w:val="24"/>
          <w:lang w:val="hu-HU"/>
        </w:rPr>
        <w:t xml:space="preserve">, vándorló, </w:t>
      </w:r>
      <w:proofErr w:type="spellStart"/>
      <w:r w:rsidRPr="002B2649">
        <w:rPr>
          <w:sz w:val="24"/>
          <w:lang w:val="hu-HU"/>
        </w:rPr>
        <w:t>lovári</w:t>
      </w:r>
      <w:proofErr w:type="spellEnd"/>
      <w:r w:rsidRPr="002B2649">
        <w:rPr>
          <w:sz w:val="24"/>
          <w:lang w:val="hu-HU"/>
        </w:rPr>
        <w:t xml:space="preserve">, </w:t>
      </w:r>
      <w:proofErr w:type="spellStart"/>
      <w:r w:rsidRPr="002B2649">
        <w:rPr>
          <w:sz w:val="24"/>
          <w:lang w:val="hu-HU"/>
        </w:rPr>
        <w:t>rissende</w:t>
      </w:r>
      <w:proofErr w:type="spellEnd"/>
      <w:r w:rsidRPr="002B2649">
        <w:rPr>
          <w:sz w:val="24"/>
          <w:lang w:val="hu-HU"/>
        </w:rPr>
        <w:t xml:space="preserve">, beás, </w:t>
      </w:r>
      <w:proofErr w:type="spellStart"/>
      <w:r w:rsidRPr="002B2649">
        <w:rPr>
          <w:sz w:val="24"/>
          <w:lang w:val="hu-HU"/>
        </w:rPr>
        <w:t>domari</w:t>
      </w:r>
      <w:proofErr w:type="spellEnd"/>
      <w:r w:rsidRPr="002B2649">
        <w:rPr>
          <w:sz w:val="24"/>
          <w:lang w:val="hu-HU"/>
        </w:rPr>
        <w:t xml:space="preserve">, kalderás, </w:t>
      </w:r>
      <w:proofErr w:type="spellStart"/>
      <w:r w:rsidRPr="002B2649">
        <w:rPr>
          <w:sz w:val="24"/>
          <w:lang w:val="hu-HU"/>
        </w:rPr>
        <w:t>romnicsel</w:t>
      </w:r>
      <w:proofErr w:type="spellEnd"/>
      <w:r w:rsidRPr="002B2649">
        <w:rPr>
          <w:sz w:val="24"/>
          <w:lang w:val="hu-HU"/>
        </w:rPr>
        <w:t xml:space="preserve"> és </w:t>
      </w:r>
      <w:proofErr w:type="spellStart"/>
      <w:r w:rsidRPr="002B2649">
        <w:rPr>
          <w:sz w:val="24"/>
          <w:lang w:val="hu-HU"/>
        </w:rPr>
        <w:t>szintó</w:t>
      </w:r>
      <w:proofErr w:type="spellEnd"/>
      <w:r w:rsidRPr="002B2649">
        <w:rPr>
          <w:sz w:val="24"/>
          <w:lang w:val="hu-HU"/>
        </w:rPr>
        <w:t xml:space="preserve"> csoportok. Nincs általánosan elfogadott terminológia, egyes közösségek a „roma emberek” kifejezést részesítik előnyben.</w:t>
      </w:r>
    </w:p>
  </w:footnote>
  <w:footnote w:id="45">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Rövid tájékoztató: „</w:t>
      </w:r>
      <w:proofErr w:type="spellStart"/>
      <w:r w:rsidRPr="002B2649">
        <w:rPr>
          <w:sz w:val="24"/>
          <w:lang w:val="hu-HU"/>
        </w:rPr>
        <w:t>Combating</w:t>
      </w:r>
      <w:proofErr w:type="spellEnd"/>
      <w:r w:rsidRPr="002B2649">
        <w:rPr>
          <w:sz w:val="24"/>
          <w:lang w:val="hu-HU"/>
        </w:rPr>
        <w:t xml:space="preserve"> </w:t>
      </w:r>
      <w:proofErr w:type="spellStart"/>
      <w:r w:rsidRPr="002B2649">
        <w:rPr>
          <w:sz w:val="24"/>
          <w:lang w:val="hu-HU"/>
        </w:rPr>
        <w:t>hate</w:t>
      </w:r>
      <w:proofErr w:type="spellEnd"/>
      <w:r w:rsidRPr="002B2649">
        <w:rPr>
          <w:sz w:val="24"/>
          <w:lang w:val="hu-HU"/>
        </w:rPr>
        <w:t xml:space="preserve"> </w:t>
      </w:r>
      <w:proofErr w:type="spellStart"/>
      <w:r w:rsidRPr="002B2649">
        <w:rPr>
          <w:sz w:val="24"/>
          <w:lang w:val="hu-HU"/>
        </w:rPr>
        <w:t>speech</w:t>
      </w:r>
      <w:proofErr w:type="spellEnd"/>
      <w:r w:rsidRPr="002B2649">
        <w:rPr>
          <w:sz w:val="24"/>
          <w:lang w:val="hu-HU"/>
        </w:rPr>
        <w:t xml:space="preserve"> and </w:t>
      </w:r>
      <w:proofErr w:type="spellStart"/>
      <w:r w:rsidRPr="002B2649">
        <w:rPr>
          <w:sz w:val="24"/>
          <w:lang w:val="hu-HU"/>
        </w:rPr>
        <w:t>hate</w:t>
      </w:r>
      <w:proofErr w:type="spellEnd"/>
      <w:r w:rsidRPr="002B2649">
        <w:rPr>
          <w:sz w:val="24"/>
          <w:lang w:val="hu-HU"/>
        </w:rPr>
        <w:t xml:space="preserve"> </w:t>
      </w:r>
      <w:proofErr w:type="spellStart"/>
      <w:r w:rsidRPr="002B2649">
        <w:rPr>
          <w:sz w:val="24"/>
          <w:lang w:val="hu-HU"/>
        </w:rPr>
        <w:t>crime</w:t>
      </w:r>
      <w:proofErr w:type="spellEnd"/>
      <w:r w:rsidRPr="002B2649">
        <w:rPr>
          <w:sz w:val="24"/>
          <w:lang w:val="hu-HU"/>
        </w:rPr>
        <w:t xml:space="preserve"> in </w:t>
      </w:r>
      <w:proofErr w:type="spellStart"/>
      <w:r w:rsidRPr="002B2649">
        <w:rPr>
          <w:sz w:val="24"/>
          <w:lang w:val="hu-HU"/>
        </w:rPr>
        <w:t>the</w:t>
      </w:r>
      <w:proofErr w:type="spellEnd"/>
      <w:r w:rsidRPr="002B2649">
        <w:rPr>
          <w:sz w:val="24"/>
          <w:lang w:val="hu-HU"/>
        </w:rPr>
        <w:t xml:space="preserve"> EU” [</w:t>
      </w:r>
      <w:proofErr w:type="gramStart"/>
      <w:r w:rsidRPr="002B2649">
        <w:rPr>
          <w:sz w:val="24"/>
          <w:lang w:val="hu-HU"/>
        </w:rPr>
        <w:t>A</w:t>
      </w:r>
      <w:proofErr w:type="gramEnd"/>
      <w:r w:rsidRPr="002B2649">
        <w:rPr>
          <w:sz w:val="24"/>
          <w:lang w:val="hu-HU"/>
        </w:rPr>
        <w:t xml:space="preserve"> gyűlöletbeszéd és a gyűlölet-bűncselekmények elleni küzdelem az EU-ban], az Európai Parlament Kutatószolgálata, 2022. június.</w:t>
      </w:r>
    </w:p>
  </w:footnote>
  <w:footnote w:id="46">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Európai ombudsman</w:t>
      </w:r>
      <w:r w:rsidRPr="006454D6">
        <w:rPr>
          <w:sz w:val="24"/>
          <w:szCs w:val="24"/>
          <w:lang w:val="hu-HU"/>
        </w:rPr>
        <w:t>, „</w:t>
      </w:r>
      <w:hyperlink r:id="rId5" w:history="1">
        <w:proofErr w:type="gramStart"/>
        <w:r w:rsidRPr="006454D6">
          <w:rPr>
            <w:sz w:val="24"/>
            <w:szCs w:val="24"/>
          </w:rPr>
          <w:t>A</w:t>
        </w:r>
        <w:proofErr w:type="gramEnd"/>
        <w:r w:rsidRPr="006454D6">
          <w:rPr>
            <w:sz w:val="24"/>
            <w:szCs w:val="24"/>
          </w:rPr>
          <w:t xml:space="preserve"> Bizottság elnöke és egy gyógyszeripari vállalat vezérigazgatója között egy Covid19 elleni oltóanyag beszerzésével kapcsolatban váltott szöveges üzenetekhez való nyilvános hozzáférés biztosításának az Európai Bizottság általi megtagadására (1316/2021/MIG ügy) vonatkozó ajánlás</w:t>
        </w:r>
      </w:hyperlink>
      <w:r w:rsidRPr="002B2649">
        <w:rPr>
          <w:sz w:val="24"/>
          <w:lang w:val="hu-HU"/>
        </w:rPr>
        <w:t>”.</w:t>
      </w:r>
    </w:p>
  </w:footnote>
  <w:footnote w:id="47">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Az Európai Parlament és a Tanács (EU) 2019/1937 irányelve (2019. október 23.) az uniós jog megsértését bejelentő személyek védelméről (HL L 305., 2019.11.26</w:t>
      </w:r>
      <w:proofErr w:type="gramStart"/>
      <w:r w:rsidRPr="002B2649">
        <w:rPr>
          <w:sz w:val="24"/>
          <w:lang w:val="hu-HU"/>
        </w:rPr>
        <w:t>.,</w:t>
      </w:r>
      <w:proofErr w:type="gramEnd"/>
      <w:r w:rsidRPr="002B2649">
        <w:rPr>
          <w:sz w:val="24"/>
          <w:lang w:val="hu-HU"/>
        </w:rPr>
        <w:t xml:space="preserve"> 17. o.).</w:t>
      </w:r>
    </w:p>
  </w:footnote>
  <w:footnote w:id="48">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A Tanács 2001/55/EK irányelve (2001. július 20.) a lakóhelyüket elhagyni kényszerült személyek tömeges beáramlása esetén nyújtandó átmeneti védelem minimumkövetelményeiről, valamint a tagállamok e személyek befogadása és a befogadás következményeinek viselése tekintetében tett erőfeszítései közötti egyensúly előmozdítására irányuló intézkedésekről (HL L 212., 2001.8.7</w:t>
      </w:r>
      <w:proofErr w:type="gramStart"/>
      <w:r w:rsidRPr="002B2649">
        <w:rPr>
          <w:sz w:val="24"/>
          <w:lang w:val="hu-HU"/>
        </w:rPr>
        <w:t>.,</w:t>
      </w:r>
      <w:proofErr w:type="gramEnd"/>
      <w:r w:rsidRPr="002B2649">
        <w:rPr>
          <w:sz w:val="24"/>
          <w:lang w:val="hu-HU"/>
        </w:rPr>
        <w:t xml:space="preserve"> 12. o.).</w:t>
      </w:r>
    </w:p>
  </w:footnote>
  <w:footnote w:id="49">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Európa Tanács,</w:t>
      </w:r>
      <w:bookmarkStart w:id="8" w:name="_GoBack"/>
      <w:r w:rsidRPr="006454D6">
        <w:rPr>
          <w:sz w:val="24"/>
          <w:szCs w:val="24"/>
          <w:lang w:val="hu-HU"/>
        </w:rPr>
        <w:t xml:space="preserve"> „</w:t>
      </w:r>
      <w:hyperlink r:id="rId6" w:history="1">
        <w:proofErr w:type="gramStart"/>
        <w:r w:rsidRPr="006454D6">
          <w:rPr>
            <w:sz w:val="24"/>
            <w:szCs w:val="24"/>
          </w:rPr>
          <w:t>A</w:t>
        </w:r>
        <w:proofErr w:type="gramEnd"/>
        <w:r w:rsidRPr="006454D6">
          <w:rPr>
            <w:sz w:val="24"/>
            <w:szCs w:val="24"/>
          </w:rPr>
          <w:t xml:space="preserve"> Miniszteri Bizottság CM/</w:t>
        </w:r>
        <w:proofErr w:type="spellStart"/>
        <w:r w:rsidRPr="006454D6">
          <w:rPr>
            <w:sz w:val="24"/>
            <w:szCs w:val="24"/>
          </w:rPr>
          <w:t>Rec</w:t>
        </w:r>
        <w:proofErr w:type="spellEnd"/>
        <w:r w:rsidRPr="006454D6">
          <w:rPr>
            <w:sz w:val="24"/>
            <w:szCs w:val="24"/>
          </w:rPr>
          <w:t>(2022)17 ajánlása a migráns, menekült és menedékkérő nők és lányok jogainak védelméről</w:t>
        </w:r>
      </w:hyperlink>
      <w:r w:rsidRPr="006454D6">
        <w:rPr>
          <w:sz w:val="24"/>
          <w:szCs w:val="24"/>
          <w:lang w:val="hu-HU"/>
        </w:rPr>
        <w:t xml:space="preserve">”, </w:t>
      </w:r>
      <w:r w:rsidR="00C50567" w:rsidRPr="006454D6">
        <w:rPr>
          <w:sz w:val="24"/>
          <w:szCs w:val="24"/>
          <w:lang w:val="hu-HU"/>
        </w:rPr>
        <w:t>2</w:t>
      </w:r>
      <w:r w:rsidRPr="006454D6">
        <w:rPr>
          <w:sz w:val="24"/>
          <w:szCs w:val="24"/>
          <w:lang w:val="hu-HU"/>
        </w:rPr>
        <w:t>0</w:t>
      </w:r>
      <w:bookmarkEnd w:id="8"/>
      <w:r w:rsidRPr="002B2649">
        <w:rPr>
          <w:sz w:val="24"/>
          <w:lang w:val="hu-HU"/>
        </w:rPr>
        <w:t>22.</w:t>
      </w:r>
      <w:r w:rsidR="00C50567">
        <w:rPr>
          <w:sz w:val="24"/>
          <w:lang w:val="hu-HU"/>
        </w:rPr>
        <w:t xml:space="preserve"> május 20.</w:t>
      </w:r>
    </w:p>
  </w:footnote>
  <w:footnote w:id="50">
    <w:p w:rsidR="00B077ED" w:rsidRPr="002B2649" w:rsidRDefault="00B077ED" w:rsidP="002B2649">
      <w:pPr>
        <w:pStyle w:val="FootnoteText"/>
        <w:ind w:left="567" w:hanging="567"/>
        <w:rPr>
          <w:sz w:val="24"/>
          <w:lang w:val="hu-HU"/>
        </w:rPr>
      </w:pPr>
      <w:r w:rsidRPr="002B2649">
        <w:rPr>
          <w:rStyle w:val="FootnoteReference"/>
          <w:sz w:val="24"/>
          <w:lang w:val="hu-HU"/>
        </w:rPr>
        <w:footnoteRef/>
      </w:r>
      <w:r w:rsidR="002B2649" w:rsidRPr="002B2649">
        <w:rPr>
          <w:sz w:val="24"/>
          <w:lang w:val="hu-HU"/>
        </w:rPr>
        <w:t xml:space="preserve"> </w:t>
      </w:r>
      <w:r w:rsidR="002B2649" w:rsidRPr="002B2649">
        <w:rPr>
          <w:sz w:val="24"/>
          <w:lang w:val="hu-HU"/>
        </w:rPr>
        <w:tab/>
      </w:r>
      <w:r w:rsidRPr="002B2649">
        <w:rPr>
          <w:sz w:val="24"/>
          <w:lang w:val="hu-HU"/>
        </w:rPr>
        <w:t xml:space="preserve">A Tanács ajánlása (2023. január 30.) az </w:t>
      </w:r>
      <w:proofErr w:type="gramStart"/>
      <w:r w:rsidRPr="002B2649">
        <w:rPr>
          <w:sz w:val="24"/>
          <w:lang w:val="hu-HU"/>
        </w:rPr>
        <w:t>aktív</w:t>
      </w:r>
      <w:proofErr w:type="gramEnd"/>
      <w:r w:rsidRPr="002B2649">
        <w:rPr>
          <w:sz w:val="24"/>
          <w:lang w:val="hu-HU"/>
        </w:rPr>
        <w:t xml:space="preserve"> befogadást biztosító megfelelő minimumjövedelemről (HL C 41., 2023.2.3., 1. 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4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4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264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76/2023"/>
    <w:docVar w:name="dvlangue" w:val="HU"/>
    <w:docVar w:name="dvnumam" w:val="0"/>
    <w:docVar w:name="dvpe" w:val="749.923"/>
    <w:docVar w:name="dvrapporteur" w:val="Előadó: "/>
    <w:docVar w:name="dvtitre" w:val="Az Európai Parlament 2024.  ...-i állásfoglalása az alapvető jogok helyzetéről az Európai Unióban – a 2022 és 2023 közötti időszakra vonatkozó éves jelentés(2023/2028(INI))"/>
  </w:docVars>
  <w:rsids>
    <w:rsidRoot w:val="00D027BF"/>
    <w:rsid w:val="00002272"/>
    <w:rsid w:val="00064002"/>
    <w:rsid w:val="000677B9"/>
    <w:rsid w:val="000831BA"/>
    <w:rsid w:val="000A42CC"/>
    <w:rsid w:val="000E7DD9"/>
    <w:rsid w:val="0010095E"/>
    <w:rsid w:val="00125B37"/>
    <w:rsid w:val="00187494"/>
    <w:rsid w:val="001F32AE"/>
    <w:rsid w:val="002767FF"/>
    <w:rsid w:val="002B18FE"/>
    <w:rsid w:val="002B2649"/>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54D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AEB"/>
    <w:rsid w:val="00930C23"/>
    <w:rsid w:val="0093193B"/>
    <w:rsid w:val="009440ED"/>
    <w:rsid w:val="009509D8"/>
    <w:rsid w:val="00950B64"/>
    <w:rsid w:val="00981893"/>
    <w:rsid w:val="00A1687D"/>
    <w:rsid w:val="00A43E52"/>
    <w:rsid w:val="00A4678D"/>
    <w:rsid w:val="00A778C7"/>
    <w:rsid w:val="00AA2C7A"/>
    <w:rsid w:val="00AB441E"/>
    <w:rsid w:val="00AB6293"/>
    <w:rsid w:val="00AE0928"/>
    <w:rsid w:val="00AF3B82"/>
    <w:rsid w:val="00B077ED"/>
    <w:rsid w:val="00B12E95"/>
    <w:rsid w:val="00B22876"/>
    <w:rsid w:val="00B558F0"/>
    <w:rsid w:val="00B94656"/>
    <w:rsid w:val="00BD48FE"/>
    <w:rsid w:val="00BD7BD8"/>
    <w:rsid w:val="00BE6ADC"/>
    <w:rsid w:val="00C05BFE"/>
    <w:rsid w:val="00C23CD4"/>
    <w:rsid w:val="00C50567"/>
    <w:rsid w:val="00C61C0C"/>
    <w:rsid w:val="00C941CB"/>
    <w:rsid w:val="00CC2357"/>
    <w:rsid w:val="00CF071A"/>
    <w:rsid w:val="00D027BF"/>
    <w:rsid w:val="00D058B8"/>
    <w:rsid w:val="00D56C11"/>
    <w:rsid w:val="00D834A0"/>
    <w:rsid w:val="00D872DF"/>
    <w:rsid w:val="00D91E21"/>
    <w:rsid w:val="00DA7FCD"/>
    <w:rsid w:val="00E365E1"/>
    <w:rsid w:val="00E409C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06A4E"/>
  <w15:chartTrackingRefBased/>
  <w15:docId w15:val="{5A1B5310-1AD5-4937-98A6-A0BE44B61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077ED"/>
    <w:pPr>
      <w:spacing w:after="240"/>
      <w:ind w:left="567" w:hanging="567"/>
    </w:pPr>
  </w:style>
  <w:style w:type="paragraph" w:customStyle="1" w:styleId="EPComma">
    <w:name w:val="EPComma"/>
    <w:basedOn w:val="Normal"/>
    <w:rsid w:val="00B077ED"/>
    <w:pPr>
      <w:spacing w:before="480" w:after="240"/>
    </w:pPr>
  </w:style>
  <w:style w:type="character" w:styleId="Hyperlink">
    <w:name w:val="Hyperlink"/>
    <w:basedOn w:val="DefaultParagraphFont"/>
    <w:uiPriority w:val="99"/>
    <w:unhideWhenUsed/>
    <w:rsid w:val="00B077ED"/>
    <w:rPr>
      <w:color w:val="0563C1" w:themeColor="hyperlink"/>
      <w:u w:val="single"/>
    </w:rPr>
  </w:style>
  <w:style w:type="paragraph" w:customStyle="1" w:styleId="Normal12a24b">
    <w:name w:val="Normal12a24b"/>
    <w:basedOn w:val="Normal"/>
    <w:rsid w:val="00B077ED"/>
    <w:pPr>
      <w:snapToGrid w:val="0"/>
      <w:spacing w:before="360" w:after="240"/>
    </w:pPr>
    <w:rPr>
      <w:lang w:eastAsia="en-US"/>
    </w:rPr>
  </w:style>
  <w:style w:type="character" w:customStyle="1" w:styleId="Bold">
    <w:name w:val="Bold"/>
    <w:uiPriority w:val="1"/>
    <w:rsid w:val="00B077ED"/>
    <w:rPr>
      <w:b/>
      <w:bCs w:val="0"/>
    </w:rPr>
  </w:style>
  <w:style w:type="character" w:customStyle="1" w:styleId="Italic">
    <w:name w:val="Italic"/>
    <w:uiPriority w:val="1"/>
    <w:rsid w:val="00B077ED"/>
    <w:rPr>
      <w:i/>
      <w:iCs w:val="0"/>
    </w:rPr>
  </w:style>
  <w:style w:type="character" w:customStyle="1" w:styleId="NormalHanging12aChar">
    <w:name w:val="NormalHanging12a Char"/>
    <w:basedOn w:val="DefaultParagraphFont"/>
    <w:link w:val="NormalHanging12a"/>
    <w:rsid w:val="00B077ED"/>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rm.coe.int/report-on-the-round-table-human-rights-defenders-in-the-council-of-eur/1680aaa813." TargetMode="External"/><Relationship Id="rId2" Type="http://schemas.openxmlformats.org/officeDocument/2006/relationships/hyperlink" Target="file:///\\ipolbrusncf01\userdocs$\Jnwokekilly\Documents\DocEP\TEMP\" TargetMode="External"/><Relationship Id="rId1" Type="http://schemas.openxmlformats.org/officeDocument/2006/relationships/hyperlink" Target="file:///\\ipolbrusncf01\userdocs$\Jnwokekilly\Documents\DocEP\TEMP\" TargetMode="External"/><Relationship Id="rId6" Type="http://schemas.openxmlformats.org/officeDocument/2006/relationships/hyperlink" Target="https://search.coe.int/cm/Pages/result_details.aspx?ObjectId=0900001680a69407" TargetMode="External"/><Relationship Id="rId5" Type="http://schemas.openxmlformats.org/officeDocument/2006/relationships/hyperlink" Target="https://www.ombudsman.europa.eu/en/recommendation/hu/151678" TargetMode="External"/><Relationship Id="rId4" Type="http://schemas.openxmlformats.org/officeDocument/2006/relationships/hyperlink" Target="file:///\\ipolbrusncf01\userdocs$\Jnwokekilly\Documents\DocEP\TEM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DB9EE0-AA13-481E-96C8-DACA334CA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8295</Words>
  <Characters>59840</Characters>
  <Application>Microsoft Office Word</Application>
  <DocSecurity>4</DocSecurity>
  <Lines>498</Lines>
  <Paragraphs>135</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TA</vt:lpstr>
      <vt:lpstr>P9_TA(2024)00050</vt:lpstr>
      <vt:lpstr>    Az alapvető jogok helyzete az Európai Unióban 2022-ben és 2023-banxxx</vt:lpstr>
      <vt:lpstr>        Az Európai Parlament 2024. január 18...-i állásfoglalása az alapvető jogok helyz</vt:lpstr>
    </vt:vector>
  </TitlesOfParts>
  <Company/>
  <LinksUpToDate>false</LinksUpToDate>
  <CharactersWithSpaces>68000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ILLY_D</cp:lastModifiedBy>
  <cp:revision>2</cp:revision>
  <cp:lastPrinted>2004-11-19T15:42:00Z</cp:lastPrinted>
  <dcterms:created xsi:type="dcterms:W3CDTF">2024-05-21T13:27:00Z</dcterms:created>
  <dcterms:modified xsi:type="dcterms:W3CDTF">2024-05-21T13:27:00Z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A9-0376/2023</vt:lpwstr>
  </property>
  <property fmtid="{D5CDD505-2E9C-101B-9397-08002B2CF9AE}" pid="4" name="&lt;Type&gt;">
    <vt:lpwstr>RR</vt:lpwstr>
  </property>
</Properties>
</file>