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4F13" w:rsidTr="0010095E">
        <w:trPr>
          <w:trHeight w:hRule="exact" w:val="1418"/>
        </w:trPr>
        <w:tc>
          <w:tcPr>
            <w:tcW w:w="6804" w:type="dxa"/>
            <w:shd w:val="clear" w:color="auto" w:fill="auto"/>
            <w:vAlign w:val="center"/>
          </w:tcPr>
          <w:p w:rsidR="00751A4A" w:rsidRPr="00554F13" w:rsidRDefault="002B21C4" w:rsidP="0010095E">
            <w:pPr>
              <w:pStyle w:val="EPName"/>
            </w:pPr>
            <w:r w:rsidRPr="00554F13">
              <w:t>Europos Parlamentas</w:t>
            </w:r>
          </w:p>
          <w:p w:rsidR="00751A4A" w:rsidRPr="00554F13" w:rsidRDefault="00817416" w:rsidP="00756632">
            <w:pPr>
              <w:pStyle w:val="EPTerm"/>
              <w:rPr>
                <w:rStyle w:val="HideTWBExt"/>
                <w:noProof w:val="0"/>
                <w:vanish w:val="0"/>
                <w:color w:val="auto"/>
              </w:rPr>
            </w:pPr>
            <w:r w:rsidRPr="00554F13">
              <w:t>2019-2024</w:t>
            </w:r>
          </w:p>
        </w:tc>
        <w:tc>
          <w:tcPr>
            <w:tcW w:w="2268" w:type="dxa"/>
            <w:shd w:val="clear" w:color="auto" w:fill="auto"/>
          </w:tcPr>
          <w:p w:rsidR="00751A4A" w:rsidRPr="00554F13" w:rsidRDefault="00187494" w:rsidP="0010095E">
            <w:pPr>
              <w:pStyle w:val="EPLogo"/>
            </w:pPr>
            <w:r w:rsidRPr="00554F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4F13" w:rsidRDefault="00D058B8" w:rsidP="004C5D52">
      <w:pPr>
        <w:pStyle w:val="LineTop"/>
      </w:pPr>
    </w:p>
    <w:p w:rsidR="00680577" w:rsidRPr="00554F13" w:rsidRDefault="002B21C4" w:rsidP="00680577">
      <w:pPr>
        <w:pStyle w:val="EPBodyTA1"/>
      </w:pPr>
      <w:r w:rsidRPr="00554F13">
        <w:t>PRIIMTI TEKSTAI</w:t>
      </w:r>
    </w:p>
    <w:p w:rsidR="00D058B8" w:rsidRPr="00554F13" w:rsidRDefault="00D058B8" w:rsidP="00D058B8">
      <w:pPr>
        <w:pStyle w:val="LineBottom"/>
      </w:pPr>
    </w:p>
    <w:p w:rsidR="002B21C4" w:rsidRPr="00554F13" w:rsidRDefault="002B21C4" w:rsidP="002B21C4">
      <w:pPr>
        <w:pStyle w:val="ATHeading1"/>
      </w:pPr>
      <w:bookmarkStart w:id="0" w:name="TANumber"/>
      <w:r w:rsidRPr="00554F13">
        <w:t>P9_TA(2024)00</w:t>
      </w:r>
      <w:r w:rsidR="00112B07">
        <w:t>5</w:t>
      </w:r>
      <w:r w:rsidRPr="00554F13">
        <w:t>0</w:t>
      </w:r>
      <w:bookmarkEnd w:id="0"/>
    </w:p>
    <w:p w:rsidR="002B21C4" w:rsidRPr="00554F13" w:rsidRDefault="002B21C4" w:rsidP="002B21C4">
      <w:pPr>
        <w:pStyle w:val="ATHeading2"/>
      </w:pPr>
      <w:bookmarkStart w:id="1" w:name="title"/>
      <w:r w:rsidRPr="00554F13">
        <w:t>Pagrindinių teisių padėtis Europos Sąjungoje 2022 ir 2023 m.</w:t>
      </w:r>
      <w:bookmarkEnd w:id="1"/>
    </w:p>
    <w:p w:rsidR="002B21C4" w:rsidRPr="00554F13" w:rsidRDefault="002B21C4" w:rsidP="002B21C4">
      <w:pPr>
        <w:rPr>
          <w:i/>
          <w:vanish/>
        </w:rPr>
      </w:pPr>
      <w:r w:rsidRPr="00554F13">
        <w:rPr>
          <w:i/>
        </w:rPr>
        <w:fldChar w:fldCharType="begin"/>
      </w:r>
      <w:r w:rsidRPr="00554F13">
        <w:rPr>
          <w:i/>
        </w:rPr>
        <w:instrText xml:space="preserve"> TC"(</w:instrText>
      </w:r>
      <w:bookmarkStart w:id="2" w:name="DocNumber"/>
      <w:r w:rsidRPr="00554F13">
        <w:rPr>
          <w:i/>
        </w:rPr>
        <w:instrText>A9-0376/2023</w:instrText>
      </w:r>
      <w:bookmarkEnd w:id="2"/>
      <w:r w:rsidRPr="00554F13">
        <w:rPr>
          <w:i/>
        </w:rPr>
        <w:instrText xml:space="preserve"> - Pranešėja: Katarina Barley)"\l3 \n&gt; \* MERGEFORMAT </w:instrText>
      </w:r>
      <w:r w:rsidRPr="00554F13">
        <w:rPr>
          <w:i/>
        </w:rPr>
        <w:fldChar w:fldCharType="end"/>
      </w:r>
    </w:p>
    <w:p w:rsidR="002B21C4" w:rsidRPr="00554F13" w:rsidRDefault="002B21C4" w:rsidP="002B21C4">
      <w:pPr>
        <w:rPr>
          <w:vanish/>
        </w:rPr>
      </w:pPr>
      <w:bookmarkStart w:id="3" w:name="Commission"/>
      <w:r w:rsidRPr="00554F13">
        <w:rPr>
          <w:vanish/>
        </w:rPr>
        <w:t>Piliečių laisvių, teisingumo ir vidaus reikalų komitetas</w:t>
      </w:r>
      <w:bookmarkEnd w:id="3"/>
    </w:p>
    <w:p w:rsidR="002B21C4" w:rsidRPr="00554F13" w:rsidRDefault="002B21C4" w:rsidP="002B21C4">
      <w:pPr>
        <w:rPr>
          <w:vanish/>
        </w:rPr>
      </w:pPr>
      <w:bookmarkStart w:id="4" w:name="PE"/>
      <w:r w:rsidRPr="00554F13">
        <w:rPr>
          <w:vanish/>
        </w:rPr>
        <w:t>PE749.923</w:t>
      </w:r>
      <w:bookmarkEnd w:id="4"/>
    </w:p>
    <w:p w:rsidR="002B21C4" w:rsidRPr="00554F13" w:rsidRDefault="002B21C4" w:rsidP="00EF1B03">
      <w:pPr>
        <w:pStyle w:val="ATHeading3"/>
      </w:pPr>
      <w:bookmarkStart w:id="5" w:name="Sujet"/>
      <w:r w:rsidRPr="00554F13">
        <w:t xml:space="preserve">2024 m. sausio </w:t>
      </w:r>
      <w:r w:rsidR="00EF1B03">
        <w:t>18</w:t>
      </w:r>
      <w:r w:rsidRPr="00554F13">
        <w:t xml:space="preserve"> d. Europos Parlamento rezoliucija dėl 2022 ir 2023 m. metinio pranešimo dėl pagrindinių teisių padėties Europos Sąjungoje</w:t>
      </w:r>
      <w:bookmarkEnd w:id="5"/>
      <w:r w:rsidRPr="00554F13">
        <w:t xml:space="preserve"> </w:t>
      </w:r>
      <w:bookmarkStart w:id="6" w:name="References"/>
      <w:r w:rsidRPr="00554F13">
        <w:t>(2023/2028(INI))</w:t>
      </w:r>
      <w:bookmarkEnd w:id="6"/>
    </w:p>
    <w:p w:rsidR="00071C49" w:rsidRPr="00554F13" w:rsidRDefault="00071C49" w:rsidP="00071C49">
      <w:pPr>
        <w:pStyle w:val="EPComma"/>
      </w:pPr>
      <w:bookmarkStart w:id="7" w:name="TextBodyBegin"/>
      <w:bookmarkEnd w:id="7"/>
      <w:r w:rsidRPr="00554F13">
        <w:rPr>
          <w:rStyle w:val="Italic"/>
        </w:rPr>
        <w:t>Europos Parlamentas</w:t>
      </w:r>
      <w:r w:rsidRPr="00554F13">
        <w:t>,</w:t>
      </w:r>
    </w:p>
    <w:p w:rsidR="00071C49" w:rsidRPr="00554F13" w:rsidRDefault="00071C49" w:rsidP="00071C49">
      <w:pPr>
        <w:pStyle w:val="NormalHanging12a"/>
      </w:pPr>
      <w:r w:rsidRPr="00554F13">
        <w:t>–</w:t>
      </w:r>
      <w:r w:rsidRPr="00554F13">
        <w:tab/>
        <w:t>atsižvelgdamas į Europos Sąjungos sutartį (ES sutartis) ir į Sutartį dėl Europos Sąjungos veikimo (SESV),</w:t>
      </w:r>
    </w:p>
    <w:p w:rsidR="00071C49" w:rsidRPr="00554F13" w:rsidRDefault="00071C49" w:rsidP="00071C49">
      <w:pPr>
        <w:pStyle w:val="NormalHanging12a"/>
      </w:pPr>
      <w:r w:rsidRPr="00554F13">
        <w:t>–</w:t>
      </w:r>
      <w:r w:rsidRPr="00554F13">
        <w:tab/>
        <w:t>atsižvelgdamas į Europos Sąjungos pagrindinių teisių chartiją (toliau – Chartija),</w:t>
      </w:r>
    </w:p>
    <w:p w:rsidR="00071C49" w:rsidRPr="00554F13" w:rsidRDefault="00071C49" w:rsidP="00071C49">
      <w:pPr>
        <w:pStyle w:val="NormalHanging12a"/>
      </w:pPr>
      <w:r w:rsidRPr="00554F13">
        <w:t>–</w:t>
      </w:r>
      <w:r w:rsidRPr="00554F13">
        <w:tab/>
        <w:t>atsižvelgdamas į Europos Sąjungos Teisingumo Teismo praktiką</w:t>
      </w:r>
      <w:r w:rsidRPr="00554F13">
        <w:rPr>
          <w:rStyle w:val="FootnoteReference"/>
        </w:rPr>
        <w:footnoteReference w:id="1"/>
      </w:r>
      <w:r w:rsidRPr="00554F13">
        <w:t>,</w:t>
      </w:r>
    </w:p>
    <w:p w:rsidR="00071C49" w:rsidRPr="00554F13" w:rsidRDefault="00071C49" w:rsidP="00071C49">
      <w:pPr>
        <w:pStyle w:val="NormalHanging12a"/>
      </w:pPr>
      <w:r w:rsidRPr="00554F13">
        <w:t>–</w:t>
      </w:r>
      <w:r w:rsidRPr="00554F13">
        <w:tab/>
        <w:t>atsižvelgdamas į 2020 m. gruodžio 16 d. Europos Parlamento ir Tarybos reglamentą (ES, Euratomas) 2020/2092 dėl bendro Sąjungos biudžeto apsaugos sąlygų režimo</w:t>
      </w:r>
      <w:r w:rsidRPr="00554F13">
        <w:rPr>
          <w:rStyle w:val="FootnoteReference"/>
        </w:rPr>
        <w:footnoteReference w:id="2"/>
      </w:r>
      <w:r w:rsidRPr="00554F13">
        <w:t xml:space="preserve"> (Sąlygų reglamentą),</w:t>
      </w:r>
    </w:p>
    <w:p w:rsidR="00071C49" w:rsidRPr="00554F13" w:rsidRDefault="00071C49" w:rsidP="00071C49">
      <w:pPr>
        <w:pStyle w:val="NormalHanging12a"/>
      </w:pPr>
      <w:r w:rsidRPr="00554F13">
        <w:t>–</w:t>
      </w:r>
      <w:r w:rsidRPr="00554F13">
        <w:tab/>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554F13">
        <w:rPr>
          <w:rStyle w:val="FootnoteReference"/>
        </w:rPr>
        <w:footnoteReference w:id="3"/>
      </w:r>
      <w:r w:rsidRPr="00554F13">
        <w:t>,</w:t>
      </w:r>
    </w:p>
    <w:p w:rsidR="00071C49" w:rsidRPr="00554F13" w:rsidRDefault="00071C49" w:rsidP="00071C49">
      <w:pPr>
        <w:pStyle w:val="NormalHanging12a"/>
      </w:pPr>
      <w:r w:rsidRPr="00554F13">
        <w:t>–</w:t>
      </w:r>
      <w:r w:rsidRPr="00554F13">
        <w:tab/>
        <w:t>atsižvelgdamas į 2017 m. spalio 12 d. Tarybos reglamentą (ES) 2017/1939, kuriuo įgyvendinamas tvirtesnis bendradarbiavimas Europos prokuratūros įsteigimo srityje</w:t>
      </w:r>
      <w:r w:rsidR="00236701" w:rsidRPr="00554F13">
        <w:rPr>
          <w:rStyle w:val="FootnoteReference"/>
        </w:rPr>
        <w:footnoteReference w:id="4"/>
      </w:r>
      <w:r w:rsidRPr="00554F13">
        <w:t xml:space="preserve"> (toliau – Europos prokuratūra),</w:t>
      </w:r>
    </w:p>
    <w:p w:rsidR="00071C49" w:rsidRPr="00554F13" w:rsidRDefault="00071C49" w:rsidP="00071C49">
      <w:pPr>
        <w:pStyle w:val="NormalHanging12a"/>
      </w:pPr>
      <w:r w:rsidRPr="00554F13">
        <w:t>–</w:t>
      </w:r>
      <w:r w:rsidRPr="00554F13">
        <w:tab/>
        <w:t xml:space="preserve">atsižvelgdamas į 2016 m. balandžio 27 d. Europos Parlamento ir Tarybos reglamentą (ES) 2016/679 dėl fizinių asmenų apsaugos tvarkant asmens duomenis ir dėl laisvo tokių duomenų judėjimo ir kuriuo panaikinama Direktyva 95/46/EB (Bendrąjį duomenų </w:t>
      </w:r>
      <w:r w:rsidRPr="00554F13">
        <w:lastRenderedPageBreak/>
        <w:t>apsaugos reglamentą)</w:t>
      </w:r>
      <w:r w:rsidRPr="00554F13">
        <w:rPr>
          <w:rStyle w:val="FootnoteReference"/>
        </w:rPr>
        <w:footnoteReference w:id="5"/>
      </w:r>
      <w:r w:rsidRPr="00554F13">
        <w:t>,</w:t>
      </w:r>
    </w:p>
    <w:p w:rsidR="00071C49" w:rsidRPr="00554F13" w:rsidRDefault="00071C49" w:rsidP="00071C49">
      <w:pPr>
        <w:pStyle w:val="NormalHanging12a"/>
      </w:pPr>
      <w:r w:rsidRPr="00554F13">
        <w:t>–</w:t>
      </w:r>
      <w:r w:rsidRPr="00554F13">
        <w:tab/>
        <w:t>atsižvelgdamas į 2017 m. liepos 5 d. Europos Parlamento ir Tarybos direktyvą (ES) 2017/1371 dėl kovos su Sąjungos finansiniams interesams kenkiančiu sukčiavimu baudžiamosios teisės priemonėmis</w:t>
      </w:r>
      <w:r w:rsidRPr="00554F13">
        <w:rPr>
          <w:rStyle w:val="FootnoteReference"/>
        </w:rPr>
        <w:footnoteReference w:id="6"/>
      </w:r>
      <w:r w:rsidRPr="00554F13">
        <w:t>,</w:t>
      </w:r>
    </w:p>
    <w:p w:rsidR="00071C49" w:rsidRPr="00554F13" w:rsidRDefault="00071C49" w:rsidP="00071C49">
      <w:pPr>
        <w:pStyle w:val="NormalHanging12a"/>
      </w:pPr>
      <w:r w:rsidRPr="00554F13">
        <w:t>–</w:t>
      </w:r>
      <w:r w:rsidRPr="00554F13">
        <w:tab/>
        <w:t>atsižvelgdamas į 2008 m. lapkričio 28 d. Tarybos pamatinį sprendimą 2008/913/TVR dėl kovos su tam tikromis rasizmo ir ksenofobijos formomis bei apraiškomis baudžiamosios teisės priemonėmis</w:t>
      </w:r>
      <w:r w:rsidRPr="00554F13">
        <w:rPr>
          <w:rStyle w:val="FootnoteReference"/>
        </w:rPr>
        <w:footnoteReference w:id="7"/>
      </w:r>
      <w:r w:rsidRPr="00554F13">
        <w:t xml:space="preserve">, </w:t>
      </w:r>
    </w:p>
    <w:p w:rsidR="00071C49" w:rsidRPr="00554F13" w:rsidRDefault="00071C49" w:rsidP="00071C49">
      <w:pPr>
        <w:pStyle w:val="NormalHanging12a"/>
        <w:rPr>
          <w:szCs w:val="24"/>
        </w:rPr>
      </w:pPr>
      <w:r w:rsidRPr="00554F13">
        <w:t>–</w:t>
      </w:r>
      <w:r w:rsidRPr="00554F13">
        <w:tab/>
        <w:t>atsižvelgdamas į 2000 m. birželio 29 d. Tarybos Direktyvą 2000/43/EB, įgyvendinančią vienodo požiūrio principą asmenims nepriklausomai nuo jų rasės arba etninės priklausomybės</w:t>
      </w:r>
      <w:r w:rsidRPr="00554F13">
        <w:rPr>
          <w:rStyle w:val="FootnoteReference"/>
        </w:rPr>
        <w:footnoteReference w:id="8"/>
      </w:r>
      <w:r w:rsidRPr="00554F13">
        <w:t>, ir į šiuo metu vykstančias pažeidimų nagrinėjimo procedūras, kurias Komisija, remdamasi šia direktyva, pradėjo prieš kelias valstybes nares, iš kurių dėl vienos Komisija kreipėsi į Teisingumo Teismą,</w:t>
      </w:r>
    </w:p>
    <w:p w:rsidR="00071C49" w:rsidRPr="00554F13" w:rsidRDefault="00071C49" w:rsidP="00071C49">
      <w:pPr>
        <w:pStyle w:val="NormalHanging12a"/>
        <w:rPr>
          <w:szCs w:val="24"/>
        </w:rPr>
      </w:pPr>
      <w:r w:rsidRPr="00554F13">
        <w:t>–</w:t>
      </w:r>
      <w:r w:rsidRPr="00554F13">
        <w:tab/>
        <w:t>atsižvelgdamas į 2021 m. kovo 12 d. Tarybos rekomendaciją dėl romų lygybės, įtraukties ir dalyvavimo (2021/C93/01)</w:t>
      </w:r>
      <w:r w:rsidRPr="00554F13">
        <w:rPr>
          <w:rStyle w:val="FootnoteReference"/>
        </w:rPr>
        <w:footnoteReference w:id="9"/>
      </w:r>
      <w:r w:rsidRPr="00554F13">
        <w:t xml:space="preserve">, </w:t>
      </w:r>
    </w:p>
    <w:p w:rsidR="00071C49" w:rsidRPr="00554F13" w:rsidRDefault="00071C49" w:rsidP="00071C49">
      <w:pPr>
        <w:pStyle w:val="NormalHanging12a"/>
        <w:rPr>
          <w:szCs w:val="24"/>
        </w:rPr>
      </w:pPr>
      <w:r w:rsidRPr="00554F13">
        <w:t>–</w:t>
      </w:r>
      <w:r w:rsidRPr="00554F13">
        <w:tab/>
        <w:t>atsižvelgdamas į 2023 m. sausio 9 d. Komisijos komunikatą „Valstybių narių nacionalinių romų strateginių planų vertinimo ataskaita“ (COM(2023)</w:t>
      </w:r>
      <w:r w:rsidR="00F51F98">
        <w:t>0</w:t>
      </w:r>
      <w:r w:rsidRPr="00554F13">
        <w:t>007),</w:t>
      </w:r>
    </w:p>
    <w:p w:rsidR="00071C49" w:rsidRPr="00554F13" w:rsidRDefault="00071C49" w:rsidP="00071C49">
      <w:pPr>
        <w:pStyle w:val="NormalHanging12a"/>
      </w:pPr>
      <w:r w:rsidRPr="00554F13">
        <w:t>–</w:t>
      </w:r>
      <w:r w:rsidRPr="00554F13">
        <w:tab/>
        <w:t>atsižvelgdamas į 2021 m. rugsėjo 16 d. Komisijos rekomendaciją (ES) 2021/1534 dėl žurnalistų ir kitų žiniasklaidos specialistų apsaugos, saugumo ir įgalėjimo užtikrinimo Europos Sąjungoje</w:t>
      </w:r>
      <w:r w:rsidRPr="00554F13">
        <w:rPr>
          <w:rStyle w:val="FootnoteReference"/>
        </w:rPr>
        <w:footnoteReference w:id="10"/>
      </w:r>
      <w:r w:rsidRPr="00554F13">
        <w:t>,</w:t>
      </w:r>
    </w:p>
    <w:p w:rsidR="00071C49" w:rsidRPr="00554F13" w:rsidRDefault="00071C49" w:rsidP="00071C49">
      <w:pPr>
        <w:pStyle w:val="NormalHanging12a"/>
      </w:pPr>
      <w:r w:rsidRPr="00554F13">
        <w:t>–</w:t>
      </w:r>
      <w:r w:rsidRPr="00554F13">
        <w:tab/>
        <w:t>atsižvelgdamas į 2021 m. gruodžio 9 d. Komisijos komunikatą „Įtraukesnė ir geresnę apsaugą užtikrinanti Europa: į ES nusikaltimų sąrašą įtraukiama neapykantos kalba ir neapykantos nusikaltimai“ (COM(2021)0777),</w:t>
      </w:r>
    </w:p>
    <w:p w:rsidR="00071C49" w:rsidRPr="00554F13" w:rsidRDefault="00071C49" w:rsidP="00071C49">
      <w:pPr>
        <w:pStyle w:val="NormalHanging12a"/>
      </w:pPr>
      <w:r w:rsidRPr="00554F13">
        <w:t>–</w:t>
      </w:r>
      <w:r w:rsidRPr="00554F13">
        <w:tab/>
        <w:t>atsižvelgdamas į 2020 m. kovo 5 d. Komisijos komunikatą „Lygybės Sąjunga. 2020–2025 m. lyčių lygybės strategija“ (COM(2020)0152),</w:t>
      </w:r>
    </w:p>
    <w:p w:rsidR="00071C49" w:rsidRPr="00554F13" w:rsidRDefault="00071C49" w:rsidP="00071C49">
      <w:pPr>
        <w:pStyle w:val="NormalHanging12a"/>
      </w:pPr>
      <w:r w:rsidRPr="00554F13">
        <w:t>–</w:t>
      </w:r>
      <w:r w:rsidRPr="00554F13">
        <w:tab/>
        <w:t>atsižvelgdamas į 2020 m. birželio 24 d. Komisijos komunikatą „2020–2025 m. ES strategija dėl nusikaltimų aukų teisių“ (COM(2020)0258),</w:t>
      </w:r>
    </w:p>
    <w:p w:rsidR="00071C49" w:rsidRPr="00554F13" w:rsidRDefault="00071C49" w:rsidP="00071C49">
      <w:pPr>
        <w:pStyle w:val="NormalHanging12a"/>
      </w:pPr>
      <w:r w:rsidRPr="00554F13">
        <w:t>–</w:t>
      </w:r>
      <w:r w:rsidRPr="00554F13">
        <w:tab/>
        <w:t>atsižvelgdamas į 2020 m. lapkričio 12 d. Komisijos komunikatą „Lygybės sąjunga. 2020–2025 m. LGBTIQ asmenų lygybės strategija“ (COM(2020)0698),</w:t>
      </w:r>
    </w:p>
    <w:p w:rsidR="00071C49" w:rsidRPr="00554F13" w:rsidRDefault="00071C49" w:rsidP="00071C49">
      <w:pPr>
        <w:pStyle w:val="NormalHanging12a"/>
      </w:pPr>
      <w:r w:rsidRPr="00554F13">
        <w:t>–</w:t>
      </w:r>
      <w:r w:rsidRPr="00554F13">
        <w:tab/>
        <w:t>atsižvelgdamas į 2022 m. kovo 2 d. Tarybos išvadas dėl kovos su rasizmu ir antisemitizmu,</w:t>
      </w:r>
    </w:p>
    <w:p w:rsidR="00071C49" w:rsidRPr="00554F13" w:rsidRDefault="00071C49" w:rsidP="00071C49">
      <w:pPr>
        <w:pStyle w:val="NormalHanging12a"/>
      </w:pPr>
      <w:r w:rsidRPr="00554F13">
        <w:t>–</w:t>
      </w:r>
      <w:r w:rsidRPr="00554F13">
        <w:tab/>
        <w:t>atsižvelgdamas į 2020 m. gruodžio 2 d. Komisijos komunikatą „Pagrindinių teisių chartijos taikymo ES stiprinimo strategija“ (COM(2020)0711),</w:t>
      </w:r>
    </w:p>
    <w:p w:rsidR="00071C49" w:rsidRPr="00554F13" w:rsidRDefault="00071C49" w:rsidP="00071C49">
      <w:pPr>
        <w:pStyle w:val="NormalHanging12a"/>
      </w:pPr>
      <w:r w:rsidRPr="00554F13">
        <w:t>–</w:t>
      </w:r>
      <w:r w:rsidRPr="00554F13">
        <w:tab/>
        <w:t xml:space="preserve">atsižvelgdamas į 2022 m. gruodžio 6 d. Komisijos ataskaitą „Klestinti pilietinė erdvė </w:t>
      </w:r>
      <w:r w:rsidRPr="00554F13">
        <w:lastRenderedPageBreak/>
        <w:t>pagrindinėms ES teisėms puoselėti. 2022 m. metinė ES pagrindinių teisių chartijos taikymo ataskaita“ (COM(2022)0716),</w:t>
      </w:r>
    </w:p>
    <w:p w:rsidR="00071C49" w:rsidRPr="00554F13" w:rsidRDefault="00071C49" w:rsidP="00071C49">
      <w:pPr>
        <w:pStyle w:val="NormalHanging12a"/>
      </w:pPr>
      <w:r w:rsidRPr="00554F13">
        <w:t>–</w:t>
      </w:r>
      <w:r w:rsidRPr="00554F13">
        <w:tab/>
        <w:t>atsižvelgdamas į 2022 m. gruodžio 8 d. Komisijos rekomendaciją (ES) 2023/681 dėl įtariamųjų ir kaltinamųjų, kuriems taikomas kardomasis kalinimas, procesinių teisių ir dėl materialinių kalinimo sąlygų</w:t>
      </w:r>
      <w:r w:rsidRPr="00554F13">
        <w:rPr>
          <w:rStyle w:val="FootnoteReference"/>
        </w:rPr>
        <w:footnoteReference w:id="11"/>
      </w:r>
      <w:r w:rsidRPr="00554F13">
        <w:t>,</w:t>
      </w:r>
    </w:p>
    <w:p w:rsidR="00071C49" w:rsidRPr="00554F13" w:rsidRDefault="00071C49" w:rsidP="00071C49">
      <w:pPr>
        <w:pStyle w:val="NormalHanging12a"/>
        <w:rPr>
          <w:szCs w:val="24"/>
        </w:rPr>
      </w:pPr>
      <w:r w:rsidRPr="00554F13">
        <w:t>–</w:t>
      </w:r>
      <w:r w:rsidRPr="00554F13">
        <w:tab/>
        <w:t xml:space="preserve">atsižvelgdamas į 2023 m. liepos 5 d. Komisijos komunikatą „2023 m. teisinės valstybės principo taikymo ataskaita. Teisinės valstybės padėtis Europos Sąjungoje“ (COM(2023)0800), 27 šalių skyrius ir prie jo pridedamas rekomendacijas valstybėms narėms, </w:t>
      </w:r>
    </w:p>
    <w:p w:rsidR="00071C49" w:rsidRPr="00554F13" w:rsidRDefault="00071C49" w:rsidP="00071C49">
      <w:pPr>
        <w:pStyle w:val="NormalHanging12a"/>
        <w:rPr>
          <w:szCs w:val="24"/>
        </w:rPr>
      </w:pPr>
      <w:r w:rsidRPr="00554F13">
        <w:t>–</w:t>
      </w:r>
      <w:r w:rsidRPr="00554F13">
        <w:tab/>
        <w:t>atsižvelgdamas į Europos socialinių teisių ramstį, įskaitant jo trečiąjį lygių galimybių principą, ir 2021 m. kovo 4 d. Komisijos komunikatą „Europos socialinių teisių ramsčio veiksmų planas“ (COM(2021)0102),</w:t>
      </w:r>
    </w:p>
    <w:p w:rsidR="00071C49" w:rsidRPr="00554F13" w:rsidRDefault="00071C49" w:rsidP="00071C49">
      <w:pPr>
        <w:pStyle w:val="NormalHanging12a"/>
      </w:pPr>
      <w:r w:rsidRPr="00554F13">
        <w:t>–</w:t>
      </w:r>
      <w:r w:rsidRPr="00554F13">
        <w:tab/>
        <w:t>atsižvelgdamas į 2022 m. balandžio 27 d. pasiūlymą dėl asmenų, užsiimančių visuomenine veikla, apsaugos nuo akivaizdžiai nepagrįstų ar piktnaudžiaujamojo pobūdžio teismo procesų (strateginių ieškinių dėl visuomenės dalyvavimo) (COM(2022)0177) (toliau – Kovos su SLAPP direktyva), ir prie jos pridedamą rekomendaciją,</w:t>
      </w:r>
    </w:p>
    <w:p w:rsidR="00071C49" w:rsidRPr="00554F13" w:rsidRDefault="00071C49" w:rsidP="00071C49">
      <w:pPr>
        <w:pStyle w:val="NormalHanging12a"/>
        <w:rPr>
          <w:szCs w:val="24"/>
        </w:rPr>
      </w:pPr>
      <w:r w:rsidRPr="00554F13">
        <w:t>–</w:t>
      </w:r>
      <w:r w:rsidRPr="00554F13">
        <w:tab/>
        <w:t>atsižvelgdamas į 2022 m. rugsėjo 16 d. Komisijos pasiūlymą dėl Europos Parlamento ir Tarybos reglamento, kuriuo nustatoma bendra žiniasklaidos paslaugų vidaus rinkoje sistema (Europos žiniasklaidos laisvės aktas) ir iš dalies keičiama Direktyva 2010/13/ES (COM(2022)0457) (Žiniasklaidos laisvės aktas), ir prie jo pridedamas rekomendacijas dėl redaktorių nepriklausomumo vidaus apsaugos priemonių ir nuosavybės skaidrumo žiniasklaidos sektoriuje</w:t>
      </w:r>
      <w:r w:rsidRPr="00554F13">
        <w:rPr>
          <w:rStyle w:val="FootnoteReference"/>
        </w:rPr>
        <w:footnoteReference w:id="12"/>
      </w:r>
      <w:r w:rsidRPr="00554F13">
        <w:t>,</w:t>
      </w:r>
    </w:p>
    <w:p w:rsidR="00071C49" w:rsidRPr="00554F13" w:rsidRDefault="00071C49" w:rsidP="00071C49">
      <w:pPr>
        <w:pStyle w:val="NormalHanging12a"/>
      </w:pPr>
      <w:r w:rsidRPr="00554F13">
        <w:t>–</w:t>
      </w:r>
      <w:r w:rsidRPr="00554F13">
        <w:tab/>
        <w:t xml:space="preserve">atsižvelgdamas į </w:t>
      </w:r>
      <w:r w:rsidR="009006C2">
        <w:t xml:space="preserve">2022 m. gruodžio </w:t>
      </w:r>
      <w:r w:rsidR="009006C2">
        <w:rPr>
          <w:lang w:val="en-GB"/>
        </w:rPr>
        <w:t xml:space="preserve">7 d. </w:t>
      </w:r>
      <w:bookmarkStart w:id="8" w:name="_GoBack"/>
      <w:bookmarkEnd w:id="8"/>
      <w:r w:rsidRPr="00554F13">
        <w:t>Komisijos pasiūlymą dėl lygybės įstaigoms taikomų standartų vienodo požiūrio į 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panaikinami Direktyvos 2000/43/EB 13 straipsnis ir Direktyvos 2004/113/EB 12 straipsnis (COM(2022)0689),</w:t>
      </w:r>
    </w:p>
    <w:p w:rsidR="00071C49" w:rsidRPr="00554F13" w:rsidRDefault="00071C49" w:rsidP="00071C49">
      <w:pPr>
        <w:pStyle w:val="NormalHanging12a"/>
        <w:rPr>
          <w:szCs w:val="24"/>
        </w:rPr>
      </w:pPr>
      <w:r w:rsidRPr="00554F13">
        <w:t>–</w:t>
      </w:r>
      <w:r w:rsidRPr="00554F13">
        <w:tab/>
        <w:t>atsižvelgdamas į 2022 m. gruodžio 7 d. Komisijos pasiūlymą dėl Tarybos reglamento dėl jurisdikcijos, taikytinos teisės, teismo sprendimų dėl vaiko kilmės pripažinimo ir autentiškų dokumentų dėl vaiko kilmės priėmimo ir dėl Europos vaiko kilmės pažymėjimo sukūrimo (COM(2022)0695),</w:t>
      </w:r>
    </w:p>
    <w:p w:rsidR="00071C49" w:rsidRPr="00554F13" w:rsidRDefault="00071C49" w:rsidP="00071C49">
      <w:pPr>
        <w:pStyle w:val="NormalHanging12a"/>
      </w:pPr>
      <w:r w:rsidRPr="00554F13">
        <w:t>–</w:t>
      </w:r>
      <w:r w:rsidRPr="00554F13">
        <w:tab/>
        <w:t>atsižvelgdamas į 2022 m. gruodžio 7 d. Komisijos pasiūlymą dėl Europos Parlamento ir Tarybos direktyvos dėl lygybės įstaigoms taikomų standartų dėl vienodo požiūrio į moteris ir vyrus ir vienodų jų galimybių užimtumo ir profesinės veiklos srityje, kuria panaikinami Direktyvos 2006/54/EB 20 straipsnis ir Direktyvos 2010/41/ES 11 straipsnis (COM(2022)0688),</w:t>
      </w:r>
    </w:p>
    <w:p w:rsidR="00071C49" w:rsidRPr="00554F13" w:rsidRDefault="00071C49" w:rsidP="00071C49">
      <w:pPr>
        <w:pStyle w:val="NormalHanging12a"/>
      </w:pPr>
      <w:r w:rsidRPr="00554F13">
        <w:t>–</w:t>
      </w:r>
      <w:r w:rsidRPr="00554F13">
        <w:tab/>
        <w:t xml:space="preserve">atsižvelgdamas į ES pagrindinių teisių agentūros (FRA) ataskaitas, ypač į 2022 ir </w:t>
      </w:r>
      <w:r w:rsidRPr="00554F13">
        <w:lastRenderedPageBreak/>
        <w:t>2023 m. pagrindinių teisių ataskaitas, įskaitant FRANET šalių ataskaitas,</w:t>
      </w:r>
    </w:p>
    <w:p w:rsidR="00071C49" w:rsidRPr="00554F13" w:rsidRDefault="00071C49" w:rsidP="00071C49">
      <w:pPr>
        <w:pStyle w:val="NormalHanging12a"/>
      </w:pPr>
      <w:r w:rsidRPr="00554F13">
        <w:t>–</w:t>
      </w:r>
      <w:r w:rsidRPr="00554F13">
        <w:tab/>
        <w:t>atsižvelgdamas į Visuotinę žmogaus teisių deklaraciją,</w:t>
      </w:r>
    </w:p>
    <w:p w:rsidR="00071C49" w:rsidRPr="00554F13" w:rsidRDefault="00071C49" w:rsidP="00071C49">
      <w:pPr>
        <w:pStyle w:val="NormalHanging12a"/>
      </w:pPr>
      <w:r w:rsidRPr="00554F13">
        <w:t>–</w:t>
      </w:r>
      <w:r w:rsidRPr="00554F13">
        <w:tab/>
        <w:t>atsižvelgdamas į JT dokumentus dėl žmogaus teisių ir pagrindinių laisvių apsaugos, įskaitant Tarptautinį pilietinių ir politinių teisių paktą, Tarptautinę konvenciją dėl visų formų rasinės diskriminacijos panaikinimo, Konvenciją dėl visų formų diskriminacijos panaikinimo moterims ir Neįgaliųjų teisių konvenciją, JT visuotinio periodinio vertinimo rekomendacijas ir ataskaitas, JT sutartimis įsteigtų organų teisinę praktiką ir Žmogaus teisių tarybos įgaliotųjų ekspertų sistemą,</w:t>
      </w:r>
    </w:p>
    <w:p w:rsidR="00071C49" w:rsidRPr="00554F13" w:rsidRDefault="00071C49" w:rsidP="00071C49">
      <w:pPr>
        <w:pStyle w:val="NormalHanging12a"/>
      </w:pPr>
      <w:r w:rsidRPr="00554F13">
        <w:t>–</w:t>
      </w:r>
      <w:r w:rsidRPr="00554F13">
        <w:tab/>
        <w:t xml:space="preserve">atsižvelgdamas į JT darnaus vystymosi darbotvarkę iki 2030 m., </w:t>
      </w:r>
    </w:p>
    <w:p w:rsidR="00071C49" w:rsidRPr="00554F13" w:rsidRDefault="00071C49" w:rsidP="00071C49">
      <w:pPr>
        <w:pStyle w:val="NormalHanging12a"/>
        <w:rPr>
          <w:szCs w:val="24"/>
        </w:rPr>
      </w:pPr>
      <w:r w:rsidRPr="00554F13">
        <w:t>–</w:t>
      </w:r>
      <w:r w:rsidRPr="00554F13">
        <w:tab/>
        <w:t xml:space="preserve">atsižvelgdamas į Europos žmogaus teisių konvenciją (EŽTK) ir Europos Žmogaus Teisių Teismo (EŽTT) praktiką, </w:t>
      </w:r>
    </w:p>
    <w:p w:rsidR="00071C49" w:rsidRPr="00554F13" w:rsidRDefault="00071C49" w:rsidP="00071C49">
      <w:pPr>
        <w:pStyle w:val="NormalHanging12a"/>
      </w:pPr>
      <w:r w:rsidRPr="00554F13">
        <w:t>–</w:t>
      </w:r>
      <w:r w:rsidRPr="00554F13">
        <w:tab/>
        <w:t xml:space="preserve">atsižvelgdamas į Europos Tarybos konvenciją dėl smurto prieš moteris ir smurto šeimoje prevencijos ir kovos su juo, kuri buvo pateikta pasirašyti 2011 m. gegužės 11 d. Stambule (toliau – Stambulo konvencija) ir kurią Europos Sąjunga ratifikavo 2023 m. birželio 28 d., </w:t>
      </w:r>
    </w:p>
    <w:p w:rsidR="00071C49" w:rsidRPr="00554F13" w:rsidRDefault="00071C49" w:rsidP="00071C49">
      <w:pPr>
        <w:pStyle w:val="NormalHanging12a"/>
        <w:rPr>
          <w:szCs w:val="24"/>
        </w:rPr>
      </w:pPr>
      <w:r w:rsidRPr="00554F13">
        <w:t>–</w:t>
      </w:r>
      <w:r w:rsidRPr="00554F13">
        <w:tab/>
        <w:t>atsižvelgdamas į Demokratinių institucijų ir žmogaus teisių biuro, Vyriausiojo tautinių mažumų reikalų komisaro bei kitų Europos saugumo ir bendradarbiavimo organizacijos organų rekomendacijas ir ataskaitas,</w:t>
      </w:r>
    </w:p>
    <w:p w:rsidR="00071C49" w:rsidRPr="00554F13" w:rsidRDefault="00071C49" w:rsidP="00071C49">
      <w:pPr>
        <w:pStyle w:val="NormalHanging12a"/>
      </w:pPr>
      <w:r w:rsidRPr="00554F13">
        <w:t>–</w:t>
      </w:r>
      <w:r w:rsidRPr="00554F13">
        <w:tab/>
        <w:t>atsižvelgdamas į 2023 m. kovo 23 d. Europos Tarybos ataskaitą „Human Rights Defenders in the Council of Europe Area in Times of Crises“ (liet. „Žmogaus teisių gynėjai Europos Tarybos narėse krizių laikais“, pateiktą po 2022 m. spalio 24–25 d. Dubline vykusios apskritojo stalo diskusijos žmogaus teisių klausimais, kurią surengė Europos Tarybos žmogaus teisių komisaras</w:t>
      </w:r>
      <w:r w:rsidRPr="00554F13">
        <w:rPr>
          <w:rStyle w:val="FootnoteReference"/>
        </w:rPr>
        <w:footnoteReference w:id="13"/>
      </w:r>
      <w:r w:rsidRPr="00554F13">
        <w:t>,</w:t>
      </w:r>
    </w:p>
    <w:p w:rsidR="00071C49" w:rsidRPr="00554F13" w:rsidRDefault="00071C49" w:rsidP="00071C49">
      <w:pPr>
        <w:pStyle w:val="NormalHanging12a"/>
        <w:rPr>
          <w:szCs w:val="24"/>
        </w:rPr>
      </w:pPr>
      <w:r w:rsidRPr="00554F13">
        <w:t>–</w:t>
      </w:r>
      <w:r w:rsidRPr="00554F13">
        <w:tab/>
        <w:t xml:space="preserve">atsižvelgdamas į Europos Tarybos Tautinių mažumų apsaugos pagrindų konvenciją ir Europos regioninių arba tautinių mažumų kalbų chartiją, </w:t>
      </w:r>
    </w:p>
    <w:p w:rsidR="00071C49" w:rsidRPr="00554F13" w:rsidRDefault="00071C49" w:rsidP="00071C49">
      <w:pPr>
        <w:pStyle w:val="NormalHanging12a"/>
        <w:rPr>
          <w:szCs w:val="24"/>
        </w:rPr>
      </w:pPr>
      <w:r w:rsidRPr="00554F13">
        <w:t>–</w:t>
      </w:r>
      <w:r w:rsidRPr="00554F13">
        <w:tab/>
        <w:t>atsižvelgdamas į Europos Tarybos Europos socialinę chartiją,</w:t>
      </w:r>
    </w:p>
    <w:p w:rsidR="00071C49" w:rsidRPr="00554F13" w:rsidRDefault="00071C49" w:rsidP="00071C49">
      <w:pPr>
        <w:pStyle w:val="NormalHanging12a"/>
        <w:rPr>
          <w:szCs w:val="24"/>
        </w:rPr>
      </w:pPr>
      <w:r w:rsidRPr="00554F13">
        <w:t>–</w:t>
      </w:r>
      <w:r w:rsidRPr="00554F13">
        <w:tab/>
        <w:t>atsižvelgdamas į Europos Tarybos žmogaus teisių komisaro pareiškimus, rekomendacijas ir ataskaitas,</w:t>
      </w:r>
    </w:p>
    <w:p w:rsidR="00071C49" w:rsidRPr="00554F13" w:rsidRDefault="00071C49" w:rsidP="00071C49">
      <w:pPr>
        <w:pStyle w:val="NormalHanging12a"/>
        <w:rPr>
          <w:szCs w:val="24"/>
        </w:rPr>
      </w:pPr>
      <w:r w:rsidRPr="00554F13">
        <w:t>–</w:t>
      </w:r>
      <w:r w:rsidRPr="00554F13">
        <w:tab/>
        <w:t>atsižvelgdamas į Europos Tarybos, ypač Venecijos komisijos, Europos Komisijos kovai su rasizmu ir netolerancija (ECRI), GREVIO ir GRECO, rekomendacijas ir ataskaitas,</w:t>
      </w:r>
    </w:p>
    <w:p w:rsidR="00071C49" w:rsidRPr="00554F13" w:rsidRDefault="00071C49" w:rsidP="00071C49">
      <w:pPr>
        <w:pStyle w:val="NormalHanging12a"/>
        <w:rPr>
          <w:szCs w:val="24"/>
        </w:rPr>
      </w:pPr>
      <w:r w:rsidRPr="00554F13">
        <w:t>–</w:t>
      </w:r>
      <w:r w:rsidRPr="00554F13">
        <w:tab/>
        <w:t>atsižvelgdamas į 2018 m. lapkričio 13 d. savo rezoliuciją dėl ES mažumoms taikomų minimalių standartų</w:t>
      </w:r>
      <w:r w:rsidRPr="00554F13">
        <w:rPr>
          <w:rStyle w:val="FootnoteReference"/>
        </w:rPr>
        <w:footnoteReference w:id="14"/>
      </w:r>
      <w:r w:rsidRPr="00554F13">
        <w:t>,</w:t>
      </w:r>
    </w:p>
    <w:p w:rsidR="00071C49" w:rsidRPr="00554F13" w:rsidRDefault="00071C49" w:rsidP="00071C49">
      <w:pPr>
        <w:pStyle w:val="NormalHanging12a"/>
        <w:rPr>
          <w:szCs w:val="24"/>
        </w:rPr>
      </w:pPr>
      <w:r w:rsidRPr="00554F13">
        <w:t>–</w:t>
      </w:r>
      <w:r w:rsidRPr="00554F13">
        <w:tab/>
        <w:t>atsižvelgdamas į 2019 m. sausio 15 d. savo rezoliuciją dėl lyčių lygybės ir mokesčių politikos ES</w:t>
      </w:r>
      <w:r w:rsidRPr="00554F13">
        <w:rPr>
          <w:rStyle w:val="FootnoteReference"/>
        </w:rPr>
        <w:footnoteReference w:id="15"/>
      </w:r>
      <w:r w:rsidRPr="00554F13">
        <w:t>,</w:t>
      </w:r>
    </w:p>
    <w:p w:rsidR="00071C49" w:rsidRPr="00554F13" w:rsidRDefault="00071C49" w:rsidP="00071C49">
      <w:pPr>
        <w:pStyle w:val="NormalHanging12a"/>
      </w:pPr>
      <w:r w:rsidRPr="00554F13">
        <w:lastRenderedPageBreak/>
        <w:t>–</w:t>
      </w:r>
      <w:r w:rsidRPr="00554F13">
        <w:tab/>
        <w:t>atsižvelgdamas į 2021 m. lapkričio 11 d. savo rezoliuciją „Demokratijos ir žiniasklaidos laisvės bei pliuralizmo stiprinimas ES: netinkamas civilinės ir baudžiamosios teisės veiksmų naudojimas siekiant užtildyti žurnalistus, NVO ir pilietinę visuomenę“</w:t>
      </w:r>
      <w:r w:rsidRPr="00554F13">
        <w:rPr>
          <w:rStyle w:val="FootnoteReference"/>
        </w:rPr>
        <w:footnoteReference w:id="16"/>
      </w:r>
      <w:r w:rsidRPr="00554F13">
        <w:t>,</w:t>
      </w:r>
    </w:p>
    <w:p w:rsidR="00071C49" w:rsidRPr="00554F13" w:rsidRDefault="00071C49" w:rsidP="00071C49">
      <w:pPr>
        <w:pStyle w:val="NormalHanging12a"/>
      </w:pPr>
      <w:r w:rsidRPr="00554F13">
        <w:t>–</w:t>
      </w:r>
      <w:r w:rsidRPr="00554F13">
        <w:tab/>
        <w:t>atsižvelgdamas į 2021 m. gruodžio 15 d. savo rezoliuciją dėl prevencinių priemonių, kuriomis siekiama išvengti korupcijos, neteisėtų išlaidų ir netinkamo ES ir nacionalinių lėšų naudojimo neatidėliotinos pagalbos fondų ir su krize susijusių išlaidų srityse, vertinimo</w:t>
      </w:r>
      <w:r w:rsidRPr="00554F13">
        <w:rPr>
          <w:rStyle w:val="FootnoteReference"/>
        </w:rPr>
        <w:footnoteReference w:id="17"/>
      </w:r>
      <w:r w:rsidRPr="00554F13">
        <w:t>,</w:t>
      </w:r>
    </w:p>
    <w:p w:rsidR="00071C49" w:rsidRPr="00554F13" w:rsidRDefault="00071C49" w:rsidP="00071C49">
      <w:pPr>
        <w:pStyle w:val="NormalHanging12a"/>
      </w:pPr>
      <w:r w:rsidRPr="00554F13">
        <w:t>–</w:t>
      </w:r>
      <w:r w:rsidRPr="00554F13">
        <w:tab/>
        <w:t>atsižvelgdamas į 2022 m. vasario 17 d. savo rezoliuciją su rekomendacijomis Komisijai dėl Europos tarpvalstybinių asociacijų ir ne pelno organizacijų statuto</w:t>
      </w:r>
      <w:r w:rsidRPr="00554F13">
        <w:rPr>
          <w:rStyle w:val="FootnoteReference"/>
        </w:rPr>
        <w:footnoteReference w:id="18"/>
      </w:r>
      <w:r w:rsidRPr="00554F13">
        <w:t>,</w:t>
      </w:r>
    </w:p>
    <w:p w:rsidR="00071C49" w:rsidRPr="00554F13" w:rsidRDefault="00071C49" w:rsidP="00071C49">
      <w:pPr>
        <w:pStyle w:val="NormalHanging12a"/>
      </w:pPr>
      <w:r w:rsidRPr="00554F13">
        <w:t>–</w:t>
      </w:r>
      <w:r w:rsidRPr="00554F13">
        <w:tab/>
        <w:t>atsižvelgdamas į 2022 m. kovo 8 d. savo rezoliuciją dėl mažėjančios pilietinės visuomenės erdvės Europoje</w:t>
      </w:r>
      <w:r w:rsidRPr="00554F13">
        <w:rPr>
          <w:rStyle w:val="FootnoteReference"/>
        </w:rPr>
        <w:footnoteReference w:id="19"/>
      </w:r>
      <w:r w:rsidRPr="00554F13">
        <w:t>,</w:t>
      </w:r>
    </w:p>
    <w:p w:rsidR="00071C49" w:rsidRPr="00554F13" w:rsidRDefault="00071C49" w:rsidP="00071C49">
      <w:pPr>
        <w:pStyle w:val="NormalHanging12a"/>
      </w:pPr>
      <w:r w:rsidRPr="00554F13">
        <w:t>–</w:t>
      </w:r>
      <w:r w:rsidRPr="00554F13">
        <w:tab/>
        <w:t>atsižvelgdamas į 2022 m. kovo 10 d. savo rezoliuciją dėl teisinės valstybės principo ir ES Teisingumo Teismo sprendimo pasekmių</w:t>
      </w:r>
      <w:r w:rsidRPr="00554F13">
        <w:rPr>
          <w:rStyle w:val="FootnoteReference"/>
        </w:rPr>
        <w:footnoteReference w:id="20"/>
      </w:r>
      <w:r w:rsidRPr="00554F13">
        <w:t>,</w:t>
      </w:r>
    </w:p>
    <w:p w:rsidR="00071C49" w:rsidRPr="00554F13" w:rsidRDefault="00071C49" w:rsidP="00071C49">
      <w:pPr>
        <w:pStyle w:val="NormalHanging12a"/>
      </w:pPr>
      <w:r w:rsidRPr="00554F13">
        <w:t>–</w:t>
      </w:r>
      <w:r w:rsidRPr="00554F13">
        <w:tab/>
        <w:t>atsižvelgdamas į 2022 m. birželio 9 d. savo rezoliuciją dėl teisinės valstybės ir galimo Lenkijos nacionalinio ekonomikos gaivinimo plano patvirtinimo</w:t>
      </w:r>
      <w:r w:rsidRPr="00554F13">
        <w:rPr>
          <w:rStyle w:val="FootnoteReference"/>
        </w:rPr>
        <w:footnoteReference w:id="21"/>
      </w:r>
      <w:r w:rsidRPr="00554F13">
        <w:t>,</w:t>
      </w:r>
    </w:p>
    <w:p w:rsidR="00071C49" w:rsidRPr="00554F13" w:rsidRDefault="00071C49" w:rsidP="00071C49">
      <w:pPr>
        <w:pStyle w:val="NormalHanging12a"/>
      </w:pPr>
      <w:r w:rsidRPr="00554F13">
        <w:t>–</w:t>
      </w:r>
      <w:r w:rsidRPr="00554F13">
        <w:tab/>
        <w:t>atsižvelgdamas į 2022 m. liepos 6 d. savo rezoliuciją „Sąveikinė diskriminacija Europos Sąjungoje: Afrikos, Artimųjų Rytų, Lotynų Amerikos ir Azijos kilmės moterų socialinė ir ekonominė padėtis“</w:t>
      </w:r>
      <w:r w:rsidRPr="00554F13">
        <w:rPr>
          <w:rStyle w:val="FootnoteReference"/>
        </w:rPr>
        <w:footnoteReference w:id="22"/>
      </w:r>
      <w:r w:rsidRPr="00554F13">
        <w:t>,</w:t>
      </w:r>
    </w:p>
    <w:p w:rsidR="00071C49" w:rsidRPr="00554F13" w:rsidRDefault="00071C49" w:rsidP="00071C49">
      <w:pPr>
        <w:pStyle w:val="NormalHanging12a"/>
      </w:pPr>
      <w:r w:rsidRPr="00554F13">
        <w:t>–</w:t>
      </w:r>
      <w:r w:rsidRPr="00554F13">
        <w:tab/>
        <w:t>atsižvelgdamas į 2022 m. rugsėjo 15 d. savo rezoliuciją dėl pasiūlymo dėl Tarybos sprendimo, kuriuo pagal Europos Sąjungos sutarties 7 straipsnio 1 dalį nustatoma, jog esama aiškaus pavojaus, kad Vengrija gali šiurkščiai pažeisti vertybes, kuriomis grindžiama Sąjunga</w:t>
      </w:r>
      <w:r w:rsidRPr="00554F13">
        <w:rPr>
          <w:rStyle w:val="FootnoteReference"/>
        </w:rPr>
        <w:footnoteReference w:id="23"/>
      </w:r>
      <w:r w:rsidRPr="00554F13">
        <w:t>,</w:t>
      </w:r>
    </w:p>
    <w:p w:rsidR="00071C49" w:rsidRPr="00554F13" w:rsidRDefault="00071C49" w:rsidP="00071C49">
      <w:pPr>
        <w:pStyle w:val="NormalHanging12a"/>
      </w:pPr>
      <w:r w:rsidRPr="00554F13">
        <w:t>–</w:t>
      </w:r>
      <w:r w:rsidRPr="00554F13">
        <w:tab/>
        <w:t>atsižvelgdamas į 2022 m. spalio 5 d. savo rezoliuciją dėl romų bendruomenių, gyvenančių ES gyvenvietėse, padėties</w:t>
      </w:r>
      <w:r w:rsidRPr="00554F13">
        <w:rPr>
          <w:rStyle w:val="FootnoteReference"/>
        </w:rPr>
        <w:footnoteReference w:id="24"/>
      </w:r>
      <w:r w:rsidRPr="00554F13">
        <w:t>,</w:t>
      </w:r>
    </w:p>
    <w:p w:rsidR="00071C49" w:rsidRPr="00554F13" w:rsidRDefault="00071C49" w:rsidP="00071C49">
      <w:pPr>
        <w:pStyle w:val="NormalHanging12a"/>
      </w:pPr>
      <w:r w:rsidRPr="00554F13">
        <w:t>–</w:t>
      </w:r>
      <w:r w:rsidRPr="00554F13">
        <w:tab/>
        <w:t>atsižvelgdamas į 2022 m. gruodžio 15 d. savo rezoliuciją dėl įtarimų dėl Kataro vykdytos korupcijos ir didesnio skaidrumo ir atskaitomybės poreikio ES institucijose</w:t>
      </w:r>
      <w:r w:rsidRPr="00554F13">
        <w:rPr>
          <w:rStyle w:val="FootnoteReference"/>
        </w:rPr>
        <w:footnoteReference w:id="25"/>
      </w:r>
      <w:r w:rsidRPr="00554F13">
        <w:t>,</w:t>
      </w:r>
    </w:p>
    <w:p w:rsidR="00071C49" w:rsidRPr="00554F13" w:rsidRDefault="00071C49" w:rsidP="00071C49">
      <w:pPr>
        <w:pStyle w:val="NormalHanging12a"/>
      </w:pPr>
      <w:r w:rsidRPr="00554F13">
        <w:t>–</w:t>
      </w:r>
      <w:r w:rsidRPr="00554F13">
        <w:tab/>
        <w:t>atsižvelgdamas į 2022 m. liepos 7 d. savo rezoliuciją dėl JAV Aukščiausiojo Teismo sprendimo Jungtinėse Valstijose panaikinti teisę į abortą ir poreikio Europos Sąjungoje užtikrinti teisę į abortą bei moterų sveikatos apsaugą</w:t>
      </w:r>
      <w:r w:rsidRPr="00554F13">
        <w:rPr>
          <w:rStyle w:val="FootnoteReference"/>
        </w:rPr>
        <w:footnoteReference w:id="26"/>
      </w:r>
      <w:r w:rsidRPr="00554F13">
        <w:t>,</w:t>
      </w:r>
    </w:p>
    <w:p w:rsidR="00071C49" w:rsidRPr="00554F13" w:rsidRDefault="00071C49" w:rsidP="00071C49">
      <w:pPr>
        <w:pStyle w:val="NormalHanging12a"/>
      </w:pPr>
      <w:r w:rsidRPr="00554F13">
        <w:t>–</w:t>
      </w:r>
      <w:r w:rsidRPr="00554F13">
        <w:tab/>
        <w:t xml:space="preserve">atsižvelgdamas į 2022 m. gegužės 3 d. savo rezoliuciją dėl mažumų persekiojimo dėl </w:t>
      </w:r>
      <w:r w:rsidRPr="00554F13">
        <w:lastRenderedPageBreak/>
        <w:t>tikėjimo ar religijos</w:t>
      </w:r>
      <w:r w:rsidRPr="00554F13">
        <w:rPr>
          <w:rStyle w:val="FootnoteReference"/>
        </w:rPr>
        <w:footnoteReference w:id="27"/>
      </w:r>
      <w:r w:rsidRPr="00554F13">
        <w:t>,</w:t>
      </w:r>
    </w:p>
    <w:p w:rsidR="00071C49" w:rsidRPr="00554F13" w:rsidRDefault="00071C49" w:rsidP="00071C49">
      <w:pPr>
        <w:pStyle w:val="NormalHanging12a"/>
      </w:pPr>
      <w:r w:rsidRPr="00554F13">
        <w:t>–</w:t>
      </w:r>
      <w:r w:rsidRPr="00554F13">
        <w:tab/>
        <w:t>atsižvelgdamas į 2022 m. gegužės 5 d. savo rezoliuciją dėl pagal ES sutarties 7 straipsnio 1 dalį vykstančių klausymų dėl Lenkijos ir Vengrijos</w:t>
      </w:r>
      <w:r w:rsidRPr="00554F13">
        <w:rPr>
          <w:rStyle w:val="FootnoteReference"/>
        </w:rPr>
        <w:footnoteReference w:id="28"/>
      </w:r>
      <w:r w:rsidRPr="00554F13">
        <w:t>,</w:t>
      </w:r>
    </w:p>
    <w:p w:rsidR="00071C49" w:rsidRPr="00554F13" w:rsidRDefault="00071C49" w:rsidP="00071C49">
      <w:pPr>
        <w:pStyle w:val="NormalHanging12a"/>
        <w:rPr>
          <w:szCs w:val="24"/>
        </w:rPr>
      </w:pPr>
      <w:r w:rsidRPr="00554F13">
        <w:t>–</w:t>
      </w:r>
      <w:r w:rsidRPr="00554F13">
        <w:tab/>
        <w:t>atsižvelgdamas į 2022 m. spalio 18 d. savo sprendimą (ES) 2023/325 dėl Europos sienų ir pakrančių apsaugos agentūros (</w:t>
      </w:r>
      <w:r w:rsidRPr="00554F13">
        <w:rPr>
          <w:i/>
          <w:iCs/>
        </w:rPr>
        <w:t>Frontex</w:t>
      </w:r>
      <w:r w:rsidRPr="00554F13">
        <w:t>) 2020 finansinių metų biudžeto įvykdymo patvirtinimo</w:t>
      </w:r>
      <w:r w:rsidRPr="00554F13">
        <w:rPr>
          <w:vertAlign w:val="superscript"/>
        </w:rPr>
        <w:footnoteReference w:id="29"/>
      </w:r>
      <w:r w:rsidRPr="00554F13">
        <w:t>,</w:t>
      </w:r>
    </w:p>
    <w:p w:rsidR="00071C49" w:rsidRPr="00554F13" w:rsidRDefault="00071C49" w:rsidP="00071C49">
      <w:pPr>
        <w:pStyle w:val="NormalHanging12a"/>
        <w:rPr>
          <w:szCs w:val="24"/>
        </w:rPr>
      </w:pPr>
      <w:r w:rsidRPr="00554F13">
        <w:t>–</w:t>
      </w:r>
      <w:r w:rsidRPr="00554F13">
        <w:tab/>
        <w:t>atsižvelgdamas į 2022 m. spalio 20 d. savo rezoliuciją dėl augančių neapykantos nusikaltimų prieš LGBTIQ asmenis visoje Europoje skaičiaus, atsižvelgiant į neseniai Slovakijoje įvykusias homofobines žmogžudystes</w:t>
      </w:r>
      <w:r w:rsidRPr="00554F13">
        <w:rPr>
          <w:vertAlign w:val="superscript"/>
        </w:rPr>
        <w:footnoteReference w:id="30"/>
      </w:r>
      <w:r w:rsidRPr="00554F13">
        <w:t>,</w:t>
      </w:r>
    </w:p>
    <w:p w:rsidR="00071C49" w:rsidRPr="00554F13" w:rsidRDefault="00071C49" w:rsidP="00071C49">
      <w:pPr>
        <w:pStyle w:val="NormalHanging12a"/>
        <w:rPr>
          <w:szCs w:val="24"/>
        </w:rPr>
      </w:pPr>
      <w:r w:rsidRPr="00554F13">
        <w:t>–</w:t>
      </w:r>
      <w:r w:rsidRPr="00554F13">
        <w:tab/>
        <w:t>atsižvelgdamas į 2022 m. lapkričio 10 d. savo rezoliuciją dėl rasinio teisingumo, nediskriminavimo ir kovos su rasizmu ES</w:t>
      </w:r>
      <w:r w:rsidRPr="00554F13">
        <w:rPr>
          <w:rStyle w:val="FootnoteReference"/>
        </w:rPr>
        <w:footnoteReference w:id="31"/>
      </w:r>
      <w:r w:rsidRPr="00554F13">
        <w:t>,</w:t>
      </w:r>
    </w:p>
    <w:p w:rsidR="00071C49" w:rsidRPr="00554F13" w:rsidRDefault="00071C49" w:rsidP="00071C49">
      <w:pPr>
        <w:pStyle w:val="NormalHanging12a"/>
        <w:rPr>
          <w:szCs w:val="24"/>
        </w:rPr>
      </w:pPr>
      <w:r w:rsidRPr="00554F13">
        <w:t>–</w:t>
      </w:r>
      <w:r w:rsidRPr="00554F13">
        <w:tab/>
        <w:t>atsižvelgdamas į 2022 m. gruodžio 13 d. savo rezoliuciją „Siekiant lygių teisių neįgaliesiems“</w:t>
      </w:r>
      <w:r w:rsidRPr="00554F13">
        <w:rPr>
          <w:vertAlign w:val="superscript"/>
        </w:rPr>
        <w:footnoteReference w:id="32"/>
      </w:r>
      <w:r w:rsidRPr="00554F13">
        <w:t>,</w:t>
      </w:r>
    </w:p>
    <w:p w:rsidR="00071C49" w:rsidRPr="00554F13" w:rsidRDefault="00071C49" w:rsidP="00071C49">
      <w:pPr>
        <w:pStyle w:val="NormalHanging12a"/>
      </w:pPr>
      <w:r w:rsidRPr="00554F13">
        <w:t>–</w:t>
      </w:r>
      <w:r w:rsidRPr="00554F13">
        <w:tab/>
        <w:t>atsižvelgdamas į 2023 m. balandžio 19 d. savo rezoliuciją „Kova su diskriminacija ES. Ilgai laukta horizontalioji kovos su diskriminacija direktyva“</w:t>
      </w:r>
      <w:r w:rsidRPr="00554F13">
        <w:rPr>
          <w:rStyle w:val="FootnoteReference"/>
        </w:rPr>
        <w:footnoteReference w:id="33"/>
      </w:r>
      <w:r w:rsidRPr="00554F13">
        <w:t>,</w:t>
      </w:r>
    </w:p>
    <w:p w:rsidR="00071C49" w:rsidRPr="00554F13" w:rsidRDefault="00071C49" w:rsidP="00071C49">
      <w:pPr>
        <w:pStyle w:val="NormalHanging12a"/>
        <w:rPr>
          <w:szCs w:val="24"/>
        </w:rPr>
      </w:pPr>
      <w:r w:rsidRPr="00554F13">
        <w:t>–</w:t>
      </w:r>
      <w:r w:rsidRPr="00554F13">
        <w:tab/>
        <w:t>atsižvelgdamas į 2023 m. gegužės 10 d. savo poziciją dėl Tarybos sprendimų dėl Europos Tarybos konvencijos dėl smurto prieš moteris ir smurto šeimoje prevencijos ir kovos su juo sudarymo Europos Sąjungos vardu, kiek tai susiję su Sąjungos institucijomis ir viešuoju administravimu, projekto</w:t>
      </w:r>
      <w:r w:rsidRPr="00554F13">
        <w:rPr>
          <w:rStyle w:val="FootnoteReference"/>
        </w:rPr>
        <w:footnoteReference w:id="34"/>
      </w:r>
      <w:r w:rsidRPr="00554F13">
        <w:t>, taip pat kiek tai susiję su klausimais, susijusiais su teisminiu bendradarbiavimu baudžiamosiose bylose, prieglobsčiu ir negrąžinimo principu,</w:t>
      </w:r>
    </w:p>
    <w:p w:rsidR="00071C49" w:rsidRPr="00554F13" w:rsidRDefault="00071C49" w:rsidP="00071C49">
      <w:pPr>
        <w:pStyle w:val="NormalHanging12a"/>
      </w:pPr>
      <w:r w:rsidRPr="00554F13">
        <w:t>–</w:t>
      </w:r>
      <w:r w:rsidRPr="00554F13">
        <w:tab/>
        <w:t>atsižvelgdamas į 2023 m. gegužės 11 d. savo rezoliuciją dėl ES ir JAV duomenų privatumo sistemos teikiamos apsaugos tinkamumo</w:t>
      </w:r>
      <w:r w:rsidRPr="00554F13">
        <w:rPr>
          <w:rStyle w:val="FootnoteReference"/>
          <w:szCs w:val="24"/>
        </w:rPr>
        <w:footnoteReference w:id="35"/>
      </w:r>
      <w:r w:rsidRPr="00554F13">
        <w:t>,</w:t>
      </w:r>
    </w:p>
    <w:p w:rsidR="00071C49" w:rsidRPr="00554F13" w:rsidRDefault="00071C49" w:rsidP="00071C49">
      <w:pPr>
        <w:pStyle w:val="NormalHanging12a"/>
        <w:rPr>
          <w:szCs w:val="24"/>
        </w:rPr>
      </w:pPr>
      <w:r w:rsidRPr="00554F13">
        <w:t>–</w:t>
      </w:r>
      <w:r w:rsidRPr="00554F13">
        <w:tab/>
        <w:t xml:space="preserve">atsižvelgdamas į 2023 m. gegužės 22 d. pranešimą ir rekomendaciją dėl su programos „Pegasus“ ir lygiaverčių šnipinėjimo programų naudojimu susijusių galimų pažeidimų ir netinkamo administravimo taikant Sąjungos teisę tyrimo, </w:t>
      </w:r>
    </w:p>
    <w:p w:rsidR="00071C49" w:rsidRPr="00554F13" w:rsidRDefault="00071C49" w:rsidP="00071C49">
      <w:pPr>
        <w:pStyle w:val="NormalHanging12a"/>
        <w:rPr>
          <w:szCs w:val="24"/>
        </w:rPr>
      </w:pPr>
      <w:r w:rsidRPr="00554F13">
        <w:t>–</w:t>
      </w:r>
      <w:r w:rsidRPr="00554F13">
        <w:tab/>
        <w:t>atsižvelgdamas į 2023 m. birželio 1 d. savo rezoliuciją dėl teisinės valstybės principo ir pagrindinių teisių pažeidimų Vengrijoje ir ES lėšų įšaldymo</w:t>
      </w:r>
      <w:r w:rsidRPr="00554F13">
        <w:rPr>
          <w:rStyle w:val="FootnoteReference"/>
        </w:rPr>
        <w:footnoteReference w:id="36"/>
      </w:r>
      <w:r w:rsidRPr="00554F13">
        <w:t>,</w:t>
      </w:r>
    </w:p>
    <w:p w:rsidR="00071C49" w:rsidRPr="00554F13" w:rsidRDefault="00071C49" w:rsidP="00071C49">
      <w:pPr>
        <w:pStyle w:val="NormalHanging12a"/>
        <w:rPr>
          <w:szCs w:val="24"/>
        </w:rPr>
      </w:pPr>
      <w:r w:rsidRPr="00554F13">
        <w:t>–</w:t>
      </w:r>
      <w:r w:rsidRPr="00554F13">
        <w:tab/>
        <w:t xml:space="preserve">atsižvelgdamas į 2023 m. liepos 13 d. savo rezoliuciją dėl 2019–2021 m. metinės </w:t>
      </w:r>
      <w:r w:rsidRPr="00554F13">
        <w:lastRenderedPageBreak/>
        <w:t>ataskaitos dėl visuomenės teisės susipažinti su dokumentais</w:t>
      </w:r>
      <w:r w:rsidRPr="00554F13">
        <w:rPr>
          <w:rStyle w:val="FootnoteReference"/>
        </w:rPr>
        <w:footnoteReference w:id="37"/>
      </w:r>
      <w:r w:rsidRPr="00554F13">
        <w:t xml:space="preserve">, </w:t>
      </w:r>
    </w:p>
    <w:p w:rsidR="00071C49" w:rsidRPr="00554F13" w:rsidRDefault="00071C49" w:rsidP="00071C49">
      <w:pPr>
        <w:pStyle w:val="NormalHanging12a"/>
        <w:rPr>
          <w:szCs w:val="24"/>
        </w:rPr>
      </w:pPr>
      <w:r w:rsidRPr="00554F13">
        <w:t>–</w:t>
      </w:r>
      <w:r w:rsidRPr="00554F13">
        <w:tab/>
        <w:t>atsižvelgdamas į 2023 m. spalio 4 d. savo rezoliuciją dėl romų vaikų segregacijos ir diskriminacijos švietimo srityje</w:t>
      </w:r>
      <w:r w:rsidRPr="00554F13">
        <w:rPr>
          <w:rStyle w:val="FootnoteReference"/>
        </w:rPr>
        <w:footnoteReference w:id="38"/>
      </w:r>
      <w:r w:rsidRPr="00554F13">
        <w:t>,</w:t>
      </w:r>
    </w:p>
    <w:p w:rsidR="00071C49" w:rsidRPr="00554F13" w:rsidRDefault="00071C49" w:rsidP="00071C49">
      <w:pPr>
        <w:pStyle w:val="NormalHanging12a"/>
      </w:pPr>
      <w:r w:rsidRPr="00554F13">
        <w:t>–</w:t>
      </w:r>
      <w:r w:rsidRPr="00554F13">
        <w:tab/>
        <w:t>atsižvelgdamas į Darbo tvarkos taisyklių 54 straipsnį,</w:t>
      </w:r>
    </w:p>
    <w:p w:rsidR="00071C49" w:rsidRPr="00554F13" w:rsidRDefault="00071C49" w:rsidP="00071C49">
      <w:pPr>
        <w:pStyle w:val="NormalHanging12a"/>
      </w:pPr>
      <w:r w:rsidRPr="00554F13">
        <w:t>–</w:t>
      </w:r>
      <w:r w:rsidRPr="00554F13">
        <w:tab/>
        <w:t>atsižvelgdamas į Konstitucinių reikalų komiteto nuomonę,</w:t>
      </w:r>
    </w:p>
    <w:p w:rsidR="00071C49" w:rsidRPr="00554F13" w:rsidRDefault="00071C49" w:rsidP="00071C49">
      <w:pPr>
        <w:pStyle w:val="NormalHanging12a"/>
      </w:pPr>
      <w:r w:rsidRPr="00554F13">
        <w:t>–</w:t>
      </w:r>
      <w:r w:rsidRPr="00554F13">
        <w:tab/>
        <w:t>atsižvelgdamas į Piliečių laisvių, teisingumo ir vidaus reikalų komiteto pranešimą (A9</w:t>
      </w:r>
      <w:r w:rsidRPr="00554F13">
        <w:noBreakHyphen/>
        <w:t>0376/2023),</w:t>
      </w:r>
    </w:p>
    <w:p w:rsidR="00071C49" w:rsidRPr="00417FFD" w:rsidRDefault="00071C49" w:rsidP="00071C49">
      <w:pPr>
        <w:pStyle w:val="NormalHanging12a"/>
      </w:pPr>
      <w:r w:rsidRPr="00554F13">
        <w:t>A.</w:t>
      </w:r>
      <w:r w:rsidRPr="00554F13">
        <w:tab/>
      </w:r>
      <w:r w:rsidRPr="00417FFD">
        <w:t>kadangi ES yra grindžiama pagarbos žmogaus orumui, laisvės, demokratijos, lygybės, teisinės valstybės ir žmogaus teisių vertybėmis, įskaitant mažumoms priklausančių asmenų teises, kaip nustatyta ES sutarties 2 straipsnyje ir Chartijoje bei įtvirtinta tarptautinėse žmogaus teisių sutartyse; kadangi šios vertybės turėtų būti bendros, ES ir valstybės narės turi jas puoselėti ir aktyviai jas propaguoti vykdydamos savo vidaus ir išorės veiksmus; kadangi pastaraisiais metais kai kuriose valstybėse narėse pagarba šioms vertybėms sumažėjo taip, kad tai kelia nerimą;</w:t>
      </w:r>
    </w:p>
    <w:p w:rsidR="00071C49" w:rsidRPr="00554F13" w:rsidRDefault="00071C49" w:rsidP="00071C49">
      <w:pPr>
        <w:pStyle w:val="NormalHanging12a"/>
        <w:rPr>
          <w:szCs w:val="24"/>
        </w:rPr>
      </w:pPr>
      <w:r w:rsidRPr="00417FFD">
        <w:t>B.</w:t>
      </w:r>
      <w:r w:rsidRPr="00417FFD">
        <w:tab/>
        <w:t>kadangi demokratija, teisinės valstybės principai ir pagrindinės teisės yra viena kitą sutvirtinančios vertybės, kurias pamynus Sąjungai ir visų ES gyvenančių asmenų teisėms ir laisvėms kyla sisteminė grėsmė; kadangi visa Sąjunga ir jos valstybės narės visais valdymo lygmenimis yra įpareigotos laikytis teisinės valstybės principų;</w:t>
      </w:r>
    </w:p>
    <w:p w:rsidR="00071C49" w:rsidRPr="00554F13" w:rsidRDefault="00071C49" w:rsidP="00071C49">
      <w:pPr>
        <w:pStyle w:val="NormalHanging12a"/>
        <w:rPr>
          <w:szCs w:val="24"/>
        </w:rPr>
      </w:pPr>
      <w:r w:rsidRPr="00554F13">
        <w:t>C.</w:t>
      </w:r>
      <w:r w:rsidRPr="00554F13">
        <w:tab/>
        <w:t>kadangi laisvi, nepriklausomi ir skaidrūs rinkimai yra demokratijos ramstis;</w:t>
      </w:r>
    </w:p>
    <w:p w:rsidR="00071C49" w:rsidRPr="00554F13" w:rsidRDefault="00071C49" w:rsidP="00071C49">
      <w:pPr>
        <w:pStyle w:val="NormalHanging12a"/>
        <w:rPr>
          <w:szCs w:val="24"/>
        </w:rPr>
      </w:pPr>
      <w:r w:rsidRPr="00554F13">
        <w:t>D.</w:t>
      </w:r>
      <w:r w:rsidR="004F762E">
        <w:tab/>
      </w:r>
      <w:r w:rsidRPr="00554F13">
        <w:t>kadangi vis labiau plintanti dezinformacija kelia grėsmę demokratiniam Sąjungos veikimui; kadangi manipuliavimo informacija masto mažinimas yra viešojo intereso klausimas; kadangi dėl dezinformacijos sumažėja ES piliečių ir joje gyvenančių asmenų gebėjimas priimti faktais pagrįstus sprendimus ir laisvai dalyvauti demokratiniuose procesuose; kadangi nepriklausoma ir pliuralistinė žiniasklaida yra galinga kovos su dezinformacija priemonė;</w:t>
      </w:r>
    </w:p>
    <w:p w:rsidR="00071C49" w:rsidRPr="00554F13" w:rsidRDefault="00071C49" w:rsidP="00071C49">
      <w:pPr>
        <w:pStyle w:val="NormalHanging12a"/>
      </w:pPr>
      <w:r w:rsidRPr="00554F13">
        <w:t>E.</w:t>
      </w:r>
      <w:r w:rsidRPr="00554F13">
        <w:tab/>
        <w:t>kadangi žiniasklaidos laisvė, pliuralizmas, nepriklausomumas ir žurnalistų saugumas yra pagrindiniai teisės į žodžio laisvę ir informaciją elementai ir yra labai svarbūs ES ir jos valstybių narių demokratiniam veikimui; kadangi pastaraisiais metais daugelyje valstybių narių ir užsienio šalių žurnalistai ir kiti žiniasklaidos subjektai vis dažniau sulaukia grasinimų, jiems daromas neteisėtas spaudimas, jie bauginami, prieš juos smurtaujama ir kitaip kišamasi į jų darbą, ypač tuomet, kai daugiausia dėmesio skiriama piktnaudžiavimui valdžia, korupcijai, pagrindinių teisių pažeidimams ir nusikalstamoms veikoms; kadangi strateginiai ieškiniai dėl visuomenės dalyvavimo (SLAPP) tebėra aktuali problema visoje ES; kadangi nerimą kelianti padėtis, kylanti dėl grasinimų ir išpuolių, yra susijusi ne vien tik su profesionaliais žurnalistais ir kitais tradicinės žiniasklaidos subjektais; kadangi dėl naujų žiniasklaidos formų skaitmeniniame amžiuje išsiplėtė žiniasklaidos subjektų apibrėžtis, todėl ji apima ir kitus subjektus, kurie prisideda prie viešų diskusijų ir kurie užsiima žurnalistine veikla arba atlieka visuomenės sergėtojo funkcijas;</w:t>
      </w:r>
    </w:p>
    <w:p w:rsidR="00071C49" w:rsidRPr="00554F13" w:rsidRDefault="00071C49" w:rsidP="00EF1B03">
      <w:pPr>
        <w:pStyle w:val="NormalHanging12a"/>
        <w:rPr>
          <w:szCs w:val="24"/>
        </w:rPr>
      </w:pPr>
      <w:r w:rsidRPr="00554F13">
        <w:t>F.</w:t>
      </w:r>
      <w:r w:rsidRPr="00554F13">
        <w:tab/>
        <w:t xml:space="preserve">kadangi kai kurių valstybių narių ir ne ES šalių vyriausybinės institucijos politiniais ir </w:t>
      </w:r>
      <w:r w:rsidRPr="00554F13">
        <w:lastRenderedPageBreak/>
        <w:t>net nusikalstamais tikslais naudojo „Pegasus“ ir kitas šnipinėjimo programas prieš žurnalistus, politikus, teisėsaugos pareigūnus, diplomatus, teisininkus, verslininkus, pilietinės visuomenės ir kitus veikėjus; kadangi tokia praktika kelia itin didelį susirūpinimą ir išryškina piktnaudžiavimo šnipinėjimo technologijomis siekiant pakenkti pagrindinėms žmogaus teisėms, demokratijai ir rinkimų procesams pavojų;</w:t>
      </w:r>
    </w:p>
    <w:p w:rsidR="00071C49" w:rsidRPr="00554F13" w:rsidRDefault="00071C49" w:rsidP="00071C49">
      <w:pPr>
        <w:pStyle w:val="NormalHanging12a"/>
      </w:pPr>
      <w:r w:rsidRPr="00554F13">
        <w:t>G.</w:t>
      </w:r>
      <w:r w:rsidRPr="00554F13">
        <w:tab/>
        <w:t>kadangi korupcija kelia didelę grėsmę demokratijai ir teisinei valstybei; kadangi kai kuriose valstybėse narėse kova su korupcija nuolat kelia didelį susirūpinimą; kadangi keliose valstybėse narėse korupcijos stabdymo mechanizmai yra silpni ir nepakankama pranešėjų apsauga tebėra plačiai paplitęs trūkumas; kadangi Sąlygų reglamentu siekiama apsaugoti Sąjungos biudžetą nuo teisinės valstybės principų pažeidimų;</w:t>
      </w:r>
    </w:p>
    <w:p w:rsidR="00071C49" w:rsidRPr="00554F13" w:rsidRDefault="00071C49" w:rsidP="00071C49">
      <w:pPr>
        <w:pStyle w:val="NormalHanging12a"/>
        <w:rPr>
          <w:szCs w:val="24"/>
        </w:rPr>
      </w:pPr>
      <w:r w:rsidRPr="00554F13">
        <w:t>H.</w:t>
      </w:r>
      <w:r w:rsidRPr="00554F13">
        <w:tab/>
        <w:t>kadangi žurnalistai, žiniasklaidos priemonės ir tinklaraštininkai, žmogaus teisių gynėjai, pilietinės visuomenės organizacijos, aktyvistai, profesinės sąjungos, menininkai, mokslininkai, informatoriai ir politikai vis dažniau sulaukia grasinimų, prie jų priekabiaujama, jie kitaip bauginami dėl to, kad dalyvauja visuomenės gyvenime;</w:t>
      </w:r>
    </w:p>
    <w:p w:rsidR="00071C49" w:rsidRPr="00554F13" w:rsidRDefault="00071C49" w:rsidP="00071C49">
      <w:pPr>
        <w:pStyle w:val="NormalHanging12a"/>
      </w:pPr>
      <w:r w:rsidRPr="00554F13">
        <w:t>I.</w:t>
      </w:r>
      <w:r w:rsidRPr="00554F13">
        <w:tab/>
        <w:t>kadangi teisminių institucijų nepriklausomumui, kuris yra esminis demokratinio valdžių padalijimo principo reikalavimas ir yra itin svarbus užtikrinant pagarbą pagrindinėms teisėms, valstybėse narėse, kurių vis daugėja, kyla didelė grėsmė arba jis netgi yra struktūriškai pažeidžiamas;</w:t>
      </w:r>
    </w:p>
    <w:p w:rsidR="00071C49" w:rsidRPr="00554F13" w:rsidRDefault="00071C49" w:rsidP="00071C49">
      <w:pPr>
        <w:pStyle w:val="NormalHanging12a"/>
        <w:rPr>
          <w:szCs w:val="24"/>
        </w:rPr>
      </w:pPr>
      <w:r w:rsidRPr="00554F13">
        <w:t>J.</w:t>
      </w:r>
      <w:r w:rsidRPr="00554F13">
        <w:tab/>
        <w:t>kadangi Teisingumo Teismas priminė</w:t>
      </w:r>
      <w:r w:rsidRPr="00554F13">
        <w:rPr>
          <w:vertAlign w:val="superscript"/>
        </w:rPr>
        <w:footnoteReference w:id="39"/>
      </w:r>
      <w:r w:rsidRPr="00554F13">
        <w:t xml:space="preserve">, kad Chartijos 12 straipsnio 1 dalyje įtvirtinta asociacijų laisvė yra vienas esminių demokratinės ir pliuralistinės visuomenės pagrindų, nes ši laisvė leidžia žmonėms ES kartu veikti bendrų interesų srityje ir tai darant prisidėti prie tinkamo visuomeninio gyvenimo funkcionavimo; kadangi vis dažniau pranešama, kad kai kuriose valstybėse narėse daugėja smurtinių išpuolių prieš teisę į susirinkimus ir asociacijas neproporcingai naudojant jėgą prieš taikius demonstrantus, taip pat jie yra mušami; </w:t>
      </w:r>
    </w:p>
    <w:p w:rsidR="00071C49" w:rsidRPr="00554F13" w:rsidRDefault="00071C49" w:rsidP="00071C49">
      <w:pPr>
        <w:pStyle w:val="NormalHanging12a"/>
        <w:rPr>
          <w:szCs w:val="24"/>
        </w:rPr>
      </w:pPr>
      <w:r w:rsidRPr="00554F13">
        <w:t>K.</w:t>
      </w:r>
      <w:r w:rsidRPr="00554F13">
        <w:tab/>
        <w:t>kadangi kai kurios valstybės narės nustatė apribojimus sąmoningai siekdamos apriboti pilietinę erdvę; kadangi daugelyje valstybių narių pilietinės erdvės srityje susiduriama su teisiniu, administraciniu ir fiskaliniu persekiojimu, kriminalizavimu ir neigiama retorika, kuria siekiama stigmatizuoti ir delegitimizuoti PVO, aktyvistus ir žmogaus teisių gynėjus ir sumažinti jų gebėjimą atlikti savo darbą;</w:t>
      </w:r>
    </w:p>
    <w:p w:rsidR="00071C49" w:rsidRPr="00554F13" w:rsidRDefault="00071C49" w:rsidP="00071C49">
      <w:pPr>
        <w:pStyle w:val="NormalHanging12a"/>
        <w:rPr>
          <w:szCs w:val="24"/>
        </w:rPr>
      </w:pPr>
      <w:r w:rsidRPr="00554F13">
        <w:t>L.</w:t>
      </w:r>
      <w:r w:rsidRPr="00554F13">
        <w:tab/>
        <w:t xml:space="preserve">kadangi 2023 m. kovo mėn. Europos Tarybos žmogaus teisių komisaras įvertino, kad žmogaus teisių gynėjų padėtis Europoje labai pablogėjo, o vyriausybės vis dažniau linkusios nepaisyti savo įsipareigojimų žmogaus teisių srityje, pirmenybę teikdamos nacionaliniam saugumui ir visuomenės saugumui, o ne žmogaus teisėms; kadangi Komisijos narys pranešė, kad valstybėse narėse ir kaimyninėse šalyse vis labiau ribojamos jų galimybės laisvai ir saugiai dirbti, taip pat pranešta apie įvairių formų atsakomąsias priemones, įskaitant teisminį persekiojimą, baudžiamąjį persekiojimą, piktnaudžiaujamojo pobūdžio kontrolę ir stebėjimą, šmeižto kampanijas, grasinimus ir bauginimą; kadangi didelį susirūpinimą tebekelia tai, kad nėra veiksmingų valstybinių ir nevalstybinių subjektų padarytų pažeidimų, nukreiptų prieš žmogaus teisių gynėjus, tyrimų; kadangi tai kenkia demokratijai ir yra dalis platesnės visuomenės supriešinimo problemos, kuriai būdinga augantis neapykantos ir smurto prieš įvairias socialines ar </w:t>
      </w:r>
      <w:r w:rsidRPr="00554F13">
        <w:lastRenderedPageBreak/>
        <w:t>mažumų grupes apraiškų skaičius;</w:t>
      </w:r>
    </w:p>
    <w:p w:rsidR="00071C49" w:rsidRPr="00554F13" w:rsidRDefault="00071C49" w:rsidP="00071C49">
      <w:pPr>
        <w:pStyle w:val="NormalHanging12a"/>
      </w:pPr>
      <w:r w:rsidRPr="00554F13">
        <w:t>M.</w:t>
      </w:r>
      <w:r w:rsidRPr="00554F13">
        <w:tab/>
        <w:t>kadangi dėl valdžios institucijų vykdyto neveiksmingo valdymo ir neproporcingo jėgos naudojimo prie Europos Sąjungos sienų buvo nemažai migrantų mirčių ir žmogaus teisių pažeidimų atvejų; kadangi vis daugiau technologijų, įskaitant dirbtinį intelektą, naudojama migrantams stebėti prie ES išorės ir vidaus sienų; kadangi nevyriausybinių organizacijų ar kitų nevalstybinių subjektų, kurie vykdo paieškos ir gelbėjimo operacijas, laikydamiesi atitinkamos teisinės sistemos, kriminalizavimas prilygsta tarptautinės teisės pažeidimui</w:t>
      </w:r>
      <w:r w:rsidRPr="00554F13">
        <w:rPr>
          <w:vertAlign w:val="superscript"/>
        </w:rPr>
        <w:footnoteReference w:id="40"/>
      </w:r>
      <w:r w:rsidRPr="00554F13">
        <w:t>, todėl neleidžiamas pagal ES teisę; kadangi Teisingumo Teismas priminė, kad ne ES šalių piliečiai gali būti įkalinti tik tada, kai yra konkretus teisinis pagrindas apriboti jų teisę į laisvę, o ne tada, kai egzistuoja tik bendrasis kriterijus</w:t>
      </w:r>
      <w:r w:rsidRPr="00554F13">
        <w:rPr>
          <w:vertAlign w:val="superscript"/>
        </w:rPr>
        <w:footnoteReference w:id="41"/>
      </w:r>
      <w:r w:rsidRPr="00554F13">
        <w:t>;</w:t>
      </w:r>
    </w:p>
    <w:p w:rsidR="00071C49" w:rsidRPr="00554F13" w:rsidRDefault="00071C49" w:rsidP="00071C49">
      <w:pPr>
        <w:pStyle w:val="NormalHanging12a"/>
      </w:pPr>
      <w:r w:rsidRPr="00554F13">
        <w:t>N.</w:t>
      </w:r>
      <w:r w:rsidRPr="00554F13">
        <w:tab/>
        <w:t>kadangi 2022 m., palyginti su 2021 m., žūčių prie Europos jūrų sienų skaičius šiek tiek sumažėjo, tačiau vis tiek išliko didesnis nei per trejus metus iki 2021 m.</w:t>
      </w:r>
      <w:r w:rsidRPr="00554F13">
        <w:rPr>
          <w:vertAlign w:val="superscript"/>
        </w:rPr>
        <w:footnoteReference w:id="42"/>
      </w:r>
      <w:r w:rsidRPr="00554F13">
        <w:t>; kadangi daugiausia žmonių žuvo centrinėje Viduržemio jūros dalyje, prie Šiaurės Afrikos pakrančių</w:t>
      </w:r>
      <w:r w:rsidRPr="00554F13">
        <w:rPr>
          <w:vertAlign w:val="superscript"/>
        </w:rPr>
        <w:footnoteReference w:id="43"/>
      </w:r>
      <w:r w:rsidRPr="00554F13">
        <w:t xml:space="preserve">; </w:t>
      </w:r>
    </w:p>
    <w:p w:rsidR="00071C49" w:rsidRPr="00554F13" w:rsidRDefault="00071C49" w:rsidP="00071C49">
      <w:pPr>
        <w:pStyle w:val="NormalHanging12a"/>
        <w:rPr>
          <w:szCs w:val="24"/>
        </w:rPr>
      </w:pPr>
      <w:r w:rsidRPr="00554F13">
        <w:t>O.</w:t>
      </w:r>
      <w:r w:rsidRPr="00554F13">
        <w:tab/>
        <w:t>kadangi buvo pateikta keletas ataskaitų ir atlikta keletas tyrimų dėl FRONTEX klausimais, susijusiais su pagrindinėmis teisėmis (tokias ataskaitas pateikė ir tyrimus atliko, be kita ko, Europos kovos su sukčiavimu tarnyba (OLAF) ir Europos ombudsmenė); kadangi 2022 m. balandžio mėn. buvęs FRONTEX direktorius atsistatydino iš pareigų; kadangi visos ES agentūros privalo laikytis pagrindinių teisių ir atsakyti už pagrindinių teisių pažeidimus;</w:t>
      </w:r>
    </w:p>
    <w:p w:rsidR="00071C49" w:rsidRPr="00554F13" w:rsidRDefault="00071C49" w:rsidP="00071C49">
      <w:pPr>
        <w:pStyle w:val="NormalHanging12a"/>
      </w:pPr>
      <w:r w:rsidRPr="00554F13">
        <w:t>P.</w:t>
      </w:r>
      <w:r w:rsidRPr="00554F13">
        <w:tab/>
        <w:t>kadangi pastaraisiais metais būta organizuotos priešiškos reakcijos į moterų ir mergaičių teises; kadangi kai kuriose valstybėse narėse buvo bandoma toliau mažinti lytinės ir reprodukcinės sveikatos apsaugą bei teises, pvz., esamos teisinės moterų galimybės naudotis abortų priežiūros paslaugomis apsaugą; kadangi pastaraisiais metais kai kuriose valstybėse narėse uždraudus saugiai ir teisėtai nutraukti nėštumą mirė daug moterų; kadangi smurtas dėl lyties, įskaitant seksualinį smurtą ir išžaginimą, tebėra paplitęs visoje ES; kadangi kai kurios valstybės narės vis dar neratifikavo Europos Tarybos konvencijos dėl smurto prieš moteris ir smurto šeimoje prevencijos ir kovos su juo (Stambulo konvencijos); kadangi ES daugėja judėjimų prieš lytinio švietimo skatinimą ir užtikrinimą;</w:t>
      </w:r>
    </w:p>
    <w:p w:rsidR="00071C49" w:rsidRPr="00554F13" w:rsidRDefault="00071C49" w:rsidP="00071C49">
      <w:pPr>
        <w:pStyle w:val="NormalHanging12a"/>
        <w:rPr>
          <w:szCs w:val="24"/>
        </w:rPr>
      </w:pPr>
      <w:r w:rsidRPr="00554F13">
        <w:t>Q.</w:t>
      </w:r>
      <w:r w:rsidRPr="00554F13">
        <w:tab/>
        <w:t>kadangi smurtas dėl lyties yra struktūrinės nelygybės, kurią lemia lyčių stereotipai ir galios asimetrija, įskaitant privačią, socialinę, viešąją ir ekonominę sferą, priežastis ir padarinys;</w:t>
      </w:r>
    </w:p>
    <w:p w:rsidR="00071C49" w:rsidRPr="00554F13" w:rsidRDefault="00071C49" w:rsidP="00071C49">
      <w:pPr>
        <w:pStyle w:val="NormalHanging12a"/>
      </w:pPr>
      <w:r w:rsidRPr="00554F13">
        <w:t>R.</w:t>
      </w:r>
      <w:r w:rsidRPr="00554F13">
        <w:tab/>
        <w:t xml:space="preserve">kadangi iš FRA tyrimo duomenų matyti, kad diskriminacijos dėl rasės ar etninės kilmės </w:t>
      </w:r>
      <w:r w:rsidRPr="00554F13">
        <w:lastRenderedPageBreak/>
        <w:t>arba religinių įsitikinimų (įskaitant romus, musulmonus, žydus ir afrikiečių kilmės asmenis) paplitimas išlieka didelis tiek laiko atžvilgiu, tiek tarp įvairių gyventojų grupių, visų pirma nepalankioje socialinėje ir ekonominėje padėtyje esančių asmenų, skirtingose valstybėse narėse; kadangi rasinės ir etninės mažumos susiduria su sisteminiu rasizmu, neapykantos nusikaltimais ir neapykantą kurstančia kalba, nepakankama galimybe kreiptis į teismą ir nuolatine socialine bei ekonomine nelygybe tokiose srityse kaip būstas, sveikatos priežiūra, užimtumas ir švietimas, ir tai reikėtų laikyti didelėmis kliūtimis visapusiškai naudotis savo pagrindinėmis teisėmis bei esminėmis kliūtimis įtraukčiai ir lygybei; kadangi antisemitizmas, priešiškumas romams, islamofobija ir rasizmas yra nuolatinės neapykantos ir diskriminacijos formos; kadangi kraštutinis dešinysis ekstremizmas kelia ypatingą grėsmę diskriminaciją patiriantiems asmenims ir visai visuomenei; kadangi, FRA teigimu, esama sisteminio rasizmo požymių ES, įskaitant teisėsaugos institucijas; kadangi politikoje ir priemonėse, kuriomis siekiama kovoti su rasizmu ir diskriminacija, turi būti atsižvelgiama į tarpsektorinę diskriminaciją;</w:t>
      </w:r>
    </w:p>
    <w:p w:rsidR="00071C49" w:rsidRPr="00554F13" w:rsidRDefault="00071C49" w:rsidP="00071C49">
      <w:pPr>
        <w:pStyle w:val="NormalHanging12a"/>
        <w:rPr>
          <w:szCs w:val="24"/>
        </w:rPr>
      </w:pPr>
      <w:r w:rsidRPr="00554F13">
        <w:t>S.</w:t>
      </w:r>
      <w:r w:rsidRPr="00554F13">
        <w:tab/>
        <w:t>kadangi ES gyvenantys neįgalieji toliau susiduria su diskriminacija, pvz., tinkamų sąlygų nesudarymu, priekabiavimu bei daugialypio ir sąveikinio pobūdžio diskriminacija visose savo gyvenimo srityse, įskaitant nepalankias socioekonomines sąlygas, socialinę atskirtį, netinkamą elgesį ir smurtą (taip pat ir dėl lyties), priverstinę sterilizaciją ir nėštumo nutraukimą, nepakankamas galimybes naudotis bendruomeninėmis paslaugomis, prastos kokybės būstą, apgyvendinimą specialiose įstaigose, netinkamą sveikatos priežiūrą bei galimybių prisidėti prie visuomenės gyvenimo ir aktyviai jame dalyvauti neužtikrinimą;</w:t>
      </w:r>
    </w:p>
    <w:p w:rsidR="00071C49" w:rsidRPr="00554F13" w:rsidRDefault="00071C49" w:rsidP="00071C49">
      <w:pPr>
        <w:pStyle w:val="NormalHanging12a"/>
        <w:rPr>
          <w:szCs w:val="24"/>
        </w:rPr>
      </w:pPr>
      <w:r w:rsidRPr="00554F13">
        <w:t>T.</w:t>
      </w:r>
      <w:r w:rsidRPr="00554F13">
        <w:tab/>
        <w:t>kadangi didelė dalis romų kilmės žmonių</w:t>
      </w:r>
      <w:r w:rsidRPr="00554F13">
        <w:rPr>
          <w:vertAlign w:val="superscript"/>
        </w:rPr>
        <w:footnoteReference w:id="44"/>
      </w:r>
      <w:r w:rsidRPr="00554F13">
        <w:t xml:space="preserve"> Europoje tiek kaimo, tiek miesto vietovėse gyvena labai nesaugiomis ir prastomis socialinėmis ir ekonominėmis sąlygomis; kadangi daugelis romų kilmės žmonių visose gyvenimo srityse negali naudotis pagrindinėmis žmogaus teisėmis; kadangi kai kuriose valstybėse narėse toliau išlieka vaikų perkėlimas į segreguotas mokyklas ir diskriminacinė etninių ir rasinių mažumų vaikų perkėlimo į sutrikusio intelekto vaikams skirtas mokyklas praktika;</w:t>
      </w:r>
    </w:p>
    <w:p w:rsidR="00071C49" w:rsidRPr="00554F13" w:rsidRDefault="00071C49" w:rsidP="00071C49">
      <w:pPr>
        <w:pStyle w:val="NormalHanging12a"/>
        <w:rPr>
          <w:szCs w:val="24"/>
        </w:rPr>
      </w:pPr>
      <w:r w:rsidRPr="00554F13">
        <w:t>U.</w:t>
      </w:r>
      <w:r w:rsidRPr="00554F13">
        <w:tab/>
        <w:t xml:space="preserve">kadangi visoje ES išlieka nuolatinė LGBTIQ+ asmenų ir LGBTIQ+ teisių gynėjų diskriminacijos, neapykantą kurstančios kalbos ir smurto prieš juos didėjimo tendencija; kadangi LGBTIQ+ asmenys vis dar patiria diskriminaciją ir atskirtį įvairiose valstybėse narėse socialinės apsaugos, socialinio draudimo, galimybės naudotis sveikatos priežiūros paslaugomis, švietimo, teisinės apsaugos, prieigos prie visuomenei prieinamų prekių ir kitų paslaugų, įskaitant aprūpinimą būstu, srityse; kadangi neįgyvendinama Teisingumo Teismo praktika, kuria ginamos tos pačios lyties porų ir vaikų, gimusių tos pačios lyties tėvams, socialinės teisės ir privatus gyvenimas, pavyzdžiui, </w:t>
      </w:r>
      <w:r w:rsidRPr="00554F13">
        <w:rPr>
          <w:i/>
          <w:iCs/>
        </w:rPr>
        <w:t>Coman</w:t>
      </w:r>
      <w:r w:rsidRPr="00554F13">
        <w:t xml:space="preserve"> byloje (C-673/16) ir </w:t>
      </w:r>
      <w:r w:rsidRPr="00554F13">
        <w:rPr>
          <w:i/>
          <w:iCs/>
        </w:rPr>
        <w:t>Baby Sara</w:t>
      </w:r>
      <w:r w:rsidRPr="00554F13">
        <w:t xml:space="preserve"> byloje (C-490/20); kadangi interseksualūs vaikai operuojami ir gydomi negavus jų išankstinio, asmeninio, visapusiško ir informacija pagrįsto sutrikimo; kadangi tokios interseksualių asmenų lyties organų sužalojimo pasekmės, kaip psichologinė trauma ir fiziniai pakenkimai, gali būti jaučiamos visą gyvenimą;</w:t>
      </w:r>
    </w:p>
    <w:p w:rsidR="00071C49" w:rsidRPr="00554F13" w:rsidRDefault="00071C49" w:rsidP="00071C49">
      <w:pPr>
        <w:pStyle w:val="NormalHanging12a"/>
      </w:pPr>
      <w:r w:rsidRPr="00554F13">
        <w:lastRenderedPageBreak/>
        <w:t>V.</w:t>
      </w:r>
      <w:r w:rsidRPr="00554F13">
        <w:tab/>
        <w:t>kadangi per pastaruosius kelerius metus</w:t>
      </w:r>
      <w:r w:rsidRPr="00554F13">
        <w:rPr>
          <w:vertAlign w:val="superscript"/>
        </w:rPr>
        <w:footnoteReference w:id="45"/>
      </w:r>
      <w:r w:rsidRPr="00554F13">
        <w:t xml:space="preserve"> neapykantos nusikaltimų ir neapykantos kalbos atvejų ES nuolat daugėjo, daugiausia dėl didėjančio socialinių tinklų naudotojų skaičiaus ir dėl to, kad neapykantos kalba klesti internete; kadangi socialinės žiniasklaidos platformų, kuriose taip pat platinamas neteisėtas turinys, verslo modelis pagrįstas itin tiksliai pritaikyta reklama, atlieka svarbų vaidmenį skleidžiant neapykantos retoriką, kuri kursto diskriminaciją ir smurtą; kadangi švietimo sistemos yra itin svarbios norint visiems asmenims teikti skaitmeninio švietimo paslaugas, jų skaitmeninį raštingumą ir įgūdžius, siekiant skatinti naudotojų supratimą apie skaitmenines technologijas, įveikti nelygybę, gerinti skaitmeninę įtrauktį ir suteikti asmenims galių bei apsaugoti juos ir jų teises, sykiu nustatant jų pareigas; kadangi neapykantos kalba gali lemti neapykantos nusikaltimus; kadangi, FRA duomenimis, apie 9 iš 10 neapykantos nusikaltimų ir neapykantos motyvuotų išpuolių ES nepranešama, todėl už juos netaikomos bausmės;</w:t>
      </w:r>
    </w:p>
    <w:p w:rsidR="00071C49" w:rsidRPr="00554F13" w:rsidRDefault="00071C49" w:rsidP="00071C49">
      <w:pPr>
        <w:pStyle w:val="NormalHanging12a"/>
        <w:rPr>
          <w:szCs w:val="24"/>
        </w:rPr>
      </w:pPr>
      <w:r w:rsidRPr="00554F13">
        <w:t>W.</w:t>
      </w:r>
      <w:r w:rsidRPr="00554F13">
        <w:tab/>
        <w:t>kadangi Chartijos 21 straipsniu draudžiama visa diskriminacija dėl kalbos ar priklausymo tautinei mažumai; kadangi jos 22 straipsnyje užtikrinama pagarba kalbų įvairovei;</w:t>
      </w:r>
    </w:p>
    <w:p w:rsidR="00071C49" w:rsidRPr="00554F13" w:rsidRDefault="00071C49" w:rsidP="00071C49">
      <w:pPr>
        <w:pStyle w:val="NormalHanging12a"/>
        <w:rPr>
          <w:szCs w:val="24"/>
        </w:rPr>
      </w:pPr>
      <w:r w:rsidRPr="00554F13">
        <w:t>X.</w:t>
      </w:r>
      <w:r w:rsidRPr="00554F13">
        <w:tab/>
        <w:t>kadangi ES grindžiama socialinių, kultūrinių ir ekonominių teisių propagavimu; kadangi ES skurstančių žmonių skaičius išlieka aukštas, daugiau nei kas penktam vaikui gresia skurdas ir beveik kas ketvirtam ES piliečiui gresia skurdas arba socialinė atskirtis; kadangi skurdo ciklas didina kitą nelygybę, pvz., žmonių galimybes gauti išsilavinimą, įperkamą būstą, sveikatos priežiūrą ir darbą; kadangi dėl energetikos krizės ir infliacijos padidėjo nesaugumą, skurdą ir socialinę atskirtį patiriančių žmonių skaičius; kadangi Sutarties dėl Europos Sąjungos veikimo (SESV) 151 straipsnyje nurodomos pagrindinės socialinės teisės, pvz., nustatytos Europos socialinėje chartijoje; kadangi Europos socialinių teisių ramstis ir jo veiksmų plano įgyvendinimas yra pagrindinės socialinių prioritetų integravimo į visas ES politikos sritis priemonės ir jo 20 principų įgyvendinimo gairės;</w:t>
      </w:r>
    </w:p>
    <w:p w:rsidR="00071C49" w:rsidRPr="00554F13" w:rsidRDefault="00071C49" w:rsidP="00071C49">
      <w:pPr>
        <w:pStyle w:val="NormalHanging12a"/>
      </w:pPr>
      <w:r w:rsidRPr="00554F13">
        <w:t>Y.</w:t>
      </w:r>
      <w:r w:rsidRPr="00554F13">
        <w:tab/>
        <w:t>kadangi ES prisijungimas prie Europos žmogaus teisių konvencijos (EŽTK) yra privalomas pagal ES sutarties 6 straipsnio 2 dalį ir tebėra svarbus prioritetas;</w:t>
      </w:r>
    </w:p>
    <w:p w:rsidR="00071C49" w:rsidRPr="00554F13" w:rsidRDefault="00071C49" w:rsidP="00071C49">
      <w:pPr>
        <w:pStyle w:val="NormalHanging12a"/>
        <w:rPr>
          <w:szCs w:val="24"/>
        </w:rPr>
      </w:pPr>
      <w:r w:rsidRPr="00554F13">
        <w:t>Z.</w:t>
      </w:r>
      <w:r w:rsidRPr="00554F13">
        <w:tab/>
        <w:t>kadangi valstybės narės ir ES institucijos bei įstaigos, įskaitant Teisingumo Teismą, FRA ir Europos prokuratūrą, atlieka lemiamą vaidmenį puoselėjant ES vertybes ir užtikrinant pagrindinių teisų paisymą;</w:t>
      </w:r>
    </w:p>
    <w:p w:rsidR="00071C49" w:rsidRPr="00554F13" w:rsidRDefault="00071C49" w:rsidP="00071C49">
      <w:pPr>
        <w:pStyle w:val="NormalHanging12a"/>
        <w:rPr>
          <w:szCs w:val="24"/>
        </w:rPr>
      </w:pPr>
      <w:r w:rsidRPr="00554F13">
        <w:t>AA.</w:t>
      </w:r>
      <w:r w:rsidRPr="00554F13">
        <w:tab/>
        <w:t>kadangi Europos ombudsmenė atliko tyrimą dėl keitimosi asmeniniais tekstiniais pranešimais ir skambučių, susijusių su COVID-19 vakcinų pirkimu tarp Komisijos pirmininkės ir „Pfizer“ generalinio direktoriaus, kuriuos Komisija vėliau atsisakė atskleisti; kadangi 2022 m. liepos mėn. ombudsmenė nustatė, kad šis atsisakymas yra netinkamas administravimas</w:t>
      </w:r>
      <w:r w:rsidRPr="00554F13">
        <w:rPr>
          <w:vertAlign w:val="superscript"/>
        </w:rPr>
        <w:footnoteReference w:id="46"/>
      </w:r>
      <w:r w:rsidRPr="00554F13">
        <w:t>;</w:t>
      </w:r>
    </w:p>
    <w:p w:rsidR="00071C49" w:rsidRPr="00554F13" w:rsidRDefault="00071C49" w:rsidP="00071C49">
      <w:pPr>
        <w:pStyle w:val="NormalHanging12a"/>
        <w:rPr>
          <w:szCs w:val="24"/>
        </w:rPr>
      </w:pPr>
      <w:r w:rsidRPr="00554F13">
        <w:t>AB.</w:t>
      </w:r>
      <w:r w:rsidRPr="00554F13">
        <w:tab/>
        <w:t xml:space="preserve">kadangi jau keletą metų keliose valstybėse narėse teisinės valstybės padėtis blogėja dėl sistemingų jų vyriausybių veiksmų, visų pirma Vengrijoje ir Lenkijoje, kurių atžvilgiu </w:t>
      </w:r>
      <w:r w:rsidRPr="00554F13">
        <w:lastRenderedPageBreak/>
        <w:t>vykdomos procedūros pagal ES sutarties 7 straipsnio 1 dalį; kadangi kitose valstybėse narėse sparčiai didėja susirūpinimas dėl teisinės valstybės ir pagrindinių teisių padėties; kadangi labai svarbu užtikrinti, kad valstybės narės laikytųsi ESBO įsipareigojimų ir kitų tarptautinių įsipareigojimų bei demokratinių rinkimų standartų, be kita ko, Venecijos komisijos;</w:t>
      </w:r>
    </w:p>
    <w:p w:rsidR="00071C49" w:rsidRPr="00554F13" w:rsidRDefault="00071C49" w:rsidP="00071C49">
      <w:pPr>
        <w:pStyle w:val="NormalHanging12a"/>
        <w:rPr>
          <w:szCs w:val="24"/>
        </w:rPr>
      </w:pPr>
      <w:r w:rsidRPr="00554F13">
        <w:t>AC.</w:t>
      </w:r>
      <w:r w:rsidRPr="00554F13">
        <w:tab/>
        <w:t>kadangi skurdas yra struktūrinio smurto ir socialinio neteisingumo, pagrįsto lyčių nelygybe, diskriminacija ir nelygiomis galimybėmis naudotis prekėmis ir paslaugomis, forma ir kad dėl jo pažeidžiamos pagrindinės teisės; kadangi kovojant su skurdu reikia atsižvelgti į tarpsektorinį požiūrį ir ypatingą dėmesį skirti pažeidžiamoje padėtyje esantiems asmenims, pvz., vaikams, moterims, rasinėms ir etninėms bendruomenėms, LGBTIQ+ asmenims, migrantams, prieglobsčio prašytojams ir asmenims su negalia, taip pat socialiniu bei ekonominiu požiūriu nepalankioje padėtyje esantiems asmenims;</w:t>
      </w:r>
    </w:p>
    <w:p w:rsidR="00071C49" w:rsidRPr="00554F13" w:rsidRDefault="00071C49" w:rsidP="00071C49">
      <w:pPr>
        <w:pStyle w:val="NormalHanging12a"/>
        <w:rPr>
          <w:szCs w:val="24"/>
        </w:rPr>
      </w:pPr>
      <w:r w:rsidRPr="00554F13">
        <w:t>AD.</w:t>
      </w:r>
      <w:r w:rsidRPr="00554F13">
        <w:tab/>
        <w:t>kadangi, remiantis Europos aplinkos agentūros pranešimu „Oro kokybė Europoje 2020 m.“, vien 2020 m. dėl oro taršos smulkiomis kietosiomis dalelėmis Sąjungoje anksčiau laiko mirė 238 000 žmonių;</w:t>
      </w:r>
    </w:p>
    <w:p w:rsidR="00071C49" w:rsidRPr="00554F13" w:rsidRDefault="00071C49" w:rsidP="00071C49">
      <w:pPr>
        <w:pStyle w:val="Normal12a24b"/>
        <w:rPr>
          <w:i/>
        </w:rPr>
      </w:pPr>
      <w:r w:rsidRPr="00554F13">
        <w:rPr>
          <w:rStyle w:val="Bold"/>
          <w:i/>
        </w:rPr>
        <w:t>Teisinė valstybė ir teisė kreiptis į teismą</w:t>
      </w:r>
    </w:p>
    <w:p w:rsidR="00071C49" w:rsidRPr="00554F13" w:rsidRDefault="00071C49" w:rsidP="00071C49">
      <w:pPr>
        <w:pStyle w:val="NormalHanging12a"/>
      </w:pPr>
      <w:r w:rsidRPr="00554F13">
        <w:t>1.</w:t>
      </w:r>
      <w:r w:rsidRPr="00554F13">
        <w:tab/>
        <w:t>primena laisvos žiniasklaidos svarbą puoselėjant demokratiją, reikalaujant, kad valstybinės ir privačios institucijos atsiskaitytų, ir suteikiant piliečiams galimybę gauti faktais pagrįstą informaciją; pabrėžia žiniasklaidos pliuralizmo ir žurnalistinės laisvės svarbą; griežtai smerkia tai, kad 2022 m. buvo nustatytas dar vienas bendras įkalintų žurnalistų skaičiaus rekordas, ir ragina visapusiškai vykdyti teisingumą, susijusį su tiriamosios žurnalistikos atstovų žudymu ES;</w:t>
      </w:r>
    </w:p>
    <w:p w:rsidR="00071C49" w:rsidRPr="00554F13" w:rsidRDefault="00071C49" w:rsidP="00071C49">
      <w:pPr>
        <w:pStyle w:val="NormalHanging12a"/>
        <w:rPr>
          <w:szCs w:val="24"/>
        </w:rPr>
      </w:pPr>
      <w:r w:rsidRPr="00554F13">
        <w:t>2.</w:t>
      </w:r>
      <w:r w:rsidRPr="00554F13">
        <w:tab/>
        <w:t>ragina valstybes nares įgyvendinti Komisijos rekomendaciją dėl žurnalistų ir žmogaus teisių gynėjų, užsiimančių visuomenine veikla, apsaugos nuo akivaizdžiai nepagrįstų ar piktnaudžiaujamojo pobūdžio teismo procesų, ypač panaikinti laisvės atėmimo bausmes šmeižto bylose, panaikinti baudžiamąją atsakomybę už šmeižtą ir vietoj jos taikyti civilines ar administracines procedūras; primygtinai ragina Komisiją spręsti strateginio ieškinio dėl visuomenės dalyvavimo (SLAPP), pareikšto pasitelkiant baudžiamąjį procesą, rimtumo klausimą ir pateikti pasiūlymą dėl priemonių siekiant užtikrinti, kad garbės ir orumo įžeidimas ir šmeižtas raštu bei žodžiu, kurie daugumoje valstybių narių laikomi nusikalstama veika, negalėtų būti naudojami SLAPP tikslais pasitelkiant valstybinį ar privatų kaltinimą; pabrėžia, kad SLAPP yra tik vienas iš žurnalistų nutildymo metodų, ir ragina Komisiją toliau tirti kitą praktiką ir imtis priemonių; ragina politikus viešai pasmerkti grasinimus žurnalistams ir išpuolius prieš juos;</w:t>
      </w:r>
    </w:p>
    <w:p w:rsidR="00071C49" w:rsidRPr="00554F13" w:rsidRDefault="00071C49" w:rsidP="00071C49">
      <w:pPr>
        <w:pStyle w:val="NormalHanging12a"/>
        <w:rPr>
          <w:szCs w:val="24"/>
        </w:rPr>
      </w:pPr>
      <w:r w:rsidRPr="00554F13">
        <w:t>3.</w:t>
      </w:r>
      <w:r w:rsidRPr="00554F13">
        <w:tab/>
        <w:t>pakartoja, kad yra susirūpinęs dėl pagrindinių teisių pažeidimo, susijusio su programos „Pegasus“ ir lygiaverčių šnipinėjimo programų naudojimu prieš asmenis ir gerai žinomas asmenybes, pvz., žurnalistus, tinklaraštininkus, žmogaus teisių gynėjus, politikus ar kitus veikėjus; pabrėžia, kad neteisėtas nacionalinių vyriausybių naudojimasis šnipinėjimo programomis tiesiogiai ir netiesiogiai daro poveikį sprendimų priėmimui, taigi kenkia ES demokratijai, ir pabrėžia, kad būtina užtikrinti didesnį sekimo pramonės skaidrumą ir teisinę atskaitomybę;</w:t>
      </w:r>
    </w:p>
    <w:p w:rsidR="00071C49" w:rsidRPr="00554F13" w:rsidRDefault="00071C49" w:rsidP="00071C49">
      <w:pPr>
        <w:pStyle w:val="NormalHanging12a"/>
        <w:rPr>
          <w:szCs w:val="24"/>
        </w:rPr>
      </w:pPr>
      <w:r w:rsidRPr="00554F13">
        <w:t>4.</w:t>
      </w:r>
      <w:r w:rsidRPr="00554F13">
        <w:tab/>
        <w:t xml:space="preserve">ragina valstybes nares, ypač Graikiją, Vengriją, Lenkiją, Ispaniją ir Kiprą, laikytis joms skirtų atitinkamų rekomendacijų, pateiktų jo pranešime dėl programos „Pegasus“ ir lygiaverčių šnipinėjimo programų naudojimo; primena savo rekomendacijas dėl bendrų ES standartų, nes asmens teisėms negali kilti pavojus suteikiant nevaržomą prieigą prie </w:t>
      </w:r>
      <w:r w:rsidRPr="00554F13">
        <w:lastRenderedPageBreak/>
        <w:t>stebėjimo;</w:t>
      </w:r>
    </w:p>
    <w:p w:rsidR="00071C49" w:rsidRPr="00554F13" w:rsidRDefault="00071C49" w:rsidP="00071C49">
      <w:pPr>
        <w:pStyle w:val="NormalHanging12a"/>
        <w:rPr>
          <w:szCs w:val="24"/>
        </w:rPr>
      </w:pPr>
      <w:r w:rsidRPr="00554F13">
        <w:t>5.</w:t>
      </w:r>
      <w:r w:rsidRPr="00554F13">
        <w:tab/>
        <w:t>ragina valstybes nares parengti nacionalinius žurnalistų saugumo užtikrinimo veiksmų planus, sukurti palankią aplinką pliuralistinei ir nepriklausomai žiniasklaidai klestėti ir atlikti svarbų sergėtojos vaidmenį, kad vyriausybės ir kiti veikėjai būtų atskaitingi;</w:t>
      </w:r>
    </w:p>
    <w:p w:rsidR="00071C49" w:rsidRPr="00554F13" w:rsidRDefault="00071C49" w:rsidP="00071C49">
      <w:pPr>
        <w:pStyle w:val="NormalHanging12a"/>
        <w:rPr>
          <w:szCs w:val="24"/>
        </w:rPr>
      </w:pPr>
      <w:r w:rsidRPr="00554F13">
        <w:t>6.</w:t>
      </w:r>
      <w:r w:rsidRPr="00554F13">
        <w:tab/>
        <w:t xml:space="preserve">primena, kad prekyba šnipinėjimo programomis ir jų naudojimas turi būti griežtai reglamentuojami; pabrėžia, kad šnipinėjimo programų naudojimas turi būti leidžiamas tik išimtiniais ir konkrečiais atvejais, susijusiais su aiškiai ir tiksliai apibrėžtų riboto ir baigtinio sąrašo sunkių nusikaltimų tyrimais, turi būti pagrįstas kiekvienu konkrečiu atveju, atitikti Chartiją ir kitus susijusius Sąjungos teisės aktus, o nepriklausoma ir nešališka teisminė institucija, taikanti veiksmingas, žinomas ir prieinamas taisomąsias priemones, turi </w:t>
      </w:r>
      <w:r w:rsidRPr="00554F13">
        <w:rPr>
          <w:i/>
          <w:iCs/>
        </w:rPr>
        <w:t>ex ante</w:t>
      </w:r>
      <w:r w:rsidRPr="00554F13">
        <w:t xml:space="preserve"> nurodyti tai daryti; pabrėžia, kad visi sekimo naudojant šnipinėjimo programą atvejai turi būti patikrinti nepriklausomos </w:t>
      </w:r>
      <w:r w:rsidRPr="00554F13">
        <w:rPr>
          <w:i/>
          <w:iCs/>
        </w:rPr>
        <w:t>ex post</w:t>
      </w:r>
      <w:r w:rsidRPr="00554F13">
        <w:t xml:space="preserve"> priežiūros institucijos, privalančios užtikrinti, kad kiekvienas sekimas, kuriam suteikiamas leidimas, būtų vykdomas gerbiant pagrindines teises ir laikantis Teisingumo Teismo, EŽTT bei Venecijos komisijos nustatytų sąlygų; primygtinai reikalauja, kad asmenims, kuriems taikomos šnipinėjimo programos, būtų suteikta galimybė naudotis realiomis ir prasmingomis teisių gynimo priemonėmis;</w:t>
      </w:r>
    </w:p>
    <w:p w:rsidR="00071C49" w:rsidRPr="00554F13" w:rsidRDefault="00071C49" w:rsidP="00071C49">
      <w:pPr>
        <w:pStyle w:val="NormalHanging12a"/>
        <w:rPr>
          <w:szCs w:val="24"/>
        </w:rPr>
      </w:pPr>
      <w:r w:rsidRPr="00554F13">
        <w:t>7.</w:t>
      </w:r>
      <w:r w:rsidRPr="00554F13">
        <w:tab/>
        <w:t>pabrėžia, kad korupcija nesuderinama su demokratijos ir teisinės valstybės vertybėmis, nes dėl jos didėja nelygybė ir mažėja piliečių pasitikėjimas geru valdymu; yra labai susirūpinęs dėl didėjančio korupcijos lygio keliose valstybėse narėse, ypač dėl bylų, susijusių su aukšto rango pareigūnais ir politikais; pakartoja, kad smerkia tariamus korupcijos atvejus, susijusius su dabartiniais ir buvusiais Europos Parlamento nariais; atsižvelgdamas į tai pabrėžia, kad priimti jo Darbo tvarkos taisyklių pakeitimai, kuriais siekiama stiprinti jo sąžiningumą, nepriklausomumą ir atskaitomybę; yra susirūpinęs dėl skirtingo ES kovos su korupcija sistemos įgyvendinimo lygio valstybėse narėse; reikalauja, kad būtų laikomasi visiško korupcijos netoleravimo principo; ragina įsteigti nepriklausomą ES etikos organą; ragina valstybes nares užtikrinti, kad būtų visapusiškai įgyvendinta Pranešėjų apsaugos direktyva</w:t>
      </w:r>
      <w:r w:rsidRPr="00554F13">
        <w:rPr>
          <w:rStyle w:val="FootnoteReference"/>
        </w:rPr>
        <w:footnoteReference w:id="47"/>
      </w:r>
      <w:r w:rsidRPr="00554F13">
        <w:t>;</w:t>
      </w:r>
    </w:p>
    <w:p w:rsidR="00071C49" w:rsidRPr="00554F13" w:rsidRDefault="00071C49" w:rsidP="00071C49">
      <w:pPr>
        <w:pStyle w:val="NormalHanging12a"/>
      </w:pPr>
      <w:r w:rsidRPr="00554F13">
        <w:t>8.</w:t>
      </w:r>
      <w:r w:rsidRPr="00554F13">
        <w:tab/>
        <w:t>pabrėžia, kad teismų nepriklausomumas ir veiksminga stabdžių ir atsvarų sistema, kurie įvairiose valstybėse narėse gali skirtis, yra pagrindiniai teisinės valstybės elementai; pabrėžia, kad keliose valstybėse narėse tebekyla rimtų abejonių dėl teisinės valstybės ir teismų nepriklausomumo; smerkia bet kokius valstybių narių vyriausybių bandymus daryti politinę įtaką nepriklausomam teisminių institucijų sprendimų priėmimui ar jį kontroliuoti tiesiogiai ar organizacinėmis priemonėmis;</w:t>
      </w:r>
    </w:p>
    <w:p w:rsidR="00071C49" w:rsidRPr="00554F13" w:rsidRDefault="00071C49" w:rsidP="00071C49">
      <w:pPr>
        <w:pStyle w:val="NormalHanging12a"/>
        <w:rPr>
          <w:szCs w:val="24"/>
        </w:rPr>
      </w:pPr>
      <w:r w:rsidRPr="00554F13">
        <w:t>9.</w:t>
      </w:r>
      <w:r w:rsidRPr="00554F13">
        <w:tab/>
        <w:t>remia ES strategijos sukūrimą siekiant užtikrinti konkrečius ir suderintus veiksmus ES lygmeniu, įskaitant žmogaus teisių gynėjų apsaugos mechanizmo sukūrimą Europoje, remiantis ES užsienio politikos pavyzdžiais, kad būtų užtikrinta prevencija, tiesioginė pagalba ir atskaitomybė;</w:t>
      </w:r>
    </w:p>
    <w:p w:rsidR="00071C49" w:rsidRPr="00554F13" w:rsidRDefault="00071C49" w:rsidP="00071C49">
      <w:pPr>
        <w:pStyle w:val="NormalHanging12a"/>
      </w:pPr>
      <w:r w:rsidRPr="00554F13">
        <w:t>10.</w:t>
      </w:r>
      <w:r w:rsidRPr="00554F13">
        <w:tab/>
        <w:t xml:space="preserve">pritaria tam, kad Ekonomikos gaivinimo ir atsparumo didinimo priemonė ir horizontaliosios reikiamos sąlygos būtų naudojamos ES finansavimui įšaldyti, siekiant kovoti su korupcija ir teisinės valstybės padėties blogėjimu valstybėse narėse; pabrėžia, kad pagal įvairias sąlygų priemones ribojamos lėšos turi būti skiriamos tik tada, kai </w:t>
      </w:r>
      <w:r w:rsidRPr="00554F13">
        <w:lastRenderedPageBreak/>
        <w:t>įvykdomos pagrindinės reikiamos sąlygos; ragina valstybes nares baigti įgyvendinti atitinkamas priemones, kad būtų pasiektos jų atitinkamuose ekonomikos gaivinimo ir atsparumo didinimo planuose nustatytos tarpinės reikšmės; ragina Europos Vadovų Tarybą imtis veiksmų ir nustatyti, ar Vengrija šiurkščiai ir nuolat pažeidžia ES vertybes, kaip nustatyta ES sutarties 7 straipsnio 2 dalyje; labai apgailestauja dėl to, kad Vengrijos valdžios institucijos sistemingai kaltino LGBTQI+ bendruomenę; pabrėžia, kad Taryba dalijasi atsakomybe už ES sutarties 2 straipsnyje įtvirtintų vertybių apsaugą ir kad to nepadarius kiltų ilgalaikių ir galimai žalingų pasekmių; primygtinai ragina gerbti Parlamento vaidmenį ir kompetenciją;</w:t>
      </w:r>
    </w:p>
    <w:p w:rsidR="00071C49" w:rsidRPr="00554F13" w:rsidRDefault="00071C49" w:rsidP="00071C49">
      <w:pPr>
        <w:pStyle w:val="NormalHanging12a"/>
        <w:rPr>
          <w:szCs w:val="24"/>
        </w:rPr>
      </w:pPr>
      <w:r w:rsidRPr="00554F13">
        <w:t>11.</w:t>
      </w:r>
      <w:r w:rsidRPr="00554F13">
        <w:tab/>
        <w:t>apgailestauja dėl to, kad kai kurios valstybės narės pratęsia nepaprastosios padėties priemones, viršijančias tai, kas būtina ir proporcinga, ir skuba priimti teisės aktus be tinkamų konsultacijų;</w:t>
      </w:r>
    </w:p>
    <w:p w:rsidR="00071C49" w:rsidRPr="00554F13" w:rsidRDefault="00071C49" w:rsidP="00071C49">
      <w:pPr>
        <w:pStyle w:val="NormalHanging12a"/>
        <w:rPr>
          <w:szCs w:val="24"/>
        </w:rPr>
      </w:pPr>
      <w:r w:rsidRPr="00554F13">
        <w:t>12.</w:t>
      </w:r>
      <w:r w:rsidRPr="00554F13">
        <w:tab/>
        <w:t>pakartoja savo raginimą nedelsiant sukurti ES demokratijos, teisinės valstybės ir pagrindinių teisių mechanizmą ir ragina Komisiją ir Tarybą nedelsiant pradėti derybas su Parlamentu dėl šio susitarimo;</w:t>
      </w:r>
    </w:p>
    <w:p w:rsidR="00071C49" w:rsidRPr="00554F13" w:rsidRDefault="00071C49" w:rsidP="00071C49">
      <w:pPr>
        <w:pStyle w:val="NormalHanging12a"/>
        <w:rPr>
          <w:szCs w:val="24"/>
        </w:rPr>
      </w:pPr>
      <w:r w:rsidRPr="00554F13">
        <w:t>13.</w:t>
      </w:r>
      <w:r w:rsidRPr="00554F13">
        <w:tab/>
        <w:t>palankiai vertina tai, kad 2022 m. Teisingumo Teismas pradėjo tiesiogines transliacijas, kad visuomenei būtų sudarytos palankesnės sąlygos iš dalies susipažinti su jo teismine veikla;</w:t>
      </w:r>
    </w:p>
    <w:p w:rsidR="00071C49" w:rsidRPr="00554F13" w:rsidRDefault="00071C49" w:rsidP="00071C49">
      <w:pPr>
        <w:pStyle w:val="Normal12a24b"/>
        <w:rPr>
          <w:i/>
        </w:rPr>
      </w:pPr>
      <w:r w:rsidRPr="00554F13">
        <w:rPr>
          <w:rStyle w:val="Bold"/>
          <w:i/>
        </w:rPr>
        <w:t>Laisvės</w:t>
      </w:r>
    </w:p>
    <w:p w:rsidR="00071C49" w:rsidRPr="00554F13" w:rsidRDefault="00071C49" w:rsidP="00071C49">
      <w:pPr>
        <w:pStyle w:val="NormalHanging12a"/>
        <w:rPr>
          <w:szCs w:val="24"/>
        </w:rPr>
      </w:pPr>
      <w:r w:rsidRPr="00554F13">
        <w:t>14.</w:t>
      </w:r>
      <w:r w:rsidRPr="00554F13">
        <w:tab/>
        <w:t>reiškia didelį susirūpinimą dėl to, kad kyla vis daugiau grėsmių asociacijų, žodžio ir susirinkimų laisvei; pakartoja, kad teisė į taikius susirinkimus gali būti ribojama tik tada, kai tai numatyta teisės aktuose, ir jei tai būtina ir proporcinga siekiant apsaugoti Sąjungos pripažintus bendrus interesus arba kitų asmenų teises ir laisves; smerkia kai kuriais atvejais teisėsaugos institucijų smurtinį ir neproporcingą kišimąsi per taikius protestus ir smerkia atvejus, kai potencialūs protestuotojai savo nuožiūra masiškai suimami; skatina atitinkamas nacionalines institucijas užtikrinti, kad atvejai, per kuriuos, kaip įtariama ar kaltinama, buvo panaudota neproporcinga jėga, būtų skaidriai, nešališkai, nepriklausomai ir veiksmingai ištiriami; ragina valstybes nares taikyti alternatyvią viešosios tvarkos palaikymo praktiką, kuri jau pasirodė esanti veiksminga kitose valstybėse narėse;</w:t>
      </w:r>
    </w:p>
    <w:p w:rsidR="00071C49" w:rsidRPr="00554F13" w:rsidRDefault="00071C49" w:rsidP="00071C49">
      <w:pPr>
        <w:pStyle w:val="NormalHanging12a"/>
      </w:pPr>
      <w:r w:rsidRPr="00554F13">
        <w:t>15.</w:t>
      </w:r>
      <w:r w:rsidRPr="00554F13">
        <w:tab/>
        <w:t>pabrėžia, kad siekiant užtikrinti teisę į saviraiškos ir informacijos laisvę, kuri yra demokratijos pagrindas, informacija turi būti visuotinai prieinama ir įvairi; pabrėžia, kad turi būti užtikrinta meno laisvė; pabrėžia, kad dezinformacija gali labai pakenkti demokratinių visuomenių, ekonomikos ir politinių sistemų veikimui; primena, kad siekiant kovoti su dezinformacijos plitimu į pilietinį ugdymą reikia įtraukti žiniasklaidą ir skaitmeninį raštingumą; pakartoja savo rekomendacijas imtis veiksmingų priemonių siekiant kovoti su piktavališkų užsienio valstybių dezinformacija, ypač atsižvelgiant į artėjančius Europos Parlamento rinkimus; pabrėžia, kad nepriklausoma ir pliuralistinė žiniasklaidos aplinka internete ir realiame gyvenime yra būtina siekiant veiksmingai kovoti su dezinformacija ir propaganda, todėl ji turi būti skatinama, be kita ko, imantis veiksmingų veiksmų prieš žiniasklaidos koncentraciją;</w:t>
      </w:r>
    </w:p>
    <w:p w:rsidR="00071C49" w:rsidRPr="00554F13" w:rsidRDefault="00071C49" w:rsidP="00071C49">
      <w:pPr>
        <w:pStyle w:val="NormalHanging12a"/>
        <w:rPr>
          <w:szCs w:val="24"/>
        </w:rPr>
      </w:pPr>
      <w:r w:rsidRPr="00554F13">
        <w:t>16.</w:t>
      </w:r>
      <w:r w:rsidRPr="00554F13">
        <w:tab/>
        <w:t xml:space="preserve"> pabrėžia, kad pagal Sąjungos teisę nacionalinės reguliavimo institucijos ir (arba) įstaigos turi būti funkciškai nepriklausomos nuo savo vyriausybių ir nesiekti gauti ar nepriimti jokių kitų institucijų nurodymų; pažymi, kad labai svarbu užtikrinti politinį žiniasklaidos reguliavimo ir valstybių narių bei Komisijos vykdomos priežiūros </w:t>
      </w:r>
      <w:r w:rsidRPr="00554F13">
        <w:lastRenderedPageBreak/>
        <w:t>nepriklausomumą, redakcinės nepriklausomybės apsaugą visoje ES, taip pat žurnalistų apsaugą nuo sekimo ir žurnalistinių šaltinių apsaugą; atsižvelgdamas į tai, ragina priimti tvirtą Europos žiniasklaidos laisvės aktą, kuriuo būtų užtikrintas žiniasklaidos nepriklausomumas, pliuralizmas ir laisvė visoje ES, užtikrinant nuosavybės ir finansavimo skaidrumą;</w:t>
      </w:r>
    </w:p>
    <w:p w:rsidR="00071C49" w:rsidRPr="00554F13" w:rsidRDefault="00071C49" w:rsidP="00071C49">
      <w:pPr>
        <w:pStyle w:val="NormalHanging12a"/>
        <w:rPr>
          <w:szCs w:val="24"/>
        </w:rPr>
      </w:pPr>
      <w:r w:rsidRPr="00554F13">
        <w:t>17.</w:t>
      </w:r>
      <w:r w:rsidRPr="00554F13">
        <w:tab/>
        <w:t>pabrėžia itin svarbų pilietinės visuomenės organizacijų (PVO) vaidmenį skatinant aktyvų pilietiškumą, pagrindines teises ir demokratinį dalyvavimą Europoje; primygtinai ragina Komisiją parengti strategiją ir nustatyti būtiniausius PVO apsaugos valstybėse narėse standartus, kad būtų skatinama reguliavimo ir politinė aplinka be atgrasomųjų veiksmų, grasinimų ir išpuolių, o PVO būtų sudarytos tvarios ir nediskriminacinės galimybės naudotis ištekliais ir remiamas jų dalyvavimas pilietiniame dialoge ir politikos formavime; apgailestauja dėl to, kad, kad pastaraisiais metais žmogaus teisių gynėjų padėtis ES labai pablogėjo; ragina Komisiją ir valstybes nares imtis reikiamų priemonių, kad žmogaus teisių gynėjai galėtų dirbti be kliūčių ir saugiai;</w:t>
      </w:r>
    </w:p>
    <w:p w:rsidR="00071C49" w:rsidRPr="00554F13" w:rsidRDefault="00071C49" w:rsidP="00071C49">
      <w:pPr>
        <w:pStyle w:val="NormalHanging12a"/>
        <w:rPr>
          <w:szCs w:val="24"/>
        </w:rPr>
      </w:pPr>
      <w:r w:rsidRPr="00554F13">
        <w:t>18.</w:t>
      </w:r>
      <w:r w:rsidRPr="00554F13">
        <w:tab/>
        <w:t>primena, kad pagal Chartijos 6 straipsnį kiekvienas asmuo turi teisę į laisvę ir saugumą, o tai reiškia, kad kiekvienas ES esantis asmuo turėtų būti apsaugotas nuo neteisėto ir savavališko suėmimo; ragina valstybes nares laikytis Komisijos rekomendacijos dėl įtariamųjų ir kaltinamųjų procesinių teisių, kad būtų pagerintos sulaikymo sąlygos ir taip užtikrinta didesnė teisės į laisvę ir saugumą apsauga;</w:t>
      </w:r>
    </w:p>
    <w:p w:rsidR="00071C49" w:rsidRPr="00554F13" w:rsidRDefault="00071C49" w:rsidP="00071C49">
      <w:pPr>
        <w:pStyle w:val="NormalHanging12a"/>
      </w:pPr>
      <w:r w:rsidRPr="00554F13">
        <w:t>19.</w:t>
      </w:r>
      <w:r w:rsidRPr="00554F13">
        <w:tab/>
        <w:t xml:space="preserve">smerkia tai, kad ES daugėja diskriminacijos dėl religijos ir įsitikinimų bei rasistinių incidentų; ragina Komisiją ir valstybes nares imtis ryžtingų veiksmų šiuo klausimu, taip pat tarptautiniu lygmeniu; primena, kad pagal Chartijos 10 straipsnį kiekvienas turi teisę į minties, sąžinės ir religijos laisvę; apgailestauja dėl to, kad valdžios institucijoms dažnai nepranešama apie diskriminacijos, rasistinių ir ksenofobinių nusikaltimų atvejus, nes tai lemia </w:t>
      </w:r>
      <w:r w:rsidRPr="00554F13">
        <w:rPr>
          <w:i/>
          <w:iCs/>
        </w:rPr>
        <w:t>de facto</w:t>
      </w:r>
      <w:r w:rsidRPr="00554F13">
        <w:t xml:space="preserve"> nebaudžiamumą; apgailestauja dėl to, kad ne visos valstybės narės visapusiškai į nacionalinę teisę perkėlė pamatinį sprendimą dėl kovos su tam tikrų formų rasizmu ir ksenofobija bei jų apraiškomis baudžiamosios teisės priemonėmis;</w:t>
      </w:r>
    </w:p>
    <w:p w:rsidR="00071C49" w:rsidRPr="00554F13" w:rsidRDefault="00071C49" w:rsidP="00071C49">
      <w:pPr>
        <w:pStyle w:val="NormalHanging12a"/>
        <w:rPr>
          <w:szCs w:val="24"/>
        </w:rPr>
      </w:pPr>
      <w:r w:rsidRPr="00554F13">
        <w:t>20.</w:t>
      </w:r>
      <w:r w:rsidRPr="00554F13">
        <w:tab/>
        <w:t>yra susirūpinęs dėl didėjančio policijos smurto prieš romų kilmės gyventojus atvejų skaičiaus; ragina valstybes nares griežtai ištirti šiuos atvejus siekiant užtikrinti, kad nebūtų nebaudžiama už represinių ir smurtinių priemonių prieš romų tautybės asmenis ar bendruomenes įvedimą ir (arba) įgyvendinimą; be to, ragina valstybes nares spręsti šališkų policijos įrašų, pranešimų, baudžiamojo persekiojimo ir teismo sprendimų bei romų tautybės asmenų nepakankamos teisės kreiptis į teismą problemą;</w:t>
      </w:r>
    </w:p>
    <w:p w:rsidR="00071C49" w:rsidRPr="00554F13" w:rsidRDefault="00071C49" w:rsidP="00071C49">
      <w:pPr>
        <w:pStyle w:val="NormalHanging12a"/>
        <w:rPr>
          <w:szCs w:val="24"/>
        </w:rPr>
      </w:pPr>
      <w:r w:rsidRPr="00554F13">
        <w:t>21.</w:t>
      </w:r>
      <w:r w:rsidRPr="00554F13">
        <w:tab/>
        <w:t>atkreipia dėmesį, kad dėl kasdienio gyvenimo duomenizacijos ir duomenų skandalų teisė į asmens duomenų apsaugą tampa vis svarbesnė; pakartoja, kad yra susirūpinęs dėl nenuoseklaus Bendrojo duomenų apsaugos reglamento taikymo; remia iniciatyvas, kuriomis siekiama stiprinti teisėkūros procesą, susijusį su dirbtinio intelekto srities ES reglamentavimo baze, numatančia griežtas pagrindinių teisių apsaugos priemones;</w:t>
      </w:r>
    </w:p>
    <w:p w:rsidR="00071C49" w:rsidRPr="00554F13" w:rsidRDefault="00071C49" w:rsidP="00071C49">
      <w:pPr>
        <w:pStyle w:val="NormalHanging12a"/>
      </w:pPr>
      <w:r w:rsidRPr="00554F13">
        <w:t>22.</w:t>
      </w:r>
      <w:r w:rsidRPr="00554F13">
        <w:tab/>
        <w:t xml:space="preserve">griežtai smerkia plačiai paplitusius pagrindinių teisių pažeidimus ir neproporcingo smurto naudojimą prie Sąjungos sienų prieš migrantus, įskaitant pabėgėlius, pavyzdžiui, savavališką sulaikymą, nežmoniškas gyvenimo sąlygas ir galimybės naudotis sveikatos priežiūros paslaugomis nebuvimą, neteisėto grąžinimo ir apgręžimo panaudojant jėgą atvejus; yra labai susirūpinęs dėl to, kad valstybės narės savo nacionalinėje teisėje įtvirtina apgręžimo taikymą; smerkia visus valstybių narių įstatymus, kuriais kenkiama veiksmingai pabėgėlių, prieglobsčio prašytojų ir migrantų žmogaus teisių apsaugai </w:t>
      </w:r>
      <w:r w:rsidRPr="00554F13">
        <w:lastRenderedPageBreak/>
        <w:t>sausumoje ir jūroje, taip pat humanitarinės pagalbos darbuotojų ir aktyvistų kriminalizavimą; pabrėžia, kad vaikai sudaro beveik trečdalį prieglobsčio prašytojų, ir pakartoja, kad vaikų imigrantų sulaikymas neturėtų būti leidžiamas;</w:t>
      </w:r>
    </w:p>
    <w:p w:rsidR="00071C49" w:rsidRPr="00554F13" w:rsidRDefault="00071C49" w:rsidP="00071C49">
      <w:pPr>
        <w:pStyle w:val="NormalHanging12a"/>
        <w:rPr>
          <w:szCs w:val="24"/>
        </w:rPr>
      </w:pPr>
      <w:r w:rsidRPr="00554F13">
        <w:t>23.</w:t>
      </w:r>
      <w:r w:rsidRPr="00554F13">
        <w:tab/>
        <w:t>ragina ES ir valstybes nares užtikrinti, kad būtų sukurti veiksmingi priežiūros mechanizmai, kuriais būtų užtikrinama, kad prie išorės sienų būtų laikomasi pagrindinių teisių, ir kurie taip pat turėtų apimti sienų stebėjimo veiklos stebėseną; taip pat ragina Komisiją ir valstybes nares užtikrinti, kad asmenys, kurių duomenys saugomi ES didelės apimties informacinių sistemų duomenų bazėse, būtų informuoti apie savo teises ir galėtų pasinaudoti galimomis teisių gynimo priemonėmis;</w:t>
      </w:r>
    </w:p>
    <w:p w:rsidR="00071C49" w:rsidRPr="00554F13" w:rsidRDefault="00071C49" w:rsidP="00071C49">
      <w:pPr>
        <w:pStyle w:val="NormalHanging12a"/>
        <w:rPr>
          <w:szCs w:val="24"/>
        </w:rPr>
      </w:pPr>
      <w:r w:rsidRPr="00554F13">
        <w:t>24.</w:t>
      </w:r>
      <w:r w:rsidRPr="00554F13">
        <w:tab/>
        <w:t>stipriai apgailestauja dėl daugybės pabėgėlių ir migrantų, kurie dažnai tampa prekybos žmonėmis aukomis ir patiria nežmonišką bei žeminantį elgesį, neatsižvelgiant į jų saugumą, žūčių jūroje; pakartoja, kad pagal tarptautinę jūrų teisę privaloma padėti nelaimės ištiktiems asmenims, ir skubiai ragina vykdyti nuolatines koordinuotas paieškos ir gelbėjimo operacijas užtikrinant greitą išlaipinimą, taip pat ragina valstybes nares imtis visų įmanomų veiksmų siekiant išgelbėti žmonių, kuriems gresia pavojus jūroje, gyvybes; ragina paisyti visų jūroje išgelbėtų asmenų teisės į prieglobstį, kiekvienu konkrečiu atveju įvertinant individualias aplinkybes;</w:t>
      </w:r>
    </w:p>
    <w:p w:rsidR="00071C49" w:rsidRPr="00554F13" w:rsidRDefault="00071C49" w:rsidP="00071C49">
      <w:pPr>
        <w:pStyle w:val="NormalHanging12a"/>
        <w:rPr>
          <w:szCs w:val="24"/>
        </w:rPr>
      </w:pPr>
      <w:r w:rsidRPr="00554F13">
        <w:t>25.</w:t>
      </w:r>
      <w:r w:rsidRPr="00554F13">
        <w:tab/>
        <w:t>pažymi, kad kelios valstybės narės nacionalinį saugumą naudoja kaip vidaus politiką, pavyzdžiui, migracijos srityje, lemiantį veiksnį; pabrėžia, kad visos priemonės, kurių imamasi nacionalinio saugumo pagrindu, turi būti būtinos ir proporcingos bei turi nepažeisti Chartijos garantuojamų teisių; primena, kad Chartijos 19 straipsnyje numatyta apsauga perkėlimo, išsiuntimo ar ekstradicijos atveju, uždraudžiant kolektyvinį išsiuntimą, taigi nustatomas reikalavimas atlikti individualų vertinimą ir draudimas atmesti tarptautinės apsaugos prašymus motyvuojant tik konkrečia pilietybe;</w:t>
      </w:r>
    </w:p>
    <w:p w:rsidR="00071C49" w:rsidRPr="00554F13" w:rsidRDefault="00071C49" w:rsidP="00071C49">
      <w:pPr>
        <w:pStyle w:val="NormalHanging12a"/>
        <w:rPr>
          <w:szCs w:val="24"/>
        </w:rPr>
      </w:pPr>
      <w:r w:rsidRPr="00554F13">
        <w:t>26.</w:t>
      </w:r>
      <w:r w:rsidRPr="00554F13">
        <w:tab/>
        <w:t>palankiai vertina tai, kad po karo Ukrainoje pradėta taikyti ES laikinosios apsaugos direktyva</w:t>
      </w:r>
      <w:r w:rsidRPr="00554F13">
        <w:rPr>
          <w:rStyle w:val="FootnoteReference"/>
        </w:rPr>
        <w:footnoteReference w:id="48"/>
      </w:r>
      <w:r w:rsidRPr="00554F13">
        <w:t>, kuria siekiama užtikrinti bet kokios kilmės pabėgėlių ir prieglobsčio prašytojų galimybę gauti apsaugą; primena, kad pagal Laikinosios apsaugos direktyvą suteikiant galimybę gauti apgyvendinimą, užimtumą, švietimo, sveikatos priežiūros ir socialinės rūpybos paslaugas turi būti atsižvelgiama į lyčių aspektą; apgailestauja dėl nevienodo požiūrio, rasinės diskriminacijos ir smurto, su kuriais susiduria nuo konflikto bėgantys ne ukrainiečiai, visų pirma ne baltaodžiai ir LGBTIQ+ asmenys; apgailestauja dėl ES vyraujančių dvejopų standartų migrantų ir pabėgėlių atžvilgiu ir ragina ištaisyti šią padėtį;</w:t>
      </w:r>
    </w:p>
    <w:p w:rsidR="00071C49" w:rsidRPr="00554F13" w:rsidRDefault="00071C49" w:rsidP="00071C49">
      <w:pPr>
        <w:pStyle w:val="NormalHanging12a"/>
        <w:rPr>
          <w:szCs w:val="24"/>
        </w:rPr>
      </w:pPr>
      <w:r w:rsidRPr="00554F13">
        <w:t>27.</w:t>
      </w:r>
      <w:r w:rsidRPr="00554F13">
        <w:tab/>
        <w:t xml:space="preserve">palankiai vertina Europos Tarybos Ministrų Komiteto rekomendaciją dėl migrančių, pabėgėlių ir prieglobsčio prašančių moterų ir mergaičių teisių apsaugos, kurioje valstybės narės raginamos imtis priemonių, kad būtų užkirstas kelias tokių moterų diskriminacijai, be kita ko, skatinant galimybes įsidarbinti bei naudotis seksualinės ir reprodukcinės sveikatos priežiūros paslaugomis ir sudarant palankesnes sąlygas smurtą </w:t>
      </w:r>
      <w:r w:rsidRPr="00554F13">
        <w:lastRenderedPageBreak/>
        <w:t>dėl lyties patyrusiems asmenims pasinaudoti paslaugomis ir teisingumu</w:t>
      </w:r>
      <w:r w:rsidRPr="00554F13">
        <w:rPr>
          <w:vertAlign w:val="superscript"/>
        </w:rPr>
        <w:footnoteReference w:id="49"/>
      </w:r>
      <w:r w:rsidRPr="00554F13">
        <w:t>;</w:t>
      </w:r>
    </w:p>
    <w:p w:rsidR="00071C49" w:rsidRPr="00554F13" w:rsidRDefault="00071C49" w:rsidP="00071C49">
      <w:pPr>
        <w:pStyle w:val="NormalHanging12a"/>
        <w:rPr>
          <w:szCs w:val="24"/>
        </w:rPr>
      </w:pPr>
      <w:r w:rsidRPr="00554F13">
        <w:t>28.</w:t>
      </w:r>
      <w:r w:rsidRPr="00554F13">
        <w:tab/>
        <w:t>susirūpinęs atkreipia dėmesį į didelį asmenų be pilietybės skaičių ES – ypač vaikų, kurie gimsta be pilietybės; ragina Komisiją parengti išsamią strategiją ir veiksmų planą bepilietybės ES problemai spręsti ir asmenims be pilietybės apsaugoti nuo išsiuntimo; ragina valstybes nares tinkamai nustatyti, pripažinti ir apsaugoti asmenis be pilietybės, sprendžiant konkrečias asmenų be pilietybės pažeidžiamumo problemas;</w:t>
      </w:r>
    </w:p>
    <w:p w:rsidR="00071C49" w:rsidRPr="00554F13" w:rsidRDefault="00071C49" w:rsidP="00071C49">
      <w:pPr>
        <w:pStyle w:val="Normal12a24b"/>
        <w:rPr>
          <w:i/>
        </w:rPr>
      </w:pPr>
      <w:r w:rsidRPr="00554F13">
        <w:rPr>
          <w:rStyle w:val="Bold"/>
          <w:i/>
        </w:rPr>
        <w:t>Lygybė ir orumas</w:t>
      </w:r>
    </w:p>
    <w:p w:rsidR="00071C49" w:rsidRPr="00554F13" w:rsidRDefault="00071C49" w:rsidP="00071C49">
      <w:pPr>
        <w:pStyle w:val="NormalHanging12a"/>
      </w:pPr>
      <w:r w:rsidRPr="00554F13">
        <w:t>29.</w:t>
      </w:r>
      <w:r w:rsidRPr="00554F13">
        <w:tab/>
        <w:t>ragina Komisiją užtikrinti, kad visoje ES būtų laikomasi teisės į nediskriminavimą ir vienodo požiūrio; apgailestauja dėl to, kad nuo 2008 m. Taryboje tebeblokuojamas pasiūlymas dėl horizontaliosios kovos su diskriminacija direktyvos; mano, kad bet koks Komisijos padarytas šio pasiūlymo atnaujinimas turi būti pagrįstas Parlamento pozicija, juo turi būti reglamentuojama tarpsektorinė diskriminacija ir aiškiai draudžiama diskriminacija bet kokiu Chartijoje išvardytų pagrindų deriniu; apgailestauja, kad Taryba neatsižvelgė į šiuos prašymus, ir primygtinai ragina Tarybą juos įtraukti į savo įgaliojimus ir imtis visų tinkamų veiksmų siekiant kovoti su diskriminacija ES;</w:t>
      </w:r>
    </w:p>
    <w:p w:rsidR="00071C49" w:rsidRPr="00554F13" w:rsidRDefault="00071C49" w:rsidP="00071C49">
      <w:pPr>
        <w:pStyle w:val="NormalHanging12a"/>
        <w:rPr>
          <w:szCs w:val="24"/>
        </w:rPr>
      </w:pPr>
      <w:r w:rsidRPr="00554F13">
        <w:t>30.</w:t>
      </w:r>
      <w:r w:rsidRPr="00554F13">
        <w:tab/>
        <w:t>ragina Komisiją stebėti, kaip įgyvendinami valstybių narių nacionaliniai kovos su rasizmu veiksmų planai ir ES kovos su rasizmu veiksmų planas, ir užtikrinti tinkamus tolesnius veiksmus; taip pat primygtinai ragina Komisiją įtraukti kovos su rasizmu ir diskriminacija klausimus į visas ES politikos sritis; ragina Tarybai pirmininkausiančias valstybes nares rimtai apsvarstyti galimybę įsteigti Tarybos sudėtį, skirtą lyčių lygybės klausimams;</w:t>
      </w:r>
    </w:p>
    <w:p w:rsidR="00071C49" w:rsidRPr="00554F13" w:rsidRDefault="00071C49" w:rsidP="00071C49">
      <w:pPr>
        <w:pStyle w:val="NormalHanging12a"/>
        <w:rPr>
          <w:szCs w:val="24"/>
        </w:rPr>
      </w:pPr>
      <w:r w:rsidRPr="00554F13">
        <w:t>31.</w:t>
      </w:r>
      <w:r w:rsidRPr="00554F13">
        <w:tab/>
        <w:t>ragina Komisiją ir valstybes nares veiksmingomis teisėkūros ir politikos priemonėmis tiek valstybėse narėse, tiek plėtros šalyse kovoti su rasine diskriminacija visose visuomenės srityse, daugiausia dėmesio skiriant švietimui ir mokyklų segregacijos prevencijai;</w:t>
      </w:r>
    </w:p>
    <w:p w:rsidR="00071C49" w:rsidRPr="00554F13" w:rsidRDefault="00071C49" w:rsidP="00071C49">
      <w:pPr>
        <w:pStyle w:val="NormalHanging12a"/>
        <w:rPr>
          <w:szCs w:val="24"/>
        </w:rPr>
      </w:pPr>
      <w:r w:rsidRPr="00554F13">
        <w:t>32.</w:t>
      </w:r>
      <w:r w:rsidRPr="00554F13">
        <w:tab/>
        <w:t xml:space="preserve">primena, kad skaitmenizacijos srityje reikia skirti daug dėmesio diskriminaciniam šališkumui, kuris įvedamas į naujas technologijas, ir poreikiui reikalauti, kad kūrėjai ir diegėjai teiktų viešai prieinamą informaciją apie tai, kaip šios sistemos mokomos; ragina Komisiją ir valstybes nares imtis priemonių, kad būtų užkirstas kelias naujų technologijų, įskaitant dirbtinį intelektą, keliamai rizikai didinti diskriminaciją, esamą nelygybę ir skurdą; ragina Komisiją ir valstybes nares užtikrinti, kad dirbtinio intelekto sistemos būtų grindžiamos skaidrumo, paaiškinamumo, teisingumo ir atskaitomybės principais ir kad būtų atliekamas poveikio pagrindinėms teisėms vertinimas; taip pat ragina Komisiją ir valstybes nares spręsti lyčių ir įvairovės atotrūkio problemą informacinių ir ryšių technologijų bei gamtos mokslų, technologijų, inžinerijos ir matematikos sektoriuose, ypač kuriant naujas technologijas, visų pirma, sprendimų priėmimo pozicijose; </w:t>
      </w:r>
    </w:p>
    <w:p w:rsidR="00071C49" w:rsidRPr="00554F13" w:rsidRDefault="00071C49" w:rsidP="00071C49">
      <w:pPr>
        <w:pStyle w:val="NormalHanging12a"/>
        <w:rPr>
          <w:szCs w:val="24"/>
        </w:rPr>
      </w:pPr>
      <w:r w:rsidRPr="00554F13">
        <w:t>33.</w:t>
      </w:r>
      <w:r w:rsidRPr="00554F13">
        <w:tab/>
        <w:t>primena, jog svarbu, kad tautinėms mažumoms priklausantys vaikai galėtų lankyti mokyklas, kuriose švietimas vyksta jų kalba; ragina įtraukti tautinių mažumų atstovus į sprendimų priėmimo procesus, darančius poveikį jų švietimo sistemoms;</w:t>
      </w:r>
    </w:p>
    <w:p w:rsidR="00071C49" w:rsidRPr="00554F13" w:rsidRDefault="00071C49" w:rsidP="00071C49">
      <w:pPr>
        <w:pStyle w:val="NormalHanging12a"/>
      </w:pPr>
      <w:r w:rsidRPr="00554F13">
        <w:lastRenderedPageBreak/>
        <w:t>34.</w:t>
      </w:r>
      <w:r w:rsidRPr="00554F13">
        <w:tab/>
        <w:t>primena, kad smurtas lyties pagrindu yra labai paplitęs visose ES valstybėse narėse; griežtai smerkia spartų moterų ir LGBTIQ+ asmenų teisių padėties blogėjimą keliose valstybėse narėse; griežtai smerkia atsisakymą suteikti galimybę pasinaudoti saugaus ir teisėto nėštumo nutraukimo paslaugomis kaip smurto lyties pagrindu formą; pabrėžia, kad EŽTT yra nurodęs, jog ribojamojo pobūdžio teisės aktai dėl nėštumo nutraukimo ir įgyvendinimo nepakankamumas pažeidžia moterų teisę į fizinį savarankiškumą bei neliečiamybę; pakartoja, kad smerkia Lenkijos įstatymą, kuriuo beveik visiškai uždraudžiamas nėštumo nutraukimas; primena, kad piliečiai, padedantys asmenims, kurie negali laisvai ar teisėtai pasinaudoti nėštumo nutraukimo paslaugomis, neturėtų būti persekiojami; pakartoja savo raginimą į Chartiją įtraukti teisę į abortą;</w:t>
      </w:r>
    </w:p>
    <w:p w:rsidR="00071C49" w:rsidRPr="00554F13" w:rsidRDefault="00071C49" w:rsidP="00071C49">
      <w:pPr>
        <w:pStyle w:val="NormalHanging12a"/>
        <w:rPr>
          <w:szCs w:val="24"/>
        </w:rPr>
      </w:pPr>
      <w:r w:rsidRPr="00554F13">
        <w:t>35.</w:t>
      </w:r>
      <w:r w:rsidRPr="00554F13">
        <w:tab/>
        <w:t>palankiai vertina Komisijos pasiūlymą dėl direktyvos dėl kovos su smurtu prieš moteris ir smurtu šeimoje ir ragina sparčiai užbaigti derybas ir į veikų, kurios ES laikomos nusikaltimais, sąrašą įtraukti smurtą dėl lyties; pabrėžia, kad tokia direktyva turėtų užtikrinti, kad Stambulo konvencijoje nustatyti įsipareigojimai yra minimalus standartas, ir siekti sustiprinti šiuos standartus, kad būtų padidintas apsaugos lygis; palankiai vertina tai, kad ES ratifikavo Stambulo konvenciją, kuri įsigaliojo 2023 m. spalio 1 d.; ragina konvencijos neratifikavusias valstybes nares tai greitai padaryti, kad būtų užtikrinama moterų apsauga nuo smurto;</w:t>
      </w:r>
    </w:p>
    <w:p w:rsidR="00071C49" w:rsidRPr="00554F13" w:rsidRDefault="00071C49" w:rsidP="00071C49">
      <w:pPr>
        <w:pStyle w:val="NormalHanging12a"/>
        <w:rPr>
          <w:szCs w:val="24"/>
        </w:rPr>
      </w:pPr>
      <w:r w:rsidRPr="00554F13">
        <w:t>36.</w:t>
      </w:r>
      <w:r w:rsidRPr="00554F13">
        <w:tab/>
        <w:t>pabrėžia, kad asmenys su negalia, ypač moterys su negalia, ir toliau patiria daugialypę ir sąveikinę diskriminaciją dėl savo negalios, lyties, rasės, etninės kilmės, amžiaus, religijos ar tikėjimo, seksualinės orientacijos, migracijos statuso ar socialinės ir ekonominės padėties; pabrėžia, kad moterys ir mergaitės su negalia ypač dažnai patiria smurtą lyties pagrindu, įskaitant fizinį, seksualinį, psichologinį ir ekonominį smurtą; ragina Komisiją ir valstybes nares užtikrinti, kad būtų sukurti ir taptų prieinami pranešimo apie smurtą prieš neįgaliuosius mechanizmai, taip pat paramos aukoms paslaugos;</w:t>
      </w:r>
    </w:p>
    <w:p w:rsidR="00071C49" w:rsidRPr="00554F13" w:rsidRDefault="00071C49" w:rsidP="00071C49">
      <w:pPr>
        <w:pStyle w:val="NormalHanging12a"/>
        <w:rPr>
          <w:szCs w:val="24"/>
        </w:rPr>
      </w:pPr>
      <w:r w:rsidRPr="00554F13">
        <w:t>37.</w:t>
      </w:r>
      <w:r w:rsidRPr="00554F13">
        <w:tab/>
        <w:t>pabrėžia, kad vaiko teisės yra visuotinės ir kad kiekvienas vaikas nepatirdamas diskriminacijos turėtų turėti tas pačias teises, pavyzdžiui, teisę į vaiko kilmės pripažinimą, be kita ko, tos pačios lyties poroms; palankiai vertina Komisijos pasiūlymą dėl reglamento dėl jurisdikcijos, taikytinos teisės, teismo sprendimų dėl vaiko kilmės pripažinimo ir autentiškų dokumentų dėl vaiko kilmės priėmimo ir dėl Europos vaiko kilmės pažymėjimo sukūrimo, kuriuo siekiama apsaugoti visų vaikų teises užtikrinant, kad vienoje valstybėje narėje nustatyti tėvų, įskaitant visų pirma tos pačios lyties tėvus, ryšiai būtų pripažįstami visose ES valstybėse narėse;</w:t>
      </w:r>
    </w:p>
    <w:p w:rsidR="00071C49" w:rsidRPr="00554F13" w:rsidRDefault="00071C49" w:rsidP="00071C49">
      <w:pPr>
        <w:pStyle w:val="NormalHanging12a"/>
        <w:rPr>
          <w:szCs w:val="24"/>
        </w:rPr>
      </w:pPr>
      <w:r w:rsidRPr="00554F13">
        <w:t>38.</w:t>
      </w:r>
      <w:r w:rsidRPr="00554F13">
        <w:tab/>
        <w:t>ragina visas valstybes nares nustatyti, kad už priverstinę sterilizaciją būtų baudžiama kaip už nusikalstamą veiką; primena savo poziciją, kad priverstinė sterilizacija turėtų būti įtraukta į direktyvą dėl kovos su smurtu prieš moteris ir smurtu šeimoje kaip nusikalstama veika pagal SESV 83 straipsnio 1 dalį;</w:t>
      </w:r>
    </w:p>
    <w:p w:rsidR="00071C49" w:rsidRPr="00554F13" w:rsidRDefault="00071C49" w:rsidP="00071C49">
      <w:pPr>
        <w:pStyle w:val="NormalHanging12a"/>
        <w:rPr>
          <w:szCs w:val="24"/>
        </w:rPr>
      </w:pPr>
      <w:r w:rsidRPr="00554F13">
        <w:t>39.</w:t>
      </w:r>
      <w:r w:rsidRPr="00554F13">
        <w:tab/>
        <w:t>primena, kad neapykantos nusikaltimai ir neapykantos kalba, kuriuos skatina rasizmas, ksenofobija, religinė netolerancija arba priešiškumas ar išankstinės nuostatos, grindžiami asmens negalia, seksualine orientacija, lytine tapatybe, lyties raiška ar lytiniais požymiais, yra kraštutiniai diskriminacijos pavyzdžiai; pažymi, kad valstybės narės privalo kovoti su neapykantos nusikaltimais, juos tirti, bausti kaltininkus ir imtis prevencinių priemonių; pabrėžia, kad teisėsaugos institucijos turi tinkamai registruoti neapykantos nusikaltimus, kad būtų galima geriau suprasti šio reiškinio pobūdį, paplitimą bei jo poveikį aukoms ir šalinti pagrindines jų priežastis;</w:t>
      </w:r>
    </w:p>
    <w:p w:rsidR="00071C49" w:rsidRPr="00554F13" w:rsidRDefault="00071C49" w:rsidP="00071C49">
      <w:pPr>
        <w:pStyle w:val="NormalHanging12a"/>
      </w:pPr>
      <w:r w:rsidRPr="00554F13">
        <w:lastRenderedPageBreak/>
        <w:t>40.</w:t>
      </w:r>
      <w:r w:rsidRPr="00554F13">
        <w:tab/>
        <w:t>palankiai vertina Komisijos iniciatyvą į SESV 83 straipsnio 1 dalyje pateiktą veikų, kurios ES laikomos nusikaltimais, sąrašą įtraukti neapykantos kalbą ir neapykantos nusikaltimus, ir pabrėžia, kad būtina užtikrinti griežtą ES baudžiamosios teisės atsaką į neapykantos kalbą ir neapykantos nusikaltimus; ypač apgailestauja, kad vėluojama patvirtinti šią iniciatyvą, ir dar kartą ragina Tarybai uoliai dirbti siekiant bendro sutarimo;</w:t>
      </w:r>
    </w:p>
    <w:p w:rsidR="00071C49" w:rsidRPr="00554F13" w:rsidRDefault="00071C49" w:rsidP="00071C49">
      <w:pPr>
        <w:pStyle w:val="NormalHanging12a"/>
        <w:rPr>
          <w:szCs w:val="24"/>
        </w:rPr>
      </w:pPr>
      <w:r w:rsidRPr="00554F13">
        <w:t>41.</w:t>
      </w:r>
      <w:r w:rsidRPr="00554F13">
        <w:tab/>
        <w:t>primena, kad ES teisės aktai dėl neapykantos kalbos ir neapykantos nusikaltimų turėtų užtikrinti visuotinę žmogaus orumo apsaugą ir kovą su neapykanta ir netolerancija, neatsižvelgiant į jų motyvaciją, ypatingą dėmesį skiriant ją patiriantiems asmenims, grupėms ir bendruomenėms; griežtai smerkia visų formų neapykantos kalbą ir šmeižto kampanijas viešojoje žiniasklaidoje, nukreiptas prieš žurnalistus, politikus, valstybės pareigūnus, aktyvistus ir kitus veikėjus;</w:t>
      </w:r>
    </w:p>
    <w:p w:rsidR="00071C49" w:rsidRPr="00554F13" w:rsidRDefault="00071C49" w:rsidP="00071C49">
      <w:pPr>
        <w:pStyle w:val="NormalHanging12a"/>
        <w:rPr>
          <w:szCs w:val="24"/>
        </w:rPr>
      </w:pPr>
      <w:r w:rsidRPr="00554F13">
        <w:t>42.</w:t>
      </w:r>
      <w:r w:rsidRPr="00554F13">
        <w:tab/>
        <w:t>ragina Komisiją veiksmingai stebėti, kaip įgyvendinamos priemonės, numatytos įvairiose lygybės strategijose, pavyzdžiui, 2020–2025 m. ES LGBTIQ+ asmenų lygybės strategijoje, 2020–2025 m. ES lyčių lygybės strategijoje, Romų lygybės ir įtraukties strategijoje, taip pat 2020–2025 m. ES kovos su rasizmu veiksmų plane; ragina valstybes nares skubiai parengti ir įgyvendinti nacionalinius kovos su rasizmu veiksmų planus;</w:t>
      </w:r>
    </w:p>
    <w:p w:rsidR="00071C49" w:rsidRPr="00554F13" w:rsidRDefault="00071C49" w:rsidP="00071C49">
      <w:pPr>
        <w:pStyle w:val="NormalHanging12a"/>
      </w:pPr>
      <w:r w:rsidRPr="00554F13">
        <w:t>43.</w:t>
      </w:r>
      <w:r w:rsidRPr="00554F13">
        <w:tab/>
        <w:t>palankiai vertina tai, kad Komisija, kreipdamasi į Teisingumo Teismą dėl Vengrijos vadinamojo vaikų apsaugos įstatymo, kuriame buvo užmaskuoti kiti tikslai, pirmą kartą rėmėsi ES sutarties 2 straipsnio savarankiško pažeidimo faktu;</w:t>
      </w:r>
    </w:p>
    <w:p w:rsidR="00071C49" w:rsidRPr="00554F13" w:rsidRDefault="00071C49" w:rsidP="00071C49">
      <w:pPr>
        <w:pStyle w:val="Normal12a24b"/>
        <w:rPr>
          <w:b/>
          <w:i/>
        </w:rPr>
      </w:pPr>
      <w:r w:rsidRPr="00554F13">
        <w:rPr>
          <w:rStyle w:val="Bold"/>
          <w:i/>
        </w:rPr>
        <w:t>Socialinės, ekonominės ir aplinka susijusios teisės</w:t>
      </w:r>
    </w:p>
    <w:p w:rsidR="00071C49" w:rsidRPr="00554F13" w:rsidRDefault="00071C49" w:rsidP="00071C49">
      <w:pPr>
        <w:pStyle w:val="NormalHanging12a"/>
      </w:pPr>
      <w:r w:rsidRPr="00554F13">
        <w:t>44.</w:t>
      </w:r>
      <w:r w:rsidRPr="00554F13">
        <w:tab/>
        <w:t>pripažįsta, kad skurdas yra dar viena diskriminacijos forma, dėl kurios pažeidžiamos pagrindinės teisės ir atsiranda nevienodos galimybės gauti prekių ir paslaugų; pabrėžia ypatingą vaikų pažeidžiamumą ir poveikį, kurį skurdas daro vaikams ir jų fiziniam bei psichologiniam vystymuisi; ragina Komisiją, Tarybą ir valstybes nares parengti skurdo ir socialinės atskirties mažinimo politiką, laikantis sąveikinio požiūrio ir ypatingą dėmesį skiriant pažeidžiamoje padėtyje atsidūrusiems asmenims; palankiai vertina tai, kad patvirtinta Europos vaikų garantijų iniciatyva, tačiau mano, kad reikia dėti daugiau pastangų, ypač socialinės apsaugos srityje; ragina valstybes nares užtikrinti vienodą prieigą prie kokybiško išsilavinimo ir darbo bei lygias galimybes jį gauti, nes jos atlieka labai svarbų vaidmenį padedant mažinti nelygybę ir siekiant padėti žmonėms išbristi iš skurdo;</w:t>
      </w:r>
    </w:p>
    <w:p w:rsidR="00071C49" w:rsidRPr="00554F13" w:rsidRDefault="00071C49" w:rsidP="00071C49">
      <w:pPr>
        <w:pStyle w:val="NormalHanging12a"/>
        <w:rPr>
          <w:szCs w:val="24"/>
        </w:rPr>
      </w:pPr>
      <w:r w:rsidRPr="00554F13">
        <w:t>45.</w:t>
      </w:r>
      <w:r w:rsidRPr="00554F13">
        <w:tab/>
        <w:t>yra labai susirūpinęs dėl didėjančio skurdo, nelygybės ir socialinės atskirties ES; ragina valstybes nares kovoti su menstruacinių priemonių nepritekliumi ir panaikinti asmens higienos produktams taikomą PVM; pabrėžia, kad ilgalaikiai ekonominiai COVID-19 pandemijos padariniai, taip pat išaugusios maisto ir energijos kainos ypač stipriai paveikė mažas pajamas gaunančių ar skurstančių žmonių teises, įskaitant teisę į tinkamą gyvenimo lygį, maistą, sveikatą, būstą ir socialinę apsaugą; ragina Komisiją ir Tarybą plėtoti makroekonominę politiką, grindžiamą ne tik ekonomikos augimu, bet ir socialiniais standartais, ir primena socialinių standartų svarbą Europos semestre;</w:t>
      </w:r>
    </w:p>
    <w:p w:rsidR="00071C49" w:rsidRPr="00554F13" w:rsidRDefault="00071C49" w:rsidP="00071C49">
      <w:pPr>
        <w:pStyle w:val="NormalHanging12a"/>
        <w:rPr>
          <w:szCs w:val="24"/>
        </w:rPr>
      </w:pPr>
      <w:r w:rsidRPr="00554F13">
        <w:t>46.</w:t>
      </w:r>
      <w:r w:rsidRPr="00554F13">
        <w:tab/>
        <w:t xml:space="preserve">palankiai vertina 2023 m. sausio 30 d. Tarybos rekomendaciją dėl pakankamų </w:t>
      </w:r>
      <w:r w:rsidRPr="00554F13">
        <w:lastRenderedPageBreak/>
        <w:t>minimalių pajamų</w:t>
      </w:r>
      <w:r w:rsidRPr="00554F13">
        <w:rPr>
          <w:vertAlign w:val="superscript"/>
        </w:rPr>
        <w:footnoteReference w:id="50"/>
      </w:r>
      <w:r w:rsidRPr="00554F13">
        <w:t>, kuriomis užtikrinama aktyvi įtrauktis, nes tai žingsnis į priekį įgyvendinant Europos socialinių teisių ramsčio 14 principą; vis dėlto apgailestauja, kad trūksta konkrečių priemonių, kuriomis būtų galima įveikti struktūrinę pažeidžiamų grupių diskriminaciją; ragina valstybes nares rinkti duomenis apie minimalias pajamas, suskirstytus pagal šias grupes;</w:t>
      </w:r>
    </w:p>
    <w:p w:rsidR="00071C49" w:rsidRPr="00554F13" w:rsidRDefault="00071C49" w:rsidP="00071C49">
      <w:pPr>
        <w:pStyle w:val="NormalHanging12a"/>
        <w:rPr>
          <w:szCs w:val="24"/>
        </w:rPr>
      </w:pPr>
      <w:r w:rsidRPr="00554F13">
        <w:t>47.</w:t>
      </w:r>
      <w:r w:rsidRPr="00554F13">
        <w:tab/>
        <w:t>pabrėžia, kad skaitmeninimas yra universalus procesas, darantis poveikį galimybei naudotis visomis paslaugomis, visų pirma sveikatos priežiūros paslaugomis, ir naudojimuisi pagrindinėmis teisėmis; pabrėžia, kad skaitmeninis skurdas ES turėtų būti stebimas ir vertinamas atsižvelgiant į, be kita ko, pagyvenusių asmenų, atokiose vietovėse gyvenančių asmenų, benamių ir romų galimybes naudotis pagrindinėmis paslaugomis ir pagrindinėmis teisėmis; primena pagal Neįgaliųjų teisių konvenciją valstybėms narėms tenkančią pareigą užtikrinti, kad asmenys su negalia turėtų galimybę visapusiškai dalyvauti visuomenės gyvenime; primena, kad priklausomybė nuo technologijų yra visuomenės sveikatos problema, kuri ypač paveikia nepilnamečius ir jų fizinę bei psichinę sveikatą;</w:t>
      </w:r>
    </w:p>
    <w:p w:rsidR="00071C49" w:rsidRPr="00554F13" w:rsidRDefault="00071C49" w:rsidP="00071C49">
      <w:pPr>
        <w:pStyle w:val="NormalHanging12a"/>
        <w:rPr>
          <w:szCs w:val="24"/>
        </w:rPr>
      </w:pPr>
      <w:r w:rsidRPr="00554F13">
        <w:t>48.</w:t>
      </w:r>
      <w:r w:rsidRPr="00554F13">
        <w:tab/>
        <w:t>pažymi, kad būstas yra ne prabangos prekė, o būtinybė ir visapusiško dalyvavimo visuomenės gyvenime prielaida; ragina valstybes nares didinti investicijas į socialinį ir įperkamą būstą, kad būtų panaikinta per didelių išlaidų būstui našta, tenkanti visų pirma nepalankioje padėtyje esančioms ir pažeidžiamoms grupėms, ir kad būtų išvengta konkurencijos tarp šių grupių;</w:t>
      </w:r>
    </w:p>
    <w:p w:rsidR="00071C49" w:rsidRPr="00554F13" w:rsidRDefault="00071C49" w:rsidP="00071C49">
      <w:pPr>
        <w:pStyle w:val="NormalHanging12a"/>
        <w:rPr>
          <w:szCs w:val="24"/>
        </w:rPr>
      </w:pPr>
      <w:r w:rsidRPr="00554F13">
        <w:t>49.</w:t>
      </w:r>
      <w:r w:rsidRPr="00554F13">
        <w:tab/>
        <w:t>palankiai vertina tai, kad 2021 m. spalio 8 d. Jungtinių Tautų žmogaus teisių taryba pripažino visuotinę teisę į sveiką ir tvarią aplinką; pabrėžia, kad žala aplinkai ir tai, kad kai kurios valdžios institucijos neteikia informacijos apie didelę su aplinka susijusią riziką, kurią patiria asmenys, gali sukelti didelių žalingų padarinių asmenims; primena, kad būtina iki 2030 m. visiškai suderinti ES aplinkos oro kokybės standartus su naujausiomis Pasaulio sveikatos organizacijos gairėmis;</w:t>
      </w:r>
    </w:p>
    <w:p w:rsidR="00071C49" w:rsidRPr="00554F13" w:rsidRDefault="00071C49" w:rsidP="00071C49">
      <w:pPr>
        <w:pStyle w:val="Normal12a24b"/>
        <w:rPr>
          <w:i/>
        </w:rPr>
      </w:pPr>
      <w:r w:rsidRPr="00554F13">
        <w:rPr>
          <w:rStyle w:val="Bold"/>
          <w:i/>
        </w:rPr>
        <w:t>Institucinės pagrindinių teisių apsaugos priemonės</w:t>
      </w:r>
    </w:p>
    <w:p w:rsidR="00071C49" w:rsidRPr="00554F13" w:rsidRDefault="00071C49" w:rsidP="00071C49">
      <w:pPr>
        <w:pStyle w:val="NormalHanging12a"/>
        <w:rPr>
          <w:szCs w:val="24"/>
        </w:rPr>
      </w:pPr>
      <w:r w:rsidRPr="00554F13">
        <w:t>50.</w:t>
      </w:r>
      <w:r w:rsidRPr="00554F13">
        <w:tab/>
        <w:t>palankiai vertina pažangą, padarytą 2020 m. birželio mėn. atnaujinus derybas dėl ES prisijungimo prie EŽTK, ir 2023 m. kovo mėn. pasiektą preliminarų susitarimą dėl peržiūrėtų prisijungimo priemonių projekto; ragina Komisiją ir Tarybą kuo greičiau išspręsti likusį klausimą dėl ES teisės aktų padėties bendros užsienio ir saugumo politikos srityje, kad būtų užbaigtas prisijungimo procesas;</w:t>
      </w:r>
    </w:p>
    <w:p w:rsidR="00071C49" w:rsidRPr="00554F13" w:rsidRDefault="00071C49" w:rsidP="00071C49">
      <w:pPr>
        <w:pStyle w:val="NormalHanging12a"/>
      </w:pPr>
      <w:r w:rsidRPr="00554F13">
        <w:t>51.</w:t>
      </w:r>
      <w:r w:rsidRPr="00554F13">
        <w:tab/>
        <w:t>remia Pagrindinių teisių agentūros darbą analizuojant duomenis, kad būtų galima dokumentuoti diskriminaciją, ir palankiai vertina tolesnius pokyčius šioje srityje; palankiai vertina Komisijos pasiūlymus dėl dviejų direktyvų dėl lygybės įstaigoms taikomų standartų, kuriomis siekiama užtikrinti ES kovos su diskriminacija taisyklių įgyvendinimą ir vykdymo užtikrinimą; ragina su Pagrindinių teisių agentūra bendradarbiaujančias nacionalines institucijas teikti nešališkus duomenis; ragina Pagrindinių teisių agentūrą konsultuotis su papildomais šaltiniais, kai išlieka rimtų abejonių dėl duomenų kokybės;</w:t>
      </w:r>
    </w:p>
    <w:p w:rsidR="00071C49" w:rsidRPr="00554F13" w:rsidRDefault="00071C49" w:rsidP="00071C49">
      <w:pPr>
        <w:pStyle w:val="NormalHanging12a"/>
        <w:rPr>
          <w:szCs w:val="24"/>
        </w:rPr>
      </w:pPr>
      <w:r w:rsidRPr="00554F13">
        <w:t>52.</w:t>
      </w:r>
      <w:r w:rsidRPr="00554F13">
        <w:tab/>
        <w:t xml:space="preserve">pabrėžia, kad svarbu remti ir stiprinti ES institucijų, valstybių narių, OLAF ir Europos prokuratūros bendradarbiavimą; ragina Komisiją pateikti ataskaitą, kurioje būtų </w:t>
      </w:r>
      <w:r w:rsidRPr="00554F13">
        <w:lastRenderedPageBreak/>
        <w:t>įvertinta galimybė ir būdai išplėsti Europos prokuratūros įgaliojimus, kaip numatyta SESV 86 straipsnyje, kad jie apimtų sunkius nusikaltimus aplinkai, kurie kenkia Sąjungos interesams arba daro poveikį nuosekliam ES politikos, susijusios su aplinkos apsauga, taikymui;</w:t>
      </w:r>
    </w:p>
    <w:p w:rsidR="00071C49" w:rsidRPr="00554F13" w:rsidRDefault="00071C49" w:rsidP="00071C49">
      <w:pPr>
        <w:pStyle w:val="NormalHanging12a"/>
        <w:rPr>
          <w:szCs w:val="24"/>
        </w:rPr>
      </w:pPr>
      <w:r w:rsidRPr="00554F13">
        <w:t>53.</w:t>
      </w:r>
      <w:r w:rsidRPr="00554F13">
        <w:tab/>
        <w:t>ragina įsteigti Pagrindinių teisių agentūrą kaip nepriklausomą žmogaus teisių instituciją, panašią į nacionalines žmogaus teisių institucijas ir atitinkančią Jungtinių Tautų Generalinės Asamblėjos 1993 m. Paryžiaus principus, kad būtų saugoma ir skatinama Chartijos politika ir praktika, kurią įgyvendindamos ES teisę vykdo Sąjungos institucijos, įstaigos, organai, tarnybos ir agentūros, taip pat valstybės narės; mano, kad pagrindinių teisių institucijai įsteigti reikalingas Sutartyse numatytas teisinis pagrindas, kuriame būtų įtvirtintas jos nepriklausomumas ir nustatyta įprasta teisėkūros procedūra jos įgaliojimams priimti ir iš dalies keisti; ragina šiai naujai institucijai suteikti teisę pagal SESV 263 straipsnį reikšti ieškinius dėl Chartijos pažeidimo; ragina į Pagrindinių teisių agentūros įgaliojimus įtraukti kompetenciją nagrinėti skundus ir numatyti, kad rengdama pasiūlymus dėl teisėkūros procedūra priimamų aktų ar rekomendacijų, kurie daro poveikį pagrindinėms teisėms, Komisija privalėtų su ja konsultuotis;</w:t>
      </w:r>
    </w:p>
    <w:p w:rsidR="00071C49" w:rsidRPr="00554F13" w:rsidRDefault="00071C49" w:rsidP="00071C49">
      <w:pPr>
        <w:pStyle w:val="NormalHanging12a"/>
      </w:pPr>
      <w:r w:rsidRPr="00554F13">
        <w:t>54.</w:t>
      </w:r>
      <w:r w:rsidRPr="00554F13">
        <w:tab/>
        <w:t>primena atitinkamos Teisingumo Teismo praktikos, kuria užtikrinama pagarba pagrindinėms teisėms ir išsamiau apibrėžiamas teisinės valstybės principas, svarbą; yra susirūpinęs dėl to, kad kai kurios valstybės narės nuolat atsisako įgyvendinti nacionalinių teismų, Teisingumo Teismo ir EŽTT sprendimus, o tai prisideda prie teisinės valstybės padėties blogėjimo; pabrėžia, kad dėl teismo sprendimų neįgyvendinimo gali nebelikti teisių gynimo priemonių žmogaus teisių pažeidimų atveju; pabrėžia, kad ES teisės viršenybė yra ES teisinės tvarkos pagrindas; ragina Komisiją užtikrinti tinkamus tolesnius veiksmus tais atvejais, kai šis principas nėra įgyvendinamas;</w:t>
      </w:r>
    </w:p>
    <w:p w:rsidR="00071C49" w:rsidRPr="00554F13" w:rsidRDefault="00071C49" w:rsidP="00071C49">
      <w:pPr>
        <w:pStyle w:val="NormalHanging12a"/>
      </w:pPr>
      <w:r w:rsidRPr="00554F13">
        <w:t>55.</w:t>
      </w:r>
      <w:r w:rsidRPr="00554F13">
        <w:tab/>
        <w:t>pabrėžia svarbų nacionalinių ir vietos valdžios institucijų, taip pat valstybių narių parlamentų ir teisėsaugos institucijų vaidmenį skatinant ir ginant Chartijoje įtvirtintas teises;</w:t>
      </w:r>
    </w:p>
    <w:p w:rsidR="00071C49" w:rsidRPr="00554F13" w:rsidRDefault="00071C49" w:rsidP="00071C49">
      <w:pPr>
        <w:pStyle w:val="NormalHanging12a"/>
      </w:pPr>
      <w:r w:rsidRPr="00554F13">
        <w:t>56.</w:t>
      </w:r>
      <w:r w:rsidRPr="00554F13">
        <w:tab/>
        <w:t>atkreipia dėmesį į Pagrindinių teisių agentūros pastabą, kad valstybės narės, regis, nepakankamai struktūruotai dalyvauja įgyvendinant Komisijos Chartijos taikymo stiprinimo strategiją, pavyzdžiui, apibrėžiant aiškius tikslus, etapus ir terminus; ragina valstybes nares visapusiškai įgyvendinti strategiją;</w:t>
      </w:r>
    </w:p>
    <w:p w:rsidR="00071C49" w:rsidRPr="00554F13" w:rsidRDefault="00071C49" w:rsidP="00071C49">
      <w:pPr>
        <w:pStyle w:val="NormalHanging12a"/>
        <w:rPr>
          <w:szCs w:val="24"/>
        </w:rPr>
      </w:pPr>
      <w:r w:rsidRPr="00554F13">
        <w:t>57.</w:t>
      </w:r>
      <w:r w:rsidRPr="00554F13">
        <w:tab/>
        <w:t>primena, kad teisės dalyvauti demokratiniame gyvenime ir pareigos užtikrinti, kad sprendimai būtų priimami kuo atviriau ir kuo arčiau piliečių, apsaugą užtikrina Sutartys, visų pirma ES sutarties 10 straipsnis; ragina ES institucijas ir valstybes nares užtikrinti pakankamai laiko viešoms konsultacijoms bei skaidrumą ir savo iniciatyva skelbti viešus dokumentus;</w:t>
      </w:r>
    </w:p>
    <w:p w:rsidR="00071C49" w:rsidRPr="00554F13" w:rsidRDefault="00071C49" w:rsidP="00071C49">
      <w:pPr>
        <w:pStyle w:val="NormalHanging12a"/>
        <w:jc w:val="center"/>
      </w:pPr>
      <w:r w:rsidRPr="00554F13">
        <w:t>°</w:t>
      </w:r>
    </w:p>
    <w:p w:rsidR="00071C49" w:rsidRPr="00554F13" w:rsidRDefault="00071C49" w:rsidP="00071C49">
      <w:pPr>
        <w:pStyle w:val="NormalHanging12a"/>
        <w:jc w:val="center"/>
      </w:pPr>
      <w:r w:rsidRPr="00554F13">
        <w:t>°</w:t>
      </w:r>
      <w:r w:rsidRPr="00554F13">
        <w:tab/>
        <w:t>°</w:t>
      </w:r>
    </w:p>
    <w:p w:rsidR="00071C49" w:rsidRPr="00554F13" w:rsidRDefault="00071C49" w:rsidP="00071C49">
      <w:pPr>
        <w:pStyle w:val="NormalHanging12a"/>
      </w:pPr>
      <w:r w:rsidRPr="00554F13">
        <w:t>58.</w:t>
      </w:r>
      <w:r w:rsidRPr="00554F13">
        <w:tab/>
        <w:t>paveda Pirmininkei perduoti šią rezoliuciją Tarybai ir Komisijai.</w:t>
      </w:r>
    </w:p>
    <w:p w:rsidR="00E365E1" w:rsidRPr="00554F13" w:rsidRDefault="00E365E1" w:rsidP="002B21C4">
      <w:bookmarkStart w:id="9" w:name="TextBodyEnd"/>
      <w:bookmarkEnd w:id="9"/>
    </w:p>
    <w:sectPr w:rsidR="00E365E1" w:rsidRPr="00554F13" w:rsidSect="00554F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1C4" w:rsidRPr="00554F13" w:rsidRDefault="002B21C4">
      <w:r w:rsidRPr="00554F13">
        <w:separator/>
      </w:r>
    </w:p>
  </w:endnote>
  <w:endnote w:type="continuationSeparator" w:id="0">
    <w:p w:rsidR="002B21C4" w:rsidRPr="00554F13" w:rsidRDefault="002B21C4">
      <w:r w:rsidRPr="00554F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1C4" w:rsidRPr="00554F13" w:rsidRDefault="002B21C4">
      <w:r w:rsidRPr="00554F13">
        <w:separator/>
      </w:r>
    </w:p>
  </w:footnote>
  <w:footnote w:type="continuationSeparator" w:id="0">
    <w:p w:rsidR="002B21C4" w:rsidRPr="00554F13" w:rsidRDefault="002B21C4">
      <w:r w:rsidRPr="00554F13">
        <w:continuationSeparator/>
      </w:r>
    </w:p>
  </w:footnote>
  <w:footnote w:id="1">
    <w:p w:rsidR="00071C49" w:rsidRPr="00EF1B03" w:rsidRDefault="00071C49" w:rsidP="00554F13">
      <w:pPr>
        <w:pStyle w:val="FootnoteText"/>
        <w:ind w:left="567" w:hanging="567"/>
        <w:rPr>
          <w:sz w:val="24"/>
          <w:lang w:val="lt-LT"/>
        </w:rPr>
      </w:pPr>
      <w:r w:rsidRPr="00554F13">
        <w:rPr>
          <w:rStyle w:val="FootnoteReference"/>
          <w:sz w:val="24"/>
          <w:lang w:val="lt-LT"/>
        </w:rPr>
        <w:footnoteRef/>
      </w:r>
      <w:r w:rsidR="00554F13" w:rsidRPr="00554F13">
        <w:rPr>
          <w:i/>
          <w:iCs/>
          <w:sz w:val="24"/>
          <w:lang w:val="lt-LT"/>
        </w:rPr>
        <w:t xml:space="preserve"> </w:t>
      </w:r>
      <w:r w:rsidR="00554F13" w:rsidRPr="00554F13">
        <w:rPr>
          <w:i/>
          <w:iCs/>
          <w:sz w:val="24"/>
          <w:lang w:val="lt-LT"/>
        </w:rPr>
        <w:tab/>
      </w:r>
      <w:r w:rsidRPr="00510763">
        <w:rPr>
          <w:i/>
          <w:iCs/>
          <w:sz w:val="24"/>
          <w:lang w:val="lt-LT"/>
        </w:rPr>
        <w:t>Inter alia</w:t>
      </w:r>
      <w:r w:rsidRPr="00510763">
        <w:rPr>
          <w:sz w:val="24"/>
          <w:lang w:val="lt-LT"/>
        </w:rPr>
        <w:t xml:space="preserve">: </w:t>
      </w:r>
      <w:r w:rsidRPr="00510763">
        <w:rPr>
          <w:i/>
          <w:sz w:val="24"/>
          <w:lang w:val="lt-LT"/>
        </w:rPr>
        <w:t>Komisija prieš Vengriją</w:t>
      </w:r>
      <w:r w:rsidRPr="00510763">
        <w:rPr>
          <w:sz w:val="24"/>
          <w:lang w:val="lt-LT"/>
        </w:rPr>
        <w:t xml:space="preserve"> (Asociacijų skaidrumas), byla C-78/18, ECLI:EU:C:2020:476;</w:t>
      </w:r>
    </w:p>
    <w:p w:rsidR="00071C49" w:rsidRPr="00510763" w:rsidRDefault="00554F13" w:rsidP="00554F13">
      <w:pPr>
        <w:pStyle w:val="FootnoteText"/>
        <w:ind w:left="567" w:hanging="567"/>
        <w:rPr>
          <w:sz w:val="24"/>
          <w:lang w:val="lt-LT"/>
        </w:rPr>
      </w:pPr>
      <w:r w:rsidRPr="00510763">
        <w:rPr>
          <w:sz w:val="24"/>
          <w:lang w:val="lt-LT"/>
        </w:rPr>
        <w:t xml:space="preserve"> </w:t>
      </w:r>
      <w:r w:rsidRPr="00510763">
        <w:rPr>
          <w:sz w:val="24"/>
          <w:lang w:val="lt-LT"/>
        </w:rPr>
        <w:tab/>
      </w:r>
      <w:r w:rsidR="00071C49" w:rsidRPr="00510763">
        <w:rPr>
          <w:sz w:val="24"/>
          <w:lang w:val="lt-LT"/>
        </w:rPr>
        <w:t xml:space="preserve">2022 m. spalio 6 d. Teisingumo Teismo (antroji kolegija) sprendimas </w:t>
      </w:r>
      <w:r w:rsidR="00071C49" w:rsidRPr="00510763">
        <w:rPr>
          <w:i/>
          <w:sz w:val="24"/>
          <w:lang w:val="lt-LT"/>
        </w:rPr>
        <w:t>I. L</w:t>
      </w:r>
      <w:r w:rsidR="00071C49" w:rsidRPr="00510763">
        <w:rPr>
          <w:sz w:val="24"/>
          <w:lang w:val="lt-LT"/>
        </w:rPr>
        <w:t xml:space="preserve">. prieš </w:t>
      </w:r>
      <w:r w:rsidR="00071C49" w:rsidRPr="00510763">
        <w:rPr>
          <w:i/>
          <w:sz w:val="24"/>
          <w:lang w:val="lt-LT"/>
        </w:rPr>
        <w:t>Politsei- ja Piirivalveamet</w:t>
      </w:r>
      <w:r w:rsidR="00071C49" w:rsidRPr="00510763">
        <w:rPr>
          <w:sz w:val="24"/>
          <w:lang w:val="lt-LT"/>
        </w:rPr>
        <w:t>, byla C-241/21, ECLI:EU:C:2022:753.</w:t>
      </w:r>
    </w:p>
  </w:footnote>
  <w:footnote w:id="2">
    <w:p w:rsidR="00071C49" w:rsidRPr="00EF1B03" w:rsidRDefault="00071C49" w:rsidP="00554F13">
      <w:pPr>
        <w:pStyle w:val="FootnoteText"/>
        <w:ind w:left="567" w:hanging="567"/>
        <w:rPr>
          <w:sz w:val="24"/>
          <w:u w:val="single" w:color="0000FF"/>
          <w:lang w:val="lt-LT"/>
        </w:rPr>
      </w:pPr>
      <w:r w:rsidRPr="00510763">
        <w:rPr>
          <w:rStyle w:val="FootnoteReference"/>
          <w:sz w:val="24"/>
          <w:lang w:val="lt-LT"/>
        </w:rPr>
        <w:footnoteRef/>
      </w:r>
      <w:r w:rsidR="00554F13" w:rsidRPr="00510763">
        <w:rPr>
          <w:sz w:val="24"/>
          <w:lang w:val="lt-LT"/>
        </w:rPr>
        <w:t xml:space="preserve"> </w:t>
      </w:r>
      <w:r w:rsidR="00554F13" w:rsidRPr="00510763">
        <w:rPr>
          <w:sz w:val="24"/>
          <w:lang w:val="lt-LT"/>
        </w:rPr>
        <w:tab/>
      </w:r>
      <w:r w:rsidRPr="00510763">
        <w:rPr>
          <w:sz w:val="24"/>
          <w:lang w:val="lt-LT"/>
        </w:rPr>
        <w:t>OL L 433 I, 2020 12 22, p. 1</w:t>
      </w:r>
      <w:hyperlink r:id="rId1" w:history="1">
        <w:r w:rsidRPr="00EF1B03">
          <w:rPr>
            <w:rStyle w:val="Hyperlink"/>
            <w:color w:val="auto"/>
            <w:sz w:val="24"/>
            <w:lang w:val="lt-LT"/>
          </w:rPr>
          <w:t>.</w:t>
        </w:r>
      </w:hyperlink>
    </w:p>
  </w:footnote>
  <w:footnote w:id="3">
    <w:p w:rsidR="00071C49" w:rsidRPr="00EF1B03" w:rsidRDefault="00071C49" w:rsidP="00554F13">
      <w:pPr>
        <w:pStyle w:val="FootnoteText"/>
        <w:ind w:left="567" w:hanging="567"/>
        <w:rPr>
          <w:sz w:val="24"/>
          <w:u w:val="single" w:color="0000FF"/>
          <w:lang w:val="lt-LT"/>
        </w:rPr>
      </w:pPr>
      <w:r w:rsidRPr="00510763">
        <w:rPr>
          <w:rStyle w:val="FootnoteReference"/>
          <w:sz w:val="24"/>
          <w:lang w:val="lt-LT"/>
        </w:rPr>
        <w:footnoteRef/>
      </w:r>
      <w:r w:rsidR="00554F13" w:rsidRPr="00510763">
        <w:rPr>
          <w:sz w:val="24"/>
          <w:lang w:val="lt-LT"/>
        </w:rPr>
        <w:t xml:space="preserve"> </w:t>
      </w:r>
      <w:r w:rsidR="00554F13" w:rsidRPr="00510763">
        <w:rPr>
          <w:sz w:val="24"/>
          <w:lang w:val="lt-LT"/>
        </w:rPr>
        <w:tab/>
      </w:r>
      <w:r w:rsidRPr="00510763">
        <w:rPr>
          <w:sz w:val="24"/>
          <w:lang w:val="lt-LT"/>
        </w:rPr>
        <w:t>OL L 156, 2021 5 5, p. 1</w:t>
      </w:r>
      <w:hyperlink r:id="rId2" w:history="1">
        <w:r w:rsidRPr="00EF1B03">
          <w:rPr>
            <w:rStyle w:val="Hyperlink"/>
            <w:color w:val="auto"/>
            <w:sz w:val="24"/>
            <w:lang w:val="lt-LT"/>
          </w:rPr>
          <w:t>.</w:t>
        </w:r>
      </w:hyperlink>
    </w:p>
  </w:footnote>
  <w:footnote w:id="4">
    <w:p w:rsidR="00236701" w:rsidRPr="00F51F98" w:rsidRDefault="00236701" w:rsidP="00236701">
      <w:pPr>
        <w:pStyle w:val="FootnoteText"/>
        <w:ind w:left="567" w:hanging="567"/>
        <w:rPr>
          <w:sz w:val="24"/>
          <w:lang w:val="lt-LT"/>
        </w:rPr>
      </w:pPr>
      <w:r w:rsidRPr="00510763">
        <w:rPr>
          <w:rStyle w:val="FootnoteReference"/>
          <w:sz w:val="24"/>
          <w:lang w:val="lt-LT"/>
        </w:rPr>
        <w:footnoteRef/>
      </w:r>
      <w:r w:rsidRPr="00510763">
        <w:rPr>
          <w:sz w:val="24"/>
          <w:lang w:val="lt-LT"/>
        </w:rPr>
        <w:t xml:space="preserve"> </w:t>
      </w:r>
      <w:r w:rsidRPr="00510763">
        <w:rPr>
          <w:sz w:val="24"/>
          <w:lang w:val="lt-LT"/>
        </w:rPr>
        <w:tab/>
        <w:t>OL L 283, 2017 10 31, p. 1.</w:t>
      </w:r>
    </w:p>
  </w:footnote>
  <w:footnote w:id="5">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L 119, 2016 5 4, p. 1.</w:t>
      </w:r>
    </w:p>
  </w:footnote>
  <w:footnote w:id="6">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L 198, 2017 7 28, p. 29.</w:t>
      </w:r>
    </w:p>
  </w:footnote>
  <w:footnote w:id="7">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L 328, 2008 12 6, p. 55.</w:t>
      </w:r>
    </w:p>
  </w:footnote>
  <w:footnote w:id="8">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L 180, 2000 7 19, p. 22.</w:t>
      </w:r>
    </w:p>
  </w:footnote>
  <w:footnote w:id="9">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93, 2021 3 19, p. 1.</w:t>
      </w:r>
    </w:p>
  </w:footnote>
  <w:footnote w:id="10">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L 331, 2021 9 20, p. 8.</w:t>
      </w:r>
    </w:p>
  </w:footnote>
  <w:footnote w:id="11">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L 86, 2023 3 24, p. 44.</w:t>
      </w:r>
    </w:p>
  </w:footnote>
  <w:footnote w:id="12">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L 245, 2022 9 22, p. 56.</w:t>
      </w:r>
    </w:p>
  </w:footnote>
  <w:footnote w:id="13">
    <w:p w:rsidR="00071C49" w:rsidRPr="00EF1B03" w:rsidRDefault="00071C49" w:rsidP="00554F13">
      <w:pPr>
        <w:pStyle w:val="FootnoteText"/>
        <w:ind w:left="567" w:hanging="567"/>
        <w:rPr>
          <w:sz w:val="24"/>
          <w:u w:val="single" w:color="0000FF"/>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Europos Taryba, „</w:t>
      </w:r>
      <w:hyperlink r:id="rId3" w:history="1">
        <w:r w:rsidRPr="00554F13">
          <w:rPr>
            <w:rStyle w:val="Hyperlink"/>
            <w:sz w:val="24"/>
            <w:lang w:val="lt-LT"/>
          </w:rPr>
          <w:t>Human Rights Defenders in the Council of Europe Area in Times of Crises</w:t>
        </w:r>
      </w:hyperlink>
      <w:r w:rsidRPr="00554F13">
        <w:rPr>
          <w:sz w:val="24"/>
          <w:lang w:val="lt-LT"/>
        </w:rPr>
        <w:t xml:space="preserve">“, 2023 m. kovo </w:t>
      </w:r>
      <w:r w:rsidRPr="00F51F98">
        <w:rPr>
          <w:sz w:val="24"/>
          <w:lang w:val="lt-LT"/>
        </w:rPr>
        <w:t>23 d.</w:t>
      </w:r>
    </w:p>
  </w:footnote>
  <w:footnote w:id="14">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363, 2020 10 28, p. 13.</w:t>
      </w:r>
    </w:p>
  </w:footnote>
  <w:footnote w:id="15">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411, 2020 11 27, p. 38.</w:t>
      </w:r>
    </w:p>
  </w:footnote>
  <w:footnote w:id="16">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205, 2022 5 20, p. 2.</w:t>
      </w:r>
    </w:p>
  </w:footnote>
  <w:footnote w:id="17">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251, 2022 6 30, p. 48.</w:t>
      </w:r>
    </w:p>
  </w:footnote>
  <w:footnote w:id="18">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342, 2022 9 6, p. 225.</w:t>
      </w:r>
    </w:p>
  </w:footnote>
  <w:footnote w:id="19">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347, 2022 9 9, p. 2.</w:t>
      </w:r>
    </w:p>
  </w:footnote>
  <w:footnote w:id="20">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347, 2022 9 9, p. 168.</w:t>
      </w:r>
    </w:p>
  </w:footnote>
  <w:footnote w:id="21">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493, 2022 12 27, p. 108.</w:t>
      </w:r>
    </w:p>
  </w:footnote>
  <w:footnote w:id="22">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47, 2023 2 7, p. 184.</w:t>
      </w:r>
    </w:p>
  </w:footnote>
  <w:footnote w:id="23">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125, 2023 4 5, p. 463.</w:t>
      </w:r>
    </w:p>
  </w:footnote>
  <w:footnote w:id="24">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132, 2023 4 14, p. 29.</w:t>
      </w:r>
    </w:p>
  </w:footnote>
  <w:footnote w:id="25">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177, 2023 5 17, p. 109.</w:t>
      </w:r>
    </w:p>
  </w:footnote>
  <w:footnote w:id="26">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47, 2023 2 7, p. 268.</w:t>
      </w:r>
    </w:p>
  </w:footnote>
  <w:footnote w:id="27">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w:t>
      </w:r>
      <w:r w:rsidR="00952CE0">
        <w:rPr>
          <w:sz w:val="24"/>
          <w:lang w:val="lt-LT"/>
        </w:rPr>
        <w:t>C</w:t>
      </w:r>
      <w:r w:rsidRPr="00554F13">
        <w:rPr>
          <w:sz w:val="24"/>
          <w:lang w:val="lt-LT"/>
        </w:rPr>
        <w:t> 465, 2022 12 6, p. 33.</w:t>
      </w:r>
    </w:p>
  </w:footnote>
  <w:footnote w:id="28">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465, 2022 12 6, p. 147.</w:t>
      </w:r>
    </w:p>
  </w:footnote>
  <w:footnote w:id="29">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L 45, 2023 2 14, p. 13.</w:t>
      </w:r>
    </w:p>
  </w:footnote>
  <w:footnote w:id="30">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149, 2023 4 28, p. 22.</w:t>
      </w:r>
    </w:p>
  </w:footnote>
  <w:footnote w:id="31">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161, 2023 5 5, p. 10.</w:t>
      </w:r>
    </w:p>
  </w:footnote>
  <w:footnote w:id="32">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OL C 177, 2023 5 17, p. 13.</w:t>
      </w:r>
    </w:p>
  </w:footnote>
  <w:footnote w:id="33">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004F762E" w:rsidRPr="00554F13">
        <w:rPr>
          <w:sz w:val="24"/>
          <w:lang w:val="lt-LT"/>
        </w:rPr>
        <w:t xml:space="preserve">Priimti tekstai, </w:t>
      </w:r>
      <w:r w:rsidRPr="00554F13">
        <w:rPr>
          <w:sz w:val="24"/>
          <w:lang w:val="lt-LT"/>
        </w:rPr>
        <w:t>P9_TA(2023)0111.</w:t>
      </w:r>
    </w:p>
  </w:footnote>
  <w:footnote w:id="34">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Priimti tekstai, P9_TA(2023)0196.</w:t>
      </w:r>
    </w:p>
  </w:footnote>
  <w:footnote w:id="35">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Priimti tekstai, P9_TA(2023)0204.</w:t>
      </w:r>
    </w:p>
  </w:footnote>
  <w:footnote w:id="36">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Priimti tekstai, P9_TA(2023)0216.</w:t>
      </w:r>
    </w:p>
  </w:footnote>
  <w:footnote w:id="37">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Priimti tekstai, P9_TA(2023)0295.</w:t>
      </w:r>
    </w:p>
  </w:footnote>
  <w:footnote w:id="38">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Priimti tekstai, P9_TA(2023)0342.</w:t>
      </w:r>
    </w:p>
  </w:footnote>
  <w:footnote w:id="39">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i/>
          <w:sz w:val="24"/>
          <w:lang w:val="lt-LT"/>
        </w:rPr>
        <w:t xml:space="preserve"> </w:t>
      </w:r>
      <w:r w:rsidR="00554F13" w:rsidRPr="00554F13">
        <w:rPr>
          <w:i/>
          <w:sz w:val="24"/>
          <w:lang w:val="lt-LT"/>
        </w:rPr>
        <w:tab/>
      </w:r>
      <w:r w:rsidRPr="00554F13">
        <w:rPr>
          <w:i/>
          <w:sz w:val="24"/>
          <w:lang w:val="lt-LT"/>
        </w:rPr>
        <w:t>Europos Komisija</w:t>
      </w:r>
      <w:r w:rsidRPr="00554F13">
        <w:rPr>
          <w:sz w:val="24"/>
          <w:lang w:val="lt-LT"/>
        </w:rPr>
        <w:t xml:space="preserve"> prieš </w:t>
      </w:r>
      <w:r w:rsidRPr="00554F13">
        <w:rPr>
          <w:i/>
          <w:sz w:val="24"/>
          <w:lang w:val="lt-LT"/>
        </w:rPr>
        <w:t>Vengriją</w:t>
      </w:r>
      <w:r w:rsidRPr="00554F13">
        <w:rPr>
          <w:sz w:val="24"/>
          <w:lang w:val="lt-LT"/>
        </w:rPr>
        <w:t xml:space="preserve"> (Asociacijų skaidrumas), byla C-78/18, ECLI:EU:C:2020:476.</w:t>
      </w:r>
    </w:p>
  </w:footnote>
  <w:footnote w:id="40">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Teikti pagalbą nelaimės jūroje ištiktiems asmenims yra valstybių narių teisinė prievolė, nustatyta tarptautinėje paprotinėje ir tradicinėje teisėje (Tarptautinėje konvencijoje dėl žmogaus gyvybės apsaugos jūroje (SOLAS konvencija, 1974 m.), Jungtinių Tautų jūrų teisės konvencijoje (UNCLOS, 1982 m.), Tarptautinėje jūrų paieškos ir gelbėjimo konvencijoje (SAR konvencija, 1979 m.), taip pat ES teisėje.</w:t>
      </w:r>
    </w:p>
  </w:footnote>
  <w:footnote w:id="41">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 xml:space="preserve">2022 m. spalio 6 d. Teisingumo Teismo (antroji kolegija) sprendimas </w:t>
      </w:r>
      <w:r w:rsidRPr="00554F13">
        <w:rPr>
          <w:i/>
          <w:sz w:val="24"/>
          <w:lang w:val="lt-LT"/>
        </w:rPr>
        <w:t>I. L. prieš Politsei- ja Piirivalveamet</w:t>
      </w:r>
      <w:r w:rsidRPr="00554F13">
        <w:rPr>
          <w:sz w:val="24"/>
          <w:lang w:val="lt-LT"/>
        </w:rPr>
        <w:t>, byla C-241/21, ECLI:EU:C:2022:753.</w:t>
      </w:r>
    </w:p>
  </w:footnote>
  <w:footnote w:id="42">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Europos Sąjungos pagrindinių teisių agentūra, 2023 m. pagrindinių teisių ataskaita, p. 148, 2023 m. birželio 8 d.</w:t>
      </w:r>
    </w:p>
  </w:footnote>
  <w:footnote w:id="43">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Europos Sąjungos pagrindinių teisių agentūra, 2023 m. pagrindinių teisių ataskaita, p. 148, 2023 m. birželio 8 d.</w:t>
      </w:r>
    </w:p>
  </w:footnote>
  <w:footnote w:id="44">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Terminas „romų kilmės žmonės“ apima įvairias grupes, įskaitant romus, kalus, manušus, aškalius, klajoklius, lovarius, rissende, bojašus, domus, kaldešarus, romanišelius ir sintus. Nėra bendrai sutartos terminijos, nes kai kurios bendruomenės pirmenybę teikia terminui „romai“.</w:t>
      </w:r>
    </w:p>
  </w:footnote>
  <w:footnote w:id="45">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Europos Parlamento tyrimų tarnybos glaustas informacinis pranešimas „Kova su neapykantos kurstymu ir neapykantos nusikaltimais ES“, 2022 m. birželio mėn.</w:t>
      </w:r>
    </w:p>
  </w:footnote>
  <w:footnote w:id="46">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 xml:space="preserve">Europos ombudsmenas, </w:t>
      </w:r>
      <w:hyperlink r:id="rId4" w:history="1">
        <w:r w:rsidRPr="00554F13">
          <w:rPr>
            <w:rStyle w:val="Hyperlink"/>
            <w:sz w:val="24"/>
            <w:lang w:val="lt-LT"/>
          </w:rPr>
          <w:t>Rekomendacija dėl Europos Komisijos atsisakymo leisti visuomenei susipažinti su SMS žinutėmis, kuriomis susirašinėjo Komisijos pirmininkė ir farmacijos įmonės generalinis direktorius dėl vakcinos nuo COVID-19 įsigijimo (byla 1316/2021/MIG)</w:t>
        </w:r>
      </w:hyperlink>
      <w:r w:rsidRPr="00554F13">
        <w:rPr>
          <w:sz w:val="24"/>
          <w:lang w:val="lt-LT"/>
        </w:rPr>
        <w:t>.</w:t>
      </w:r>
    </w:p>
  </w:footnote>
  <w:footnote w:id="47">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2019 m. spalio 23 d. Europos Parlamento ir Tarybos direktyva (ES) 2019/1937 dėl asmenų, pranešančių apie Sąjungos teisės pažeidimus, apsaugos, OL L 305, 2019 11 26, p. 17.</w:t>
      </w:r>
    </w:p>
  </w:footnote>
  <w:footnote w:id="48">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footnote>
  <w:footnote w:id="49">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 xml:space="preserve">Europos Taryba, </w:t>
      </w:r>
      <w:hyperlink r:id="rId5" w:history="1">
        <w:r w:rsidRPr="00554F13">
          <w:rPr>
            <w:rStyle w:val="Hyperlink"/>
            <w:sz w:val="24"/>
            <w:lang w:val="lt-LT"/>
          </w:rPr>
          <w:t>Ministrų Komiteto rekomendacija CM/Rec(2022)17 valstybėms narėms dėl migrantų, pabėgėlių ir prieglobsčio prašančių moterų ir mergaičių teisių apsaugos</w:t>
        </w:r>
      </w:hyperlink>
      <w:r w:rsidRPr="00554F13">
        <w:rPr>
          <w:sz w:val="24"/>
          <w:lang w:val="lt-LT"/>
        </w:rPr>
        <w:t>, 2022 m. gegužės 20 d.</w:t>
      </w:r>
    </w:p>
  </w:footnote>
  <w:footnote w:id="50">
    <w:p w:rsidR="00071C49" w:rsidRPr="00554F13" w:rsidRDefault="00071C49" w:rsidP="00554F13">
      <w:pPr>
        <w:pStyle w:val="FootnoteText"/>
        <w:ind w:left="567" w:hanging="567"/>
        <w:rPr>
          <w:sz w:val="24"/>
          <w:lang w:val="lt-LT"/>
        </w:rPr>
      </w:pPr>
      <w:r w:rsidRPr="00554F13">
        <w:rPr>
          <w:rStyle w:val="FootnoteReference"/>
          <w:sz w:val="24"/>
          <w:lang w:val="lt-LT"/>
        </w:rPr>
        <w:footnoteRef/>
      </w:r>
      <w:r w:rsidR="00554F13" w:rsidRPr="00554F13">
        <w:rPr>
          <w:sz w:val="24"/>
          <w:lang w:val="lt-LT"/>
        </w:rPr>
        <w:t xml:space="preserve"> </w:t>
      </w:r>
      <w:r w:rsidR="00554F13" w:rsidRPr="00554F13">
        <w:rPr>
          <w:sz w:val="24"/>
          <w:lang w:val="lt-LT"/>
        </w:rPr>
        <w:tab/>
      </w:r>
      <w:r w:rsidRPr="00554F13">
        <w:rPr>
          <w:sz w:val="24"/>
          <w:lang w:val="lt-LT"/>
        </w:rPr>
        <w:t>2023 m. sausio 30 d. Tarybos rekomendacija dėl pakankamų minimalių pajamų, kuriomis užtikrinama aktyvi įtrauktis (OL C 41, 2023 2 3,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LT"/>
    <w:docVar w:name="dvnumam" w:val="0"/>
    <w:docVar w:name="dvpe" w:val="749.923"/>
    <w:docVar w:name="dvrapporteur" w:val="Pranešėja: "/>
    <w:docVar w:name="dvtitre" w:val="2024 m. sausio XX d. Europos Parlamento rezoliucija dėl 2022 ir 2023 m. metinio pranešimo dėl pagrindinių teisių padėties Europos Sąjungoje(2023/2028(INI))"/>
  </w:docVars>
  <w:rsids>
    <w:rsidRoot w:val="002B21C4"/>
    <w:rsid w:val="00002272"/>
    <w:rsid w:val="00064002"/>
    <w:rsid w:val="000677B9"/>
    <w:rsid w:val="00071C49"/>
    <w:rsid w:val="000831BA"/>
    <w:rsid w:val="000A42CC"/>
    <w:rsid w:val="000E7DD9"/>
    <w:rsid w:val="0010095E"/>
    <w:rsid w:val="00112B07"/>
    <w:rsid w:val="00125B37"/>
    <w:rsid w:val="00187494"/>
    <w:rsid w:val="001F32AE"/>
    <w:rsid w:val="00236701"/>
    <w:rsid w:val="002767FF"/>
    <w:rsid w:val="002B18FE"/>
    <w:rsid w:val="002B21C4"/>
    <w:rsid w:val="002B5493"/>
    <w:rsid w:val="00343214"/>
    <w:rsid w:val="00361C00"/>
    <w:rsid w:val="00395FA1"/>
    <w:rsid w:val="003E15D4"/>
    <w:rsid w:val="00411CCE"/>
    <w:rsid w:val="0041666E"/>
    <w:rsid w:val="00417FFD"/>
    <w:rsid w:val="00421060"/>
    <w:rsid w:val="00471C19"/>
    <w:rsid w:val="004867E3"/>
    <w:rsid w:val="00494A28"/>
    <w:rsid w:val="004C0004"/>
    <w:rsid w:val="004C5D52"/>
    <w:rsid w:val="004F762E"/>
    <w:rsid w:val="0050519A"/>
    <w:rsid w:val="005072A1"/>
    <w:rsid w:val="00510763"/>
    <w:rsid w:val="00514517"/>
    <w:rsid w:val="00514ED7"/>
    <w:rsid w:val="00545827"/>
    <w:rsid w:val="00554F13"/>
    <w:rsid w:val="00560270"/>
    <w:rsid w:val="005C2568"/>
    <w:rsid w:val="006037C0"/>
    <w:rsid w:val="006631B6"/>
    <w:rsid w:val="00673623"/>
    <w:rsid w:val="00680577"/>
    <w:rsid w:val="006F74FA"/>
    <w:rsid w:val="00731ADD"/>
    <w:rsid w:val="00734777"/>
    <w:rsid w:val="00747932"/>
    <w:rsid w:val="00751A4A"/>
    <w:rsid w:val="00756632"/>
    <w:rsid w:val="00756EBE"/>
    <w:rsid w:val="00762C74"/>
    <w:rsid w:val="00786EC0"/>
    <w:rsid w:val="007D1690"/>
    <w:rsid w:val="007E22AD"/>
    <w:rsid w:val="00817416"/>
    <w:rsid w:val="00842779"/>
    <w:rsid w:val="00865F67"/>
    <w:rsid w:val="00881A7B"/>
    <w:rsid w:val="008840E5"/>
    <w:rsid w:val="00887B3E"/>
    <w:rsid w:val="008C2AC6"/>
    <w:rsid w:val="009006C2"/>
    <w:rsid w:val="00930C23"/>
    <w:rsid w:val="0093193B"/>
    <w:rsid w:val="009509D8"/>
    <w:rsid w:val="00950B64"/>
    <w:rsid w:val="00952CE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1B03"/>
    <w:rsid w:val="00F04346"/>
    <w:rsid w:val="00F075DC"/>
    <w:rsid w:val="00F149E9"/>
    <w:rsid w:val="00F5134D"/>
    <w:rsid w:val="00F51F9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59DAB"/>
  <w15:chartTrackingRefBased/>
  <w15:docId w15:val="{6703FE58-A681-49F0-88F7-5AEC40CD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71C49"/>
    <w:pPr>
      <w:spacing w:after="240"/>
      <w:ind w:left="567" w:hanging="567"/>
    </w:pPr>
  </w:style>
  <w:style w:type="paragraph" w:customStyle="1" w:styleId="EPComma">
    <w:name w:val="EPComma"/>
    <w:basedOn w:val="Normal"/>
    <w:rsid w:val="00071C49"/>
    <w:pPr>
      <w:spacing w:before="480" w:after="240"/>
    </w:pPr>
  </w:style>
  <w:style w:type="character" w:styleId="Hyperlink">
    <w:name w:val="Hyperlink"/>
    <w:basedOn w:val="DefaultParagraphFont"/>
    <w:uiPriority w:val="99"/>
    <w:unhideWhenUsed/>
    <w:rsid w:val="00071C49"/>
    <w:rPr>
      <w:color w:val="0563C1" w:themeColor="hyperlink"/>
      <w:u w:val="single"/>
    </w:rPr>
  </w:style>
  <w:style w:type="paragraph" w:customStyle="1" w:styleId="Normal12a24b">
    <w:name w:val="Normal12a24b"/>
    <w:basedOn w:val="Normal"/>
    <w:rsid w:val="00071C49"/>
    <w:pPr>
      <w:snapToGrid w:val="0"/>
      <w:spacing w:before="360" w:after="240"/>
    </w:pPr>
    <w:rPr>
      <w:lang w:eastAsia="en-US"/>
    </w:rPr>
  </w:style>
  <w:style w:type="character" w:customStyle="1" w:styleId="Bold">
    <w:name w:val="Bold"/>
    <w:uiPriority w:val="1"/>
    <w:rsid w:val="00071C49"/>
    <w:rPr>
      <w:b/>
      <w:bCs w:val="0"/>
    </w:rPr>
  </w:style>
  <w:style w:type="character" w:customStyle="1" w:styleId="Italic">
    <w:name w:val="Italic"/>
    <w:uiPriority w:val="1"/>
    <w:rsid w:val="00071C49"/>
    <w:rPr>
      <w:i/>
      <w:iCs w:val="0"/>
    </w:rPr>
  </w:style>
  <w:style w:type="character" w:customStyle="1" w:styleId="NormalHanging12aChar">
    <w:name w:val="NormalHanging12a Char"/>
    <w:basedOn w:val="DefaultParagraphFont"/>
    <w:link w:val="NormalHanging12a"/>
    <w:rsid w:val="00071C49"/>
    <w:rPr>
      <w:sz w:val="24"/>
      <w:lang w:val="lt-LT"/>
    </w:rPr>
  </w:style>
  <w:style w:type="paragraph" w:styleId="BalloonText">
    <w:name w:val="Balloon Text"/>
    <w:basedOn w:val="Normal"/>
    <w:link w:val="BalloonTextChar"/>
    <w:rsid w:val="00510763"/>
    <w:rPr>
      <w:rFonts w:ascii="Segoe UI" w:hAnsi="Segoe UI" w:cs="Segoe UI"/>
      <w:sz w:val="18"/>
      <w:szCs w:val="18"/>
    </w:rPr>
  </w:style>
  <w:style w:type="character" w:customStyle="1" w:styleId="BalloonTextChar">
    <w:name w:val="Balloon Text Char"/>
    <w:basedOn w:val="DefaultParagraphFont"/>
    <w:link w:val="BalloonText"/>
    <w:rsid w:val="0051076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5" Type="http://schemas.openxmlformats.org/officeDocument/2006/relationships/hyperlink" Target="https://search.coe.int/cm/Pages/result_details.aspx?ObjectId=0900001680a69407" TargetMode="External"/><Relationship Id="rId4" Type="http://schemas.openxmlformats.org/officeDocument/2006/relationships/hyperlink" Target="https://www.ombudsman.europa.eu/en/recommendation/en/151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6B9E6-B873-4A96-A3A6-7D391982C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9274</Words>
  <Characters>52862</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2024-02-15T13:16:00Z</dcterms:created>
  <dcterms:modified xsi:type="dcterms:W3CDTF">2024-02-15T13:16:00Z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A9-0376/2023</vt:lpwstr>
  </property>
  <property fmtid="{D5CDD505-2E9C-101B-9397-08002B2CF9AE}" pid="4" name="&lt;Type&gt;">
    <vt:lpwstr>RR</vt:lpwstr>
  </property>
</Properties>
</file>