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4E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4EF2" w:rsidRDefault="005D517B" w:rsidP="0010095E">
            <w:pPr>
              <w:pStyle w:val="EPName"/>
            </w:pPr>
            <w:r w:rsidRPr="00BE4EF2">
              <w:t>Parlament Europejski</w:t>
            </w:r>
          </w:p>
          <w:p w:rsidR="00751A4A" w:rsidRPr="00BE4E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4E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E4EF2" w:rsidRDefault="00187494" w:rsidP="0010095E">
            <w:pPr>
              <w:pStyle w:val="EPLogo"/>
            </w:pPr>
            <w:r w:rsidRPr="00BE4EF2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4EF2" w:rsidRDefault="00D058B8" w:rsidP="004C5D52">
      <w:pPr>
        <w:pStyle w:val="LineTop"/>
      </w:pPr>
    </w:p>
    <w:p w:rsidR="00680577" w:rsidRPr="00BE4EF2" w:rsidRDefault="005D517B" w:rsidP="00680577">
      <w:pPr>
        <w:pStyle w:val="EPBodyTA1"/>
      </w:pPr>
      <w:r w:rsidRPr="00BE4EF2">
        <w:t>TEKSTY PRZYJĘTE</w:t>
      </w:r>
    </w:p>
    <w:p w:rsidR="00D058B8" w:rsidRPr="00BE4EF2" w:rsidRDefault="00D058B8" w:rsidP="00D058B8">
      <w:pPr>
        <w:pStyle w:val="LineBottom"/>
      </w:pPr>
    </w:p>
    <w:p w:rsidR="005D517B" w:rsidRPr="00BE4EF2" w:rsidRDefault="005D517B" w:rsidP="005D517B">
      <w:pPr>
        <w:pStyle w:val="ATHeading1"/>
      </w:pPr>
      <w:bookmarkStart w:id="0" w:name="TANumber"/>
      <w:r w:rsidRPr="00BE4EF2">
        <w:t>P9_TA(2024)00</w:t>
      </w:r>
      <w:bookmarkEnd w:id="0"/>
      <w:r w:rsidR="002A79FF">
        <w:t>50</w:t>
      </w:r>
    </w:p>
    <w:p w:rsidR="005D517B" w:rsidRPr="00BE4EF2" w:rsidRDefault="005D517B" w:rsidP="005D517B">
      <w:pPr>
        <w:pStyle w:val="ATHeading2"/>
      </w:pPr>
      <w:bookmarkStart w:id="1" w:name="title"/>
      <w:r w:rsidRPr="00BE4EF2">
        <w:t>Sytuacja w zakresie praw podstawowych w Unii Europejskiej w latach 2022 i 2023</w:t>
      </w:r>
      <w:bookmarkEnd w:id="1"/>
    </w:p>
    <w:p w:rsidR="005D517B" w:rsidRPr="00BE4EF2" w:rsidRDefault="005D517B" w:rsidP="005D517B">
      <w:pPr>
        <w:rPr>
          <w:i/>
          <w:vanish/>
        </w:rPr>
      </w:pPr>
      <w:r w:rsidRPr="00BE4EF2">
        <w:rPr>
          <w:i/>
        </w:rPr>
        <w:fldChar w:fldCharType="begin"/>
      </w:r>
      <w:r w:rsidRPr="00BE4EF2">
        <w:rPr>
          <w:i/>
        </w:rPr>
        <w:instrText xml:space="preserve"> TC"(</w:instrText>
      </w:r>
      <w:bookmarkStart w:id="2" w:name="DocNumber"/>
      <w:r w:rsidRPr="00BE4EF2">
        <w:rPr>
          <w:i/>
        </w:rPr>
        <w:instrText>A9-0376/2023</w:instrText>
      </w:r>
      <w:bookmarkEnd w:id="2"/>
      <w:r w:rsidRPr="00BE4EF2">
        <w:rPr>
          <w:i/>
        </w:rPr>
        <w:instrText xml:space="preserve"> - Sprawozdawca: Katarina Barley)"\l3 \n&gt; \* MERGEFORMAT </w:instrText>
      </w:r>
      <w:r w:rsidRPr="00BE4EF2">
        <w:rPr>
          <w:i/>
        </w:rPr>
        <w:fldChar w:fldCharType="end"/>
      </w:r>
    </w:p>
    <w:p w:rsidR="005D517B" w:rsidRPr="00BE4EF2" w:rsidRDefault="005D517B" w:rsidP="005D517B">
      <w:pPr>
        <w:rPr>
          <w:vanish/>
        </w:rPr>
      </w:pPr>
      <w:bookmarkStart w:id="3" w:name="Commission"/>
      <w:r w:rsidRPr="00BE4EF2">
        <w:rPr>
          <w:vanish/>
        </w:rPr>
        <w:t>Komisja Wolności Obywatelskich, Sprawiedliwości i Spraw Wewnętrznych</w:t>
      </w:r>
      <w:bookmarkEnd w:id="3"/>
    </w:p>
    <w:p w:rsidR="005D517B" w:rsidRPr="00BE4EF2" w:rsidRDefault="005D517B" w:rsidP="005D517B">
      <w:pPr>
        <w:rPr>
          <w:vanish/>
        </w:rPr>
      </w:pPr>
      <w:bookmarkStart w:id="4" w:name="PE"/>
      <w:r w:rsidRPr="00BE4EF2">
        <w:rPr>
          <w:vanish/>
        </w:rPr>
        <w:t>PE749.923</w:t>
      </w:r>
      <w:bookmarkEnd w:id="4"/>
    </w:p>
    <w:p w:rsidR="005D517B" w:rsidRPr="00BE4EF2" w:rsidRDefault="005D517B" w:rsidP="005D517B">
      <w:pPr>
        <w:pStyle w:val="ATHeading3"/>
      </w:pPr>
      <w:bookmarkStart w:id="5" w:name="Sujet"/>
      <w:r w:rsidRPr="00BE4EF2">
        <w:t xml:space="preserve">Rezolucja Parlamentu Europejskiego z dnia </w:t>
      </w:r>
      <w:r w:rsidR="002A79FF">
        <w:t>18</w:t>
      </w:r>
      <w:r w:rsidRPr="00BE4EF2">
        <w:t xml:space="preserve"> </w:t>
      </w:r>
      <w:r w:rsidR="00EC1A67">
        <w:t xml:space="preserve">stycznia </w:t>
      </w:r>
      <w:r w:rsidRPr="00BE4EF2">
        <w:t>2024 r. w sprawie sytuacji w zakresie praw podstawowych w Unii Europejskiej – sprawozdanie roczne za lata 2022 i 2023</w:t>
      </w:r>
      <w:bookmarkEnd w:id="5"/>
      <w:r w:rsidRPr="00BE4EF2">
        <w:t xml:space="preserve"> </w:t>
      </w:r>
      <w:bookmarkStart w:id="6" w:name="References"/>
      <w:r w:rsidRPr="00BE4EF2">
        <w:t>(2023/2028(INI))</w:t>
      </w:r>
      <w:bookmarkEnd w:id="6"/>
    </w:p>
    <w:p w:rsidR="00F43499" w:rsidRPr="00BE4EF2" w:rsidRDefault="00F43499" w:rsidP="00F43499">
      <w:pPr>
        <w:pStyle w:val="EPComma"/>
      </w:pPr>
      <w:bookmarkStart w:id="7" w:name="TextBodyBegin"/>
      <w:bookmarkEnd w:id="7"/>
      <w:r w:rsidRPr="00BE4EF2">
        <w:rPr>
          <w:rStyle w:val="Italic"/>
        </w:rPr>
        <w:t>Parlament Europejski</w:t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Traktat o Unii Europejskiej (TUE) i Traktat o funkcjonowaniu Unii Europejskiej (TFUE),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Kartę praw podstawowych Unii Europejskiej (zwaną dalej „Kartą”),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orzecznictwo Trybunału Sprawiedliwości Unii Europejskiej</w:t>
      </w:r>
      <w:r w:rsidRPr="00BE4EF2">
        <w:rPr>
          <w:rStyle w:val="FootnoteReference"/>
        </w:rPr>
        <w:footnoteReference w:id="1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rozporządzenie Parlamentu Europejskiego i Rady (UE, Euratom) 2020/2092 z dnia 16 grudnia 2020 r. w sprawie ogólnego systemu warunkowości służącego ochronie budżetu Unii</w:t>
      </w:r>
      <w:r w:rsidRPr="00BE4EF2">
        <w:rPr>
          <w:rStyle w:val="FootnoteReference"/>
        </w:rPr>
        <w:footnoteReference w:id="2"/>
      </w:r>
      <w:r w:rsidRPr="00BE4EF2">
        <w:t xml:space="preserve"> (rozporządzenie dotyczące warunkowości w zakresie praworządności),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rozporządzenie Parlamentu Europejskiego i Rady (UE) 2021/692 z dnia 28 kwietnia 2021 r. ustanawiające program „Obywatele, równość, prawa i wartości” oraz uchylające rozporządzenie Parlamentu Europejskiego i Rady (UE) nr 1381/2013 i rozporządzenie Rady (UE) nr 390/2014</w:t>
      </w:r>
      <w:r w:rsidRPr="00BE4EF2">
        <w:rPr>
          <w:rStyle w:val="FootnoteReference"/>
        </w:rPr>
        <w:footnoteReference w:id="3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rozporządzenie Rady (UE) 2017/1939 z dnia 12 października 2017 r. wdrażające wzmocnioną współpracę w zakresie ustanowienia Prokuratury Europejskiej („EPPO”)</w:t>
      </w:r>
      <w:r w:rsidRPr="00BE4EF2">
        <w:rPr>
          <w:rStyle w:val="FootnoteReference"/>
        </w:rPr>
        <w:footnoteReference w:id="4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 xml:space="preserve">uwzględniając rozporządzenie Parlamentu Europejskiego i Rady (UE) 2016/679 z dnia 27 kwietnia 2016 r. w sprawie ochrony osób fizycznych w związku z przetwarzaniem </w:t>
      </w:r>
      <w:r w:rsidRPr="00BE4EF2">
        <w:lastRenderedPageBreak/>
        <w:t>danych osobowych i w sprawie swobodnego przepływu takich danych oraz uchylenia dyrektywy 95/46/WE (ogólne rozporządzenie o ochronie danych)</w:t>
      </w:r>
      <w:r w:rsidRPr="00BE4EF2">
        <w:rPr>
          <w:rStyle w:val="FootnoteReference"/>
        </w:rPr>
        <w:footnoteReference w:id="5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dyrektywę Parlamentu Europejskiego i Rady (UE) 2017/1371 z dnia 5 lipca 2017 r. w sprawie zwalczania za pośrednictwem prawa karnego nadużyć na szkodę interesów finansowych Unii</w:t>
      </w:r>
      <w:r w:rsidRPr="00BE4EF2">
        <w:rPr>
          <w:rStyle w:val="FootnoteReference"/>
        </w:rPr>
        <w:footnoteReference w:id="6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decyzję ramową Rady 2008/913/WSiSW z dnia 28 listopada 2008 r. w sprawie zwalczania pewnych form i przejawów rasizmu i ksenofobii za pomocą środków prawnokarnych</w:t>
      </w:r>
      <w:r w:rsidRPr="00BE4EF2">
        <w:rPr>
          <w:rStyle w:val="FootnoteReference"/>
        </w:rPr>
        <w:footnoteReference w:id="7"/>
      </w:r>
      <w:r w:rsidRPr="00BE4EF2">
        <w:t xml:space="preserve">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dyrektywę Rady 2000/43/WE z 29 czerwca 2000 r. wprowadzającą w życie zasadę równego traktowania osób bez względu na pochodzenie rasowe lub etniczne</w:t>
      </w:r>
      <w:r w:rsidRPr="00BE4EF2">
        <w:rPr>
          <w:rStyle w:val="FootnoteReference"/>
        </w:rPr>
        <w:footnoteReference w:id="8"/>
      </w:r>
      <w:r w:rsidRPr="00BE4EF2">
        <w:t xml:space="preserve"> oraz toczące się postępowania w sprawie uchybienia zobowiązaniom państwa członkowskiego wszczęte przez Komisję na podstawie tej dyrektywy przeciwko kilku państwom członkowskim, z których w jednym przypadku Komisja przekazała sprawę do Trybunału Sprawiedliwości,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zalecenie Rady z 12 marca 2021 r. w sprawie równouprawnienia, włączenia i partycypacji Romów (2021/C 93/01)</w:t>
      </w:r>
      <w:r w:rsidRPr="00BE4EF2">
        <w:rPr>
          <w:rStyle w:val="FootnoteReference"/>
        </w:rPr>
        <w:footnoteReference w:id="9"/>
      </w:r>
      <w:r w:rsidRPr="00BE4EF2">
        <w:t xml:space="preserve">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komunikat Komisji z dnia 9 stycznia 2023 r. pt. „Sprawozdanie z oceny krajowych ram strategicznych państw członkowskich dotyczących Romów” (COM(2023)</w:t>
      </w:r>
      <w:r w:rsidR="00EC1A67">
        <w:t>0</w:t>
      </w:r>
      <w:r w:rsidRPr="00BE4EF2">
        <w:t>007),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zalecenie Komisji (UE) 2021/1534 z dnia 16 września 2021 r. w sprawie zapewnienia ochrony i bezpieczeństwa dziennikarzom i innym pracownikom sektora mediów oraz wzmocnienia ich pozycji w Unii Europejskiej</w:t>
      </w:r>
      <w:r w:rsidRPr="00BE4EF2">
        <w:rPr>
          <w:rStyle w:val="FootnoteReference"/>
        </w:rPr>
        <w:footnoteReference w:id="10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komunikat Komisji z dnia 9 grudnia 2021 r. pt. „Bardziej inkluzywna i bezpieczna Europa: rozszerzenie wykazu przestępstw UE o nawoływanie do nienawiści i przestępstwa z nienawiści” (COM(2021)0777),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komunikat Komisji z dnia 5 marca 2020 r. pt. „Unia równości: strategia na rzecz równouprawnienia płci na lata 2020–2025” (COM(2020)0152),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komunikat Komisji z dnia 24 czerwca 2020 r. pt. „Strategia UE w zakresie praw ofiar</w:t>
      </w:r>
      <w:proofErr w:type="gramStart"/>
      <w:r w:rsidRPr="00BE4EF2">
        <w:t xml:space="preserve"> (2020–2025)” (COM</w:t>
      </w:r>
      <w:proofErr w:type="gramEnd"/>
      <w:r w:rsidRPr="00BE4EF2">
        <w:t>(2020)0258),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komunikat Komisji z dnia 12 listopada 2020 r. pt. „Unia równości: strategia na rzecz równości osób LGBTIQ na lata 2020–2025” (COM(2020)0698),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konkluzje Rady z 2 marca 2022 r. w sprawie walki z rasizmem i antysemityzmem,</w:t>
      </w:r>
    </w:p>
    <w:p w:rsidR="00F43499" w:rsidRPr="00BE4EF2" w:rsidRDefault="00F43499" w:rsidP="00F43499">
      <w:pPr>
        <w:pStyle w:val="NormalHanging12a"/>
      </w:pPr>
      <w:r w:rsidRPr="00BE4EF2">
        <w:lastRenderedPageBreak/>
        <w:t>–</w:t>
      </w:r>
      <w:r w:rsidRPr="00BE4EF2">
        <w:tab/>
        <w:t>uwzględniając komunikat Komisji z dnia 2 grudnia 2020 r. pt. „Strategia na rzecz wzmocnienia stosowania Karty praw podstawowych w UE” (COM(2020)0711),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sprawozdanie Komisji z dnia 6 grudnia 2022 r. pt. „Dynamiczna przestrzeń społeczeństwa obywatelskiego służąca utrzymaniu praw podstawowych w UE – Roczne sprawozdanie ze stosowania Karty praw podstawowych Unii Europejskiej za 2022 r.” (COM(2022)0716),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zalecenie Komisji (UE) 2023/681 z dnia 8 grudnia 2022 r. w sprawie praw procesowych osób podejrzanych i oskarżonych podlegających tymczasowemu aresztowaniu oraz materialnych warunków pozbawienia wolności</w:t>
      </w:r>
      <w:r w:rsidRPr="00BE4EF2">
        <w:rPr>
          <w:rStyle w:val="FootnoteReference"/>
        </w:rPr>
        <w:footnoteReference w:id="11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komunikat Komisji z 5 lipca 2023 r. pt. „Sprawozdanie na temat praworządności z 2023 r. – Sytuacja w zakresie praworządności w Unii Europejskiej” (COM</w:t>
      </w:r>
      <w:proofErr w:type="gramStart"/>
      <w:r w:rsidRPr="00BE4EF2">
        <w:t>(2023)0800), 27 rozdziałów</w:t>
      </w:r>
      <w:proofErr w:type="gramEnd"/>
      <w:r w:rsidRPr="00BE4EF2">
        <w:t xml:space="preserve"> poświęconych poszczególnym krajom oraz towarzyszące mu zalecenia dla państw członkowskich,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Europejski filar praw socjalnych, w tym jego trzecią zasadę równości szans, oraz komunikat Komisji z 4 marca 2021 r. zatytułowany „Plan działania na rzecz Europejskie</w:t>
      </w:r>
      <w:r w:rsidR="00046945">
        <w:t>go filaru praw socjalnych” (COM(2021)</w:t>
      </w:r>
      <w:r w:rsidRPr="00BE4EF2">
        <w:t>0102),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wniosek Komisji dotyczący dyrektywy Parlamentu Europejskiego i Rady z 27 kwietnia 2022 r. w sprawie ochrony osób, które angażują się w debatę publiczną, przed ewidentnie bezpodstawnymi lub stanowiącymi nadużycie postępowaniami sądowymi („strategiczne powództwa zmierzające do stłumienia debaty publicznej”) (COM</w:t>
      </w:r>
      <w:proofErr w:type="gramStart"/>
      <w:r w:rsidRPr="00BE4EF2">
        <w:t>(2022)0177) („dyrektywa</w:t>
      </w:r>
      <w:proofErr w:type="gramEnd"/>
      <w:r w:rsidRPr="00BE4EF2">
        <w:t xml:space="preserve"> w sprawie przeciwdziałania SLAPP”) oraz towarzyszące mu zalecenie,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wniosek Komisji dotyczący rozporządzenia Parlamentu Europejskiego i Rady z 16 września 2022 r. ustanawiającego wspólne ramy dla usług medialnych na rynku wewnętrznym i zmieniającego dyrektywę 2010/13/UE (COM</w:t>
      </w:r>
      <w:proofErr w:type="gramStart"/>
      <w:r w:rsidRPr="00BE4EF2">
        <w:t>(2022)0457) („europejski</w:t>
      </w:r>
      <w:proofErr w:type="gramEnd"/>
      <w:r w:rsidRPr="00BE4EF2">
        <w:t xml:space="preserve"> akt o wolności mediów”) oraz towarzyszące mu zalecenie w sprawie wewnętrznych gwarancji niezależności redakcyjnej i przejrzystości własności w sektorze mediów</w:t>
      </w:r>
      <w:r w:rsidRPr="00BE4EF2">
        <w:rPr>
          <w:rStyle w:val="FootnoteReference"/>
        </w:rPr>
        <w:footnoteReference w:id="12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wniosek Komisji w sprawie dyrektywy Rady z dnia 7 grudnia 2022 r. dotyczącej norm funkcjonowania organów ds. równości w obszarze równego traktowania osób bez względu na pochodzenie rasowe lub etniczne, równego traktowania osób w dziedzinie zatrudnienia i pracy bez względu na wyznawaną religię lub światopogląd, niepełnosprawność, wiek lub orientację seksualną, równego traktowania kobiet i mężczyzn w dziedzinie zabezpieczenia społecznego oraz w zakresie dostępu do towarów i usług oraz dostarczania towarów i usług, oraz uchylającej art. 13 dyrektywy 2000/43/WE i art. 12 dyrektywy 2004/113/WE (COM(2022)0689),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wniosek Komisji dotyczący rozporządzenia Rady z 7 grudnia 2022 r. w sprawie jurysdykcji, prawa właściwego, uznawania orzeczeń i przyjmowania dokumentów urzędowych dotyczących pochodzenia dziecka oraz w sprawie </w:t>
      </w:r>
      <w:r w:rsidRPr="00BE4EF2">
        <w:lastRenderedPageBreak/>
        <w:t>ustanowienia europejskiego poświadczenia pochodzenia dziecka (COM(2022)0695),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wniosek Komisji dotyczący dyrektywy Parlamentu Europejskiego i Rady z dnia 7 grudnia 2022 r. w sprawie norm dotyczących organów ds. równości w dziedzinie równego traktowania i równości szans kobiet i mężczyzn w zakresie zatrudnienia i pracy oraz uchylającej art. 20 dyrektywy 2006/54/WE i art. 11 dyrektywy 2010/41/UE (COM(2022)0688),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sprawozdania Agencji Praw Podstawowych Unii Europejskiej (FRA), w szczególności sprawozdania na temat praw podstawowych z 2022 i 2023 r., w tym sprawozdania FRANET dotyczące poszczególnych krajów,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Powszechną deklarację praw człowieka,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instrumenty ONZ dotyczące ochrony praw człowieka i podstawowych wolności, w tym Międzynarodowy pakt praw obywatelskich i politycznych, Międzynarodową konwencję w sprawie likwidacji wszelkich form dyskryminacji rasowej, Konwencję w sprawie likwidacji wszelkich form dyskryminacji kobiet i Konwencję o prawach osób niepełnosprawnych, zalecenia i sprawozdania z powszechnego okresowego przeglądu praw człowieka ONZ, orzecznictwo organów traktatowych ONZ i specjalne procedury Rady Praw Człowieka,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 xml:space="preserve">uwzględniając Agendę ONZ na rzecz zrównoważonego rozwoju 2030,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europejską konwencję praw człowieka (EKPC) oraz orzecznictwo Europejskiego Trybunału Praw Człowieka, 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 xml:space="preserve">uwzględniając Konwencję Rady Europy o zapobieganiu i zwalczaniu przemocy wobec kobiet i przemocy domowej, którą otwarto do podpisu w Stambule 11 maja 2011 r. (tzw. konwencję stambulską) i którą Unia Europejska ratyfikowała 28 czerwca 2023 r.,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zalecenia i sprawozdania Biura Instytucji Demokratycznych i Praw Człowieka, Wysokiego Komisarza ds. Mniejszości Narodowych oraz innych organów Organizacji Bezpieczeństwa i Współpracy w Europie (OBWE),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sprawozdanie Rady Europy z dnia 23 marca 2023 r. pt. „Obrońcy praw człowieka na obszarze właściwości Rady Europy w czasach kryzysów”, opracowane po zakończeniu obrad okrągłego stołu z udziałem obrońców praw człowieka, które zorganizowało w Dublinie w dniach 24–25 października 2022 r. Biuro Komisarza Praw Człowieka Rady Europy</w:t>
      </w:r>
      <w:r w:rsidRPr="00BE4EF2">
        <w:rPr>
          <w:rStyle w:val="FootnoteReference"/>
        </w:rPr>
        <w:footnoteReference w:id="13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Konwencję ramową Rady Europy o ochronie mniejszości narodowych i Europejską kartę języków regionalnych lub mniejszościowych,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Europejską kartę społeczną Rady Europy,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oświadczenia, zalecenia i sprawozdania Komisarza Praw Człowieka Rady Europy,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lastRenderedPageBreak/>
        <w:t>–</w:t>
      </w:r>
      <w:r w:rsidRPr="00BE4EF2">
        <w:tab/>
        <w:t>uwzględniając zalecenia i sprawozdania Rady Europy, w szczególności Komisji Weneckiej, Europejskiej Komisji przeciwko Rasizmowi i Nietolerancji (ECRI), GREVIO i GRECO,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13 listopada 2018 r. w sprawie norm minimalnych dla mniejszości w UE</w:t>
      </w:r>
      <w:r w:rsidRPr="00BE4EF2">
        <w:rPr>
          <w:rStyle w:val="FootnoteReference"/>
        </w:rPr>
        <w:footnoteReference w:id="14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15 stycznia 2019 r. w sprawie równouprawnienia płci w kontekście polityki podatkowej w UE</w:t>
      </w:r>
      <w:r w:rsidRPr="00BE4EF2">
        <w:rPr>
          <w:rStyle w:val="FootnoteReference"/>
        </w:rPr>
        <w:footnoteReference w:id="15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11 listopada 2021 r. w sprawie wzmocnienia demokracji oraz wolności i pluralizmu mediów w UE – niewłaściwe wykorzystywanie postępowań cywilnych i karnych do uciszania dziennikarzy, organizacji pozarządowych i społeczeństwa obywatelskiego</w:t>
      </w:r>
      <w:r w:rsidRPr="00BE4EF2">
        <w:rPr>
          <w:rStyle w:val="FootnoteReference"/>
        </w:rPr>
        <w:footnoteReference w:id="16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15 grudnia 2021 r. w sprawie oceny środków mających na celu zapobieganie korupcji, nieprawidłowym wydatkom i niewłaściwemu wykorzystywaniu funduszy unijnych i krajowych w przypadku funduszy pomocy w sytuacjach nadzwyczajnych i obszarów wydatków kryzysowych</w:t>
      </w:r>
      <w:r w:rsidRPr="00BE4EF2">
        <w:rPr>
          <w:rStyle w:val="FootnoteReference"/>
        </w:rPr>
        <w:footnoteReference w:id="17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17 lutego 2022 r. zawierającą zalecenia dla Komisji w sprawie statusu europejskich stowarzyszeń transgranicznych i organizacji niekomercyjnych</w:t>
      </w:r>
      <w:r w:rsidRPr="00BE4EF2">
        <w:rPr>
          <w:rStyle w:val="FootnoteReference"/>
        </w:rPr>
        <w:footnoteReference w:id="18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8 marca 2022 r. w sprawie kurczącej się przestrzeni działania społeczeństwa obywatelskiego w Europie</w:t>
      </w:r>
      <w:r w:rsidRPr="00BE4EF2">
        <w:rPr>
          <w:rStyle w:val="FootnoteReference"/>
        </w:rPr>
        <w:footnoteReference w:id="19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10 marca 2022 r. w sprawie praworządności i konsekwencji wyroku TSUE</w:t>
      </w:r>
      <w:r w:rsidRPr="00BE4EF2">
        <w:rPr>
          <w:rStyle w:val="FootnoteReference"/>
        </w:rPr>
        <w:footnoteReference w:id="20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9 czerwca 2022 r. w sprawie praworządności i ewentualnego zatwierdzenia polskiego krajowego planu odbudowy (RRF)</w:t>
      </w:r>
      <w:r w:rsidRPr="00BE4EF2">
        <w:rPr>
          <w:rStyle w:val="FootnoteReference"/>
        </w:rPr>
        <w:footnoteReference w:id="21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6 lipca 2022 r. w sprawie dyskryminacji intersekcjonalnej w Unii Europejskiej: sytuacja społeczno-gospodarcza kobiet pochodzących z Afryki, Bliskiego Wschodu, Ameryki Łacińskiej i Azji</w:t>
      </w:r>
      <w:r w:rsidRPr="00BE4EF2">
        <w:rPr>
          <w:rStyle w:val="FootnoteReference"/>
        </w:rPr>
        <w:footnoteReference w:id="22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 xml:space="preserve">uwzględniając swoją rezolucję z dnia 15 września 2022 r. w sprawie wniosku dotyczącego decyzji Rady w sprawie stwierdzenia, zgodnie z art. 7 ust. 1 Traktatu o Unii Europejskiej, istnienia wyraźnego ryzyka poważnego naruszenia przez Węgry </w:t>
      </w:r>
      <w:r w:rsidRPr="00BE4EF2">
        <w:lastRenderedPageBreak/>
        <w:t>wartości, na których opiera się Unia</w:t>
      </w:r>
      <w:r w:rsidRPr="00BE4EF2">
        <w:rPr>
          <w:rStyle w:val="FootnoteReference"/>
        </w:rPr>
        <w:footnoteReference w:id="23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5 października 2022 r. w sprawie sytuacji Romów mieszkających w osiedlach w UE</w:t>
      </w:r>
      <w:r w:rsidRPr="00BE4EF2">
        <w:rPr>
          <w:rStyle w:val="FootnoteReference"/>
        </w:rPr>
        <w:footnoteReference w:id="24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15 grudnia 2022 r. w sprawie podejrzeń o korupcję ze strony Kataru oraz szerszej potrzeby przejrzystości i odpowiedzialności w instytucjach europejskich</w:t>
      </w:r>
      <w:r w:rsidRPr="00BE4EF2">
        <w:rPr>
          <w:rStyle w:val="FootnoteReference"/>
        </w:rPr>
        <w:footnoteReference w:id="25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7 lipca 2022 r. w sprawie decyzji Sądu Najwyższego Stanów Zjednoczonych o uchyleniu prawa do aborcji w Stanach Zjednoczonych oraz konieczności ochrony prawa do aborcji i zdrowia kobiet w UE</w:t>
      </w:r>
      <w:r w:rsidRPr="00BE4EF2">
        <w:rPr>
          <w:rStyle w:val="FootnoteReference"/>
        </w:rPr>
        <w:footnoteReference w:id="26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3 maja 2022 r. w sprawie prześladowania mniejszości z powodu przekonań lub religii</w:t>
      </w:r>
      <w:r w:rsidRPr="00BE4EF2">
        <w:rPr>
          <w:rStyle w:val="FootnoteReference"/>
        </w:rPr>
        <w:footnoteReference w:id="27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5 maja 2022 r. w sprawie trwających wysłuchań na mocy art. 7 ust. 1 TUE dotyczących Polski i Węgier</w:t>
      </w:r>
      <w:r w:rsidRPr="00BE4EF2">
        <w:rPr>
          <w:rStyle w:val="FootnoteReference"/>
        </w:rPr>
        <w:footnoteReference w:id="28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decyzję (UE) 2023/325 z 18 października 2022 r. w sprawie absolutorium z wykonania budżetu Europejskiej Agencji Straży Granicznej i Przybrzeżnej (Frontex) za rok budżetowy 2020</w:t>
      </w:r>
      <w:r w:rsidRPr="00BE4EF2">
        <w:rPr>
          <w:vertAlign w:val="superscript"/>
        </w:rPr>
        <w:footnoteReference w:id="29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20 października 2022 r. w sprawie wzrostu liczby zbrodni popełnianych z nienawiści do osób LGBTIQ+ w całej Europie, w świetle niedawnego morderstwa homofobicznego na Słowacji</w:t>
      </w:r>
      <w:r w:rsidRPr="00BE4EF2">
        <w:rPr>
          <w:vertAlign w:val="superscript"/>
        </w:rPr>
        <w:footnoteReference w:id="30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10 listopada 2022 r. w sprawie sprawiedliwości rasowej, niedyskryminacji i przeciwdziałania rasizmowi w UE</w:t>
      </w:r>
      <w:r w:rsidRPr="00BE4EF2">
        <w:rPr>
          <w:rStyle w:val="FootnoteReference"/>
        </w:rPr>
        <w:footnoteReference w:id="31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13 grudnia 2022 r. w sprawie dążenia do równouprawnienia osób z niepełnosprawnościami</w:t>
      </w:r>
      <w:r w:rsidRPr="00BE4EF2">
        <w:rPr>
          <w:vertAlign w:val="superscript"/>
        </w:rPr>
        <w:footnoteReference w:id="32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19 kwietnia 2023 r. w sprawie walki z dyskryminacją w UE – długo oczekiwana horyzontalna dyrektywa antydyskryminacyjna</w:t>
      </w:r>
      <w:r w:rsidRPr="00BE4EF2">
        <w:rPr>
          <w:rStyle w:val="FootnoteReference"/>
        </w:rPr>
        <w:footnoteReference w:id="33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swoje stanowisko z 10 maja 2023 r. dotyczące projektu decyzji Rady w sprawie zawarcia, w imieniu Unii Europejskiej, Konwencji Rady Europy o zapobieganiu i zwalczaniu przemocy wobec kobiet i przemocy domowej w odniesieniu </w:t>
      </w:r>
      <w:r w:rsidRPr="00BE4EF2">
        <w:lastRenderedPageBreak/>
        <w:t>do instytucji i administracji publicznej Unii</w:t>
      </w:r>
      <w:r w:rsidRPr="00BE4EF2">
        <w:rPr>
          <w:rStyle w:val="FootnoteReference"/>
        </w:rPr>
        <w:footnoteReference w:id="34"/>
      </w:r>
      <w:r w:rsidRPr="00BE4EF2">
        <w:t>, a także w odniesieniu do spraw związanych ze współpracą wymiarów sprawiedliwości w sprawach karnych, w odniesieniu do azylu i zasady non-refoulement,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swoją rezolucję z dnia 11 maja 2023 r. w sprawie adekwatności ochrony zapewnianej przez ramy ochrony danych UE–USA</w:t>
      </w:r>
      <w:r w:rsidRPr="00BE4EF2">
        <w:rPr>
          <w:rStyle w:val="FootnoteReference"/>
          <w:szCs w:val="24"/>
        </w:rPr>
        <w:footnoteReference w:id="35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swoje sprawozdanie i zalecenie z 22 maja 2023 r. w sprawie dochodzenia w sprawie zarzutów naruszenia prawa Unii i niewłaściwego administrowania w jego stosowaniu w odniesieniu do oprogramowania Pegasus i równoważnego oprogramowania szpiegowskiego służącego inwigilacji,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 czerwca 2023 r. w sprawie łamania praworządności i praw podstawowych na Węgrzech oraz zamrożonych funduszy UE</w:t>
      </w:r>
      <w:r w:rsidRPr="00BE4EF2">
        <w:rPr>
          <w:rStyle w:val="FootnoteReference"/>
        </w:rPr>
        <w:footnoteReference w:id="36"/>
      </w:r>
      <w:r w:rsidRPr="00BE4EF2">
        <w:t>,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>uwzględniając swoją rezolucję z 13 lipca 2023 r. w sprawie publicznego dostępu do dokumentów – sprawozdanie roczne za lata 2019–2021</w:t>
      </w:r>
      <w:r w:rsidRPr="00BE4EF2">
        <w:rPr>
          <w:rStyle w:val="FootnoteReference"/>
        </w:rPr>
        <w:footnoteReference w:id="37"/>
      </w:r>
      <w:r w:rsidRPr="00BE4EF2">
        <w:t xml:space="preserve">,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–</w:t>
      </w:r>
      <w:r w:rsidRPr="00BE4EF2">
        <w:tab/>
        <w:t xml:space="preserve">uwzględniając swoją rezolucję z dnia 4 października </w:t>
      </w:r>
      <w:r w:rsidR="00046945">
        <w:t xml:space="preserve">2023 r. </w:t>
      </w:r>
      <w:bookmarkStart w:id="8" w:name="_GoBack"/>
      <w:bookmarkEnd w:id="8"/>
      <w:r w:rsidRPr="00BE4EF2">
        <w:t>w sprawie segregacji i dyskryminacji dzieci romskich w edukacji</w:t>
      </w:r>
      <w:r w:rsidRPr="00BE4EF2">
        <w:rPr>
          <w:rStyle w:val="FootnoteReference"/>
        </w:rPr>
        <w:footnoteReference w:id="38"/>
      </w:r>
      <w:r w:rsidRPr="00BE4EF2">
        <w:t>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art. 54 Regulaminu,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opinię przedstawioną przez Komisję Spraw Konstytucyjnych,</w:t>
      </w:r>
    </w:p>
    <w:p w:rsidR="00F43499" w:rsidRPr="00BE4EF2" w:rsidRDefault="00F43499" w:rsidP="00F43499">
      <w:pPr>
        <w:pStyle w:val="NormalHanging12a"/>
      </w:pPr>
      <w:r w:rsidRPr="00BE4EF2">
        <w:t>–</w:t>
      </w:r>
      <w:r w:rsidRPr="00BE4EF2">
        <w:tab/>
        <w:t>uwzględniając sprawozdanie Komisji Wolności Obywatelskich, Sprawiedliwości i Spraw Wewnętrznych (A9-0376/2023),</w:t>
      </w:r>
    </w:p>
    <w:p w:rsidR="00F43499" w:rsidRPr="00BE4EF2" w:rsidRDefault="00F43499" w:rsidP="00F43499">
      <w:pPr>
        <w:pStyle w:val="NormalHanging12a"/>
      </w:pPr>
      <w:r w:rsidRPr="00BE4EF2">
        <w:t>A.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Unia Europejska opiera się na takich wartościach jak poszanowanie godności osoby ludzkiej, wolność, demokracja, równość, państwo prawne i prawa człowieka, w tym prawa osób należących do mniejszości, co znajduje wyraz w art. 2 TUE i w Karcie oraz jest zapisane w międzynarodowych traktatach dotyczących praw człowieka; mając na uwadze, że wartości te powinny być podzielane oraz podtrzymywane i aktywnie propagowane przez UE i państwa członkowskie w ich działaniach wewnętrznych i zewnętrznych; mając na uwadze, że w ostatnich latach w niektórych państwach członkowskich odnotowano niepokojący spadek poszanowania tych wartości;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B.</w:t>
      </w:r>
      <w:r w:rsidRPr="00BE4EF2">
        <w:tab/>
        <w:t>mając na uwadze, że demokracja, praworządność i prawa podstawowe to wartości, które się wzajemnie umacniają, a ich podważanie może stanowić systemowe zagrożenie dla Unii oraz dla praw i wolności wszystkich ludzi w UE; mając na uwadze, że poszanowanie praworządności jest wiążące dla całej Unii i jej państw członkowskich na wszystkich poziomach sprawowania rządów;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C.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wolne, niezależne i przejrzyste wybory są filarem demokracji;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lastRenderedPageBreak/>
        <w:t xml:space="preserve">D. </w:t>
      </w:r>
      <w:proofErr w:type="gramStart"/>
      <w:r w:rsidRPr="00BE4EF2">
        <w:t>mając</w:t>
      </w:r>
      <w:proofErr w:type="gramEnd"/>
      <w:r w:rsidRPr="00BE4EF2">
        <w:t xml:space="preserve"> na uwadze, że coraz szersze rozprzestrzenianie się dezinformacji stanowi zagrożenie dla demokratycznego funkcjonowania Unii; mając na uwadze, że ograniczenie manipulacji informacjami leży w interesie publicznym; mając na uwadze, że dezinformacja ogranicza zdolność obywateli i mieszkańców UE do podejmowania decyzji opartych na faktach i swobodnego uczestnictwa w procesach demokratycznych; mając na uwadze, że niezależne i pluralistyczne media są potężnym narzędziem w walce z dezinformacją;</w:t>
      </w:r>
    </w:p>
    <w:p w:rsidR="00F43499" w:rsidRPr="00BE4EF2" w:rsidRDefault="00F43499" w:rsidP="00F43499">
      <w:pPr>
        <w:pStyle w:val="NormalHanging12a"/>
      </w:pPr>
      <w:r w:rsidRPr="00BE4EF2">
        <w:t>E.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wolność, pluralizm oraz niezależność i bezpieczeństwo dziennikarzy stanowią kluczowe elementy prawa do wolności wypowiedzi i informacji oraz mają zasadnicze znaczenie dla demokratycznego funkcjonowania UE i jej państw członkowskich; mając na uwadze, że w ostatnich latach dziennikarze i inni pracownicy sektora mediów w wielu państwach członkowskich i poza ich granicami są w coraz większym stopniu narażeni na groźby, bezprawne naciski, zastraszanie, przemoc i inne formy ingerencji w ich pracę, w szczególności gdy skupiają się na nadużywaniu władzy, korupcji, łamaniu praw podstawowych i działalności przestępczej; mając na uwadze, że powództwa typu SLAPP nadal stanowią palący problem w całej UE; mając na uwadze, że alarmująca sytuacja, jeśli chodzi o groźby i ataki, nie ogranicza się wyłącznie do zawodowych dziennikarzy i innych pracowników tradycyjnych mediów; mając na uwadze, że definicja pracowników sektora mediów uległa rozszerzeniu w wyniku pojawienia się nowych form mediów w erze cyfrowej i w związku z tym obejmuje inne osoby, które wnoszą wkład w debatę publiczną i prowadzą działalność dziennikarską lub pełnią funkcje strażników publicznych;</w:t>
      </w:r>
    </w:p>
    <w:p w:rsidR="00F43499" w:rsidRPr="00BE4EF2" w:rsidRDefault="00F43499" w:rsidP="00F43499">
      <w:pPr>
        <w:ind w:left="567" w:hanging="567"/>
      </w:pPr>
      <w:r w:rsidRPr="00BE4EF2">
        <w:t>F.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organy rządowe w niektórych państwach członkowskich i w państwach spoza UE wykorzystywały oprogramowanie Pegasus i inne oprogramowanie szpiegujące przeciwko dziennikarzom, politykom, funkcjonariuszom organów ścigania, dyplomatom, prawnikom, przedsiębiorcom, podmiotom społeczeństwa obywatelskiego i innym podmiotom w celach politycznych, a nawet przestępczych; mając na uwadze, że takie praktyki są niezwykle niepokojące i uwypuklają ryzyko nadużywania technologii nadzoru do naruszania podstawowych praw człowieka, demokracji i procesów wyborczych; </w:t>
      </w:r>
    </w:p>
    <w:p w:rsidR="00F43499" w:rsidRPr="00BE4EF2" w:rsidRDefault="00F43499" w:rsidP="00F43499">
      <w:pPr>
        <w:ind w:left="567" w:hanging="567"/>
        <w:rPr>
          <w:szCs w:val="24"/>
        </w:rPr>
      </w:pPr>
    </w:p>
    <w:p w:rsidR="00F43499" w:rsidRPr="00BE4EF2" w:rsidRDefault="00F43499" w:rsidP="00F43499">
      <w:pPr>
        <w:pStyle w:val="NormalHanging12a"/>
      </w:pPr>
      <w:r w:rsidRPr="00BE4EF2">
        <w:t>G.</w:t>
      </w:r>
      <w:r w:rsidRPr="00BE4EF2">
        <w:tab/>
        <w:t>mając na uwadze, że korupcja stanowi poważne zagrożenie dla demokracji i praworządności; mając na uwadze, że istnieją niezmienne, poważne obawy co do walki z korupcją w niektórych państwach członkowskich; mając na uwadze, że mechanizmy mające na celu powstrzymanie korupcji są w kilku państwach członkowskich słabe, a brak ochrony osób zgłaszających przypadki naruszeń jest nadal powszechnym uchybieniem; mając na uwadze, że rozporządzenie dotyczące warunkowości w zakresie praworządności ma na celu ochronę budżetu Unii w przypadku naruszeń zasad praworządności;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H.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dziennikarze, media i blogerzy, obrońcy praw człowieka, organizacje społeczeństwa obywatelskiego, aktywiści, związki zawodowe, artyści, badacze, sygnaliści i politycy coraz częściej spotykają się z groźbami, nękaniem i innymi formami zastraszania w wyniku ich zaangażowania w życie publicznym;</w:t>
      </w:r>
    </w:p>
    <w:p w:rsidR="00F43499" w:rsidRPr="00BE4EF2" w:rsidRDefault="00F43499" w:rsidP="00F43499">
      <w:pPr>
        <w:pStyle w:val="NormalHanging12a"/>
      </w:pPr>
      <w:r w:rsidRPr="00BE4EF2">
        <w:t>I.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niezawisłość sądownictwa – podstawowy wymóg demokratycznej zasady podziału władzy, kluczowy dla zagwarantowania poszanowania praw podstawowych – jest w coraz większej liczbie państw członkowskich poważnie zagrożona, a nawet podważana w sposób strukturalny;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lastRenderedPageBreak/>
        <w:t>J.</w:t>
      </w:r>
      <w:r w:rsidRPr="00BE4EF2">
        <w:tab/>
        <w:t>mając na uwadze, że Trybunał Sprawiedliwości przypomniał</w:t>
      </w:r>
      <w:r w:rsidRPr="00BE4EF2">
        <w:rPr>
          <w:vertAlign w:val="superscript"/>
        </w:rPr>
        <w:footnoteReference w:id="39"/>
      </w:r>
      <w:r w:rsidRPr="00BE4EF2">
        <w:t xml:space="preserve">, iż prawo do wolności zrzeszania się zapisane w art. 12 ust. 1 Karty jest jedną z najważniejszych podstaw demokratycznego i pluralistycznego społeczeństwa, ponieważ pozwala mieszkańcom UE działać wspólnie w dziedzinach będących przedmiotem wspólnego zainteresowania, a tym samym przyczyniać się do właściwego funkcjonowania życia publicznego; mając na uwadze, że w niektórych państwach członkowskich odnotowuje się coraz częstsze ataki na prawo do zgromadzeń i stowarzyszania się przez nieproporcjonalne użycie siły, w tym pobicia, wobec pokojowych demonstrantów;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K.</w:t>
      </w:r>
      <w:r w:rsidRPr="00BE4EF2">
        <w:tab/>
        <w:t>mając na uwadze, że niektóre państwa członkowskie nałożyły ograniczenia celowo zmierzające do ograniczenia przestrzeni obywatelskiej; mając na uwadze, że w wielu państwach członkowskich przestrzeń obywatelska spotyka się z nękaniem prawnym, administracyjnym i podatkowym, kryminalizacją i negatywną retoryką mającą na celu stygmatyzację i delegitymizację organizacji społeczeństwa obywatelskiego, aktywistów i obrońców praw człowieka oraz osłabianie ich zdolności do wykonywania pracy;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L.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 marcu 2023 r. Komisarz Praw Człowieka Rady Europy ocenił, że sytuacja obrońców praw człowieka w Europie uległa alarmującemu pogorszeniu, a rządy coraz częściej wykazują tendencję do lekceważenia spoczywających na nich zobowiązań w zakresie praw człowieka i przedkładają kwestie bezpieczeństwa narodowego i bezpieczeństwa publicznego nad prawa człowieka; mając na uwadze, że komisarz przedstawił sprawozdanie na temat coraz większych ograniczeń ich zdolności do swobodnego i bezpiecznego wykonywania pracy, a także różnych form działań odwetowych, w tym nękania ze strony wymiaru sprawiedliwości, ścigania, niewłaściwych kontroli i nadzoru, kampanii oszczerstw, gróźb i zastraszania w państwach członkowskich i państwach sąsiadujących; mając </w:t>
      </w:r>
      <w:proofErr w:type="gramStart"/>
      <w:r w:rsidRPr="00BE4EF2">
        <w:t>na</w:t>
      </w:r>
      <w:proofErr w:type="gramEnd"/>
      <w:r w:rsidRPr="00BE4EF2">
        <w:t xml:space="preserve"> uwadze, że brak skutecznych dochodzeń w sprawie naruszeń popełnionych przez podmioty państwowe i niepaństwowe wobec obrońców praw człowieka, nadal jest źródłem niepokoju; mając na uwadze, że działania te osłabiają demokrację i wpisują się w szerszy problem polaryzacji w społeczeństwie, charakteryzujący się nasilającym się wyrażaniem nienawiści i przemocą wobec różnych grup społecznych lub mniejszościowych;</w:t>
      </w:r>
    </w:p>
    <w:p w:rsidR="00F43499" w:rsidRPr="00BE4EF2" w:rsidRDefault="00F43499" w:rsidP="00F43499">
      <w:pPr>
        <w:pStyle w:val="NormalHanging12a"/>
      </w:pPr>
      <w:r w:rsidRPr="00BE4EF2">
        <w:t>M.</w:t>
      </w:r>
      <w:r w:rsidRPr="00BE4EF2">
        <w:tab/>
        <w:t>mając na uwadze, że na granicach Unii Europejskiej doszło do wielu przypadków śmierci migrantów i łamania praw człowieka z powodu nieskutecznego zarządzania i nieproporcjonalnego użycia siły przez władze; mając na uwadze, że coraz więcej środków technologicznych, w tym sztuczna inteligencja, jest wykorzystywanych do monitorowania migrantów na zewnętrznych i wewnętrznych granicach UE; mając na uwadze, że karanie organizacji pozarządowych lub wszelkich innych podmiotów niepaństwowych, które prowadzą operacje poszukiwawczo-ratownicze, przestrzegając odpowiednich ram prawnych, stanowi naruszenie prawa międzynarodowego</w:t>
      </w:r>
      <w:r w:rsidRPr="00BE4EF2">
        <w:rPr>
          <w:vertAlign w:val="superscript"/>
        </w:rPr>
        <w:footnoteReference w:id="40"/>
      </w:r>
      <w:r w:rsidRPr="00BE4EF2">
        <w:t xml:space="preserve">, a zatem nie jest dozwolone na mocy prawa UE; mając na uwadze, że Trybunał Sprawiedliwości przypomniał, iż obywatele państw spoza UE mogą być pozbawieni </w:t>
      </w:r>
      <w:proofErr w:type="gramStart"/>
      <w:r w:rsidRPr="00BE4EF2">
        <w:t>wolności</w:t>
      </w:r>
      <w:proofErr w:type="gramEnd"/>
      <w:r w:rsidRPr="00BE4EF2">
        <w:t xml:space="preserve"> tylko </w:t>
      </w:r>
      <w:r w:rsidRPr="00BE4EF2">
        <w:lastRenderedPageBreak/>
        <w:t>wtedy, gdy istnieje konkretna podstawa prawna do ograniczenia ich prawa do wolności, a nie wtedy, gdy istnieje jedynie kryterium ogólne</w:t>
      </w:r>
      <w:r w:rsidRPr="00BE4EF2">
        <w:rPr>
          <w:vertAlign w:val="superscript"/>
        </w:rPr>
        <w:footnoteReference w:id="41"/>
      </w:r>
      <w:r w:rsidRPr="00BE4EF2">
        <w:t>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N.</w:t>
      </w:r>
      <w:r w:rsidRPr="00BE4EF2">
        <w:tab/>
        <w:t>mając na uwadze, że liczba ofiar śmiertelnych na granicach morskich Europy nieznacznie spadła w 2022 r. w porównaniu z 2021 r., ale nadal była wyższa niż w okresie trzech lat poprzedzających 2021 r.</w:t>
      </w:r>
      <w:r w:rsidRPr="00BE4EF2">
        <w:rPr>
          <w:vertAlign w:val="superscript"/>
        </w:rPr>
        <w:footnoteReference w:id="42"/>
      </w:r>
      <w:r w:rsidRPr="00BE4EF2">
        <w:t>; mając na uwadze, że większość zgonów miała miejsce w środkowej części Morza Śródziemnego, u wybrzeży Afryki Północnej</w:t>
      </w:r>
      <w:r w:rsidRPr="00BE4EF2">
        <w:rPr>
          <w:vertAlign w:val="superscript"/>
        </w:rPr>
        <w:footnoteReference w:id="43"/>
      </w:r>
      <w:r w:rsidRPr="00BE4EF2">
        <w:t xml:space="preserve">;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O.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 odniesieniu do Fronteksu sporządzono kilka sprawozdań i prowadzonych jest kilka dochodzeń dotyczących kwestii związanych z prawami podstawowymi, w tym przez Europejski Urząd ds. Zwalczania Nadużyć Finansowych (OLAF) i Europejskiego Rzecznika Praw Obywatelskich; mając na uwadze, że były dyrektor Fronteksu złożył rezygnację ze stanowiska w kwietniu 2022 r.; mając na uwadze, że wszystkie agencje UE muszą przestrzegać praw podstawowych i ponosić konsekwencje naruszeń praw podstawowych;</w:t>
      </w:r>
    </w:p>
    <w:p w:rsidR="00F43499" w:rsidRPr="00BE4EF2" w:rsidRDefault="00F43499" w:rsidP="00F43499">
      <w:pPr>
        <w:pStyle w:val="NormalHanging12a"/>
      </w:pPr>
      <w:r w:rsidRPr="00BE4EF2">
        <w:t>P.</w:t>
      </w:r>
      <w:r w:rsidRPr="00BE4EF2">
        <w:tab/>
        <w:t xml:space="preserve">mając na uwadze, że od kilku lat ma miejsce zorganizowane naruszanie praw kobiet i dziewcząt; mając na uwadze, że w niektórych państwach członkowskich podjęto próby dalszego ograniczania zdrowia i praw seksualnych i reprodukcyjnych, np. w odniesieniu do obowiązującej ochrony prawnej dostępu kobiet do opieki aborcyjnej; mając na uwadze, że w ostatnich latach odmowa dostępu do bezpiecznej i legalnej aborcji w niektórych państwach członkowskich doprowadziła do śmierci wielu kobiet; mając na uwadze, że liczba przypadków przemocy ze względu na płeć, w tym przemocy seksualnej i gwałtów, utrzymuje się w całej UE na wysokim poziomie; mając na uwadze, że niektóre państwa </w:t>
      </w:r>
      <w:proofErr w:type="gramStart"/>
      <w:r w:rsidRPr="00BE4EF2">
        <w:t>członkowskie</w:t>
      </w:r>
      <w:proofErr w:type="gramEnd"/>
      <w:r w:rsidRPr="00BE4EF2">
        <w:t xml:space="preserve"> nie ratyfikowały jeszcze Konwencji Rady Europy w sprawie zapobiegania i zwalczania przemocy wobec kobiet i przemocy domowej („konwencji stambulskiej”); mając na uwadze, że w UE nasilają się ruchy przeciwko propagowaniu i zapewnianiu edukacji seksualnej;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Q.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przemoc ze względu na płeć jest zarówno przyczyną, jak i konsekwencją nierówności strukturalnych, które wynikają ze stereotypów dotyczących płci i asymetrii władzy, w tym w sferze prywatnej, społecznej, publicznej i gospodarczej;</w:t>
      </w:r>
    </w:p>
    <w:p w:rsidR="00F43499" w:rsidRPr="00BE4EF2" w:rsidRDefault="00F43499" w:rsidP="00F43499">
      <w:pPr>
        <w:pStyle w:val="NormalHanging12a"/>
      </w:pPr>
      <w:r w:rsidRPr="00BE4EF2">
        <w:t>R.</w:t>
      </w:r>
      <w:r w:rsidRPr="00BE4EF2">
        <w:tab/>
        <w:t xml:space="preserve">mając na uwadze, że dane z badań FRA pokazują, iż dyskryminacja ze względu na pochodzenie rasowe lub etniczne bądź przekonania religijne (w tym Romów, muzułmanów, Żydów i osób pochodzenia afrykańskiego) utrzymuje się na stale wysokim poziomie, zarówno z upływem czasu, jak i wśród poszczególnych grup ludności, a zwłaszcza wśród osób ze środowisk społeczno-ekonomicznych znajdujących się w niekorzystnej sytuacji, w poszczególnych państwach członkowskich; mając na uwadze, że mniejszości rasowe i etniczne borykają się z systemowym rasizmem, przestępstwami z nienawiści i nawoływaniem do nienawiści, brakiem dostępu do wymiaru sprawiedliwości i utrzymującymi się nierównościami społeczno-ekonomicznymi w obszarach takich jak mieszkalnictwo, opieka zdrowotna, </w:t>
      </w:r>
      <w:proofErr w:type="gramStart"/>
      <w:r w:rsidRPr="00BE4EF2">
        <w:lastRenderedPageBreak/>
        <w:t>zatrudnienie</w:t>
      </w:r>
      <w:proofErr w:type="gramEnd"/>
      <w:r w:rsidRPr="00BE4EF2">
        <w:t xml:space="preserve"> i edukacja, co należy uznać za główne przeszkody uniemożliwiające im pełne korzystanie z przysługujących im praw podstawowych oraz kluczową barierę dla integracji i równości; mając na uwadze, że antysemityzm, antycyganizm, islamofobia i rasizm to utrzymujące się formy nienawiści i dyskryminacji; mając na uwadze, że skrajnie prawicowy ekstremizm stanowi szczególne zagrożenie dla osób dotkniętych dyskryminacją oraz dla społeczeństwa jako całości; mając na uwadze, że według FRA są wskazania, iż istnieje rasizm systemowy w UE, w tym w organach ścigania; mając na uwadze, że w polityce i środkach służących zwalczaniu rasizmu i dyskryminacji należy uwzględniać dyskryminację intersekcjonalną;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S.</w:t>
      </w:r>
      <w:r w:rsidRPr="00BE4EF2">
        <w:tab/>
        <w:t>mając na uwadze, że osoby z niepełnosprawnościami żyjące w UE nadal spotykają się z dyskryminacją, w tym z odmową racjonalnych usprawnień, z nękaniem oraz wielorakimi i intersekcjonalnymi formami dyskryminacji we wszystkich dziedzinach życia, w tym z niekorzystnymi warunkami społeczno-gospodarczymi, izolacją społeczną, nadużyciami i przemocą, także przemocą ze względu na płeć, przymusową sterylizacją i przymusową aborcją, brakiem dostępu do usług świadczonych w społeczności, niską jakością warunków mieszkaniowych, instytucjonalizacją, nieodpowiednią opieką zdrowotną oraz odmową możliwości wnoszenia wkładu i aktywnego zaangażowania w życie społeczne;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T.</w:t>
      </w:r>
      <w:r w:rsidRPr="00BE4EF2">
        <w:tab/>
        <w:t>mając na uwadze, że znaczny odsetek społeczności romskich</w:t>
      </w:r>
      <w:r w:rsidRPr="00BE4EF2">
        <w:rPr>
          <w:vertAlign w:val="superscript"/>
        </w:rPr>
        <w:footnoteReference w:id="44"/>
      </w:r>
      <w:r w:rsidRPr="00BE4EF2">
        <w:t xml:space="preserve"> w Europie żyje w niezwykle trudnych warunkach zarówno na obszarach wiejskich, jak i miejskich oraz znajduje się w bardzo złej sytuacji społeczno-ekonomicznej; mając na uwadze, że większość społeczności romskich nie może korzystać z przysługujących im podstawowych praw człowieka we wszystkich dziedzinach życia; mając na uwadze, że w niektórych państwach członkowskich nadal dochodzi do segregacji dzieci w szkołach oraz że nadal stosowane są dyskryminacyjne praktyki polegające na umieszczaniu dzieci z mniejszości etnicznych i rasowych w szkołach dla dzieci z niepełnosprawnością intelektualną;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U.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 całej UE nadal utrzymuje się stała tendencja w zakresie narastającej dyskryminacji, nawoływania do nienawiści i przemocy wobec osób LGBTIQ+ i obrońców praw osób LGBTIQ+; mając na uwadze, że w kilku państwach członkowskich osoby LGBTIQ+ wciąż spotykają się z dyskryminacją i wykluczeniem w zakresie ochrony socjalnej, zabezpieczenia społecznego, dostępu do opieki zdrowotnej, edukacji, ochrony prawnej oraz dostępu do towarów i innych usług dostępnych dla ogółu społeczeństwa, w tym mieszkań, i ich dostarczania; mając na uwadze, że orzecznictwo Trybunału Sprawiedliwości, które chroni prawa socjalne i życie prywatne par osób tej samej płci i dzieci, które urodziły się </w:t>
      </w:r>
      <w:proofErr w:type="gramStart"/>
      <w:r w:rsidRPr="00BE4EF2">
        <w:t>rodzicom</w:t>
      </w:r>
      <w:proofErr w:type="gramEnd"/>
      <w:r w:rsidRPr="00BE4EF2">
        <w:t xml:space="preserve"> tej samej płci, nie jest wdrażane, jak np. sprawa Coman (C-673/16) i sprawa Baby Sara (C-490/20); mając na uwadze, że dzieci interseksualne są poddawane operacjom i leczeniu bez ich uprzedniej, osobistej, pełnej i świadomej zgody; mając na uwadze, że okaleczanie narządów płciowych u osób interseksualnych może mieć długotrwałe skutki, takie jak urazy psychologiczne i upośledzenia fizyczne;</w:t>
      </w:r>
    </w:p>
    <w:p w:rsidR="00F43499" w:rsidRPr="00BE4EF2" w:rsidRDefault="00F43499" w:rsidP="00F43499">
      <w:pPr>
        <w:pStyle w:val="NormalHanging12a"/>
      </w:pPr>
      <w:r w:rsidRPr="00BE4EF2">
        <w:lastRenderedPageBreak/>
        <w:t>V.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od kilku lat liczba przestępstw z nienawiści i przypadków nawoływania do nienawiści w całej UE stale rośnie</w:t>
      </w:r>
      <w:r w:rsidRPr="00BE4EF2">
        <w:rPr>
          <w:vertAlign w:val="superscript"/>
        </w:rPr>
        <w:footnoteReference w:id="45"/>
      </w:r>
      <w:r w:rsidRPr="00BE4EF2">
        <w:t xml:space="preserve">, głównie ze względu na zwiększającą się liczbę użytkowników mediów społecznościowych oraz fakt, że nawoływanie do nienawiści rozrasta się w internecie; mając na uwadze, że model biznesowy platform mediów społecznościowych, oparty na mikrotargetowanych reklamach, odgrywa pewną rolę w rozpowszechnianiu i wzmacnianiu nawoływania do nienawiści, podżegania do dyskryminacji i przemocy; mając na uwadze, że w wypełnianiu swoich obowiązków systemy kształcenia odgrywają kluczową rolę w zapewnieniu wszystkim edukacji cyfrowej, umiejętności korzystania z technologii cyfrowych i umiejętności cyfrowych, w propagowaniu zrozumienia przez użytkowników </w:t>
      </w:r>
      <w:proofErr w:type="gramStart"/>
      <w:r w:rsidRPr="00BE4EF2">
        <w:t>technologii</w:t>
      </w:r>
      <w:proofErr w:type="gramEnd"/>
      <w:r w:rsidRPr="00BE4EF2">
        <w:t xml:space="preserve"> cyfrowych, w przezwyciężaniu nierówności, w zwiększaniu włączenia cyfrowego oraz wzmacnianiu i chronieniu jednostek i ich praw; mając na uwadze, że nawoływanie do nienawiści może prowadzić do przestępstw z nienawiści; mając na uwadze, że według FRA aż dziewięć na dziesięć przestępstw z nienawiści i ataków motywowanych nienawiścią w UE nie jest zgłaszanych, a zatem nie są one karane;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W.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art. 21 Karty zakazuje wszelkiej dyskryminacji ze względu na język lub przynależność do mniejszości narodowej; mając na uwadze, że jej art. 22 gwarantuje poszanowanie różnorodności językowej;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X.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UE opiera się na propagowaniu praw społecznych, kulturalnych i gospodarczych; mając na uwadze, że liczba osób żyjących w ubóstwie w UE pozostaje wysoka, przy czym więcej niż co piąte dziecko jest zagrożone ubóstwem, a prawie co czwarty obywatel Europy jest zagrożony ubóstwem lub wykluczeniem społecznym; mając na uwadze, że cykl ubóstwa pogłębia inne nierówności, takie jak dostęp osób do edukacji, przystępnych cenowo mieszkań, opieki zdrowotnej i zatrudnienia; mając na uwadze, że kryzys energetyczny i inflacja zwiększyły liczbę osób dotkniętych brakiem bezpieczeństwa, ubóstwem i wykluczeniem społecznym; mając na uwadze, że art. 151 TFUE odnosi się do podstawowych praw </w:t>
      </w:r>
      <w:proofErr w:type="gramStart"/>
      <w:r w:rsidRPr="00BE4EF2">
        <w:t>socjalnych</w:t>
      </w:r>
      <w:proofErr w:type="gramEnd"/>
      <w:r w:rsidRPr="00BE4EF2">
        <w:t>, w tym praw określonych w Europejskiej karcie społecznej; mając na uwadze, że Europejski filar praw socjalnych i realizacja planu działania na jego rzecz stanowią kluczowe instrumenty włączania priorytetów społecznych do głównego nurtu wszystkich polityk UE oraz zapewniają wytyczne dla faktycznego wdrażania jego 20 zasad;</w:t>
      </w:r>
    </w:p>
    <w:p w:rsidR="00F43499" w:rsidRPr="00BE4EF2" w:rsidRDefault="00F43499" w:rsidP="00F43499">
      <w:pPr>
        <w:pStyle w:val="NormalHanging12a"/>
      </w:pPr>
      <w:r w:rsidRPr="00BE4EF2">
        <w:t>Y.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przystąpienie UE do europejskiej konwencji praw człowieka (EKPC) jest obowiązkowe zgodnie z art. 6 ust. 2 TUE i pozostaje wysokim priorytetem;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Z.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państwa członkowskie oraz instytucje i organy UE, w tym Trybunał Sprawiedliwości, FRA i EPPO, mają wszystkie do odegrania kluczową rolę w ochronie i zapewnianiu wartości i praw podstawowych UE;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AA.</w:t>
      </w:r>
      <w:r w:rsidRPr="00BE4EF2">
        <w:tab/>
        <w:t xml:space="preserve">mając na uwadze, że Europejski Rzecznik Praw Obywatelskich przeprowadził dochodzenie w sprawie wymiany osobistych wiadomości tekstowych i rozmów telefonicznych między przewodniczącą Komisji a dyrektorem generalnym firmy Pfizer dotyczących zakupu szczepionek przeciwko COVID-19, których ujawnienia Komisja później odmówiła; mając na uwadze, że w lipcu 2022 r. Rzecznik Praw Obywatelskich </w:t>
      </w:r>
      <w:r w:rsidRPr="00BE4EF2">
        <w:lastRenderedPageBreak/>
        <w:t>uznał, iż odmowa ta stanowiła przypadek niewłaściwego administrowania</w:t>
      </w:r>
      <w:r w:rsidRPr="00BE4EF2">
        <w:rPr>
          <w:vertAlign w:val="superscript"/>
        </w:rPr>
        <w:footnoteReference w:id="46"/>
      </w:r>
      <w:r w:rsidRPr="00BE4EF2">
        <w:t>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AB.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od kilku lat stan praworządności pogarsza się w kilku państwach członkowskich w wyniku systematycznych działań ich rządów, zwłaszcza na Węgrzech i w Polsce, przeciwko którym toczą się procedury na podstawie art. 7 ust. 1 TUE; mając na uwadze, że zachowanie praworządności i praw podstawowych w innych państwach członkowskich budzi coraz większy niepokój; mając na uwadze, że kluczowe znaczenie ma zapewnienie, aby państwa członkowskie przestrzegały zobowiązań OBWE oraz innych międzynarodowych zobowiązań i norm dotyczących demokratycznych wyborów, w tym zobowiązań i norm określonych przez Komisję Wenecką;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AC.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ubóstwo stanowi formę przemocy strukturalnej i niesprawiedliwości społecznej, która opiera się na nierówności płci, dyskryminacji i nierównych szansach w dostępie do towarów i usług, i prowadzi do naruszenia praw podstawowych; mając na uwadze, że walka z ubóstwem wymaga uwzględnienia podejścia przekrojowego i zwrócenia szczególnej uwagi na osoby znajdujące się w trudnej sytuacji, takie jak dzieci, kobiety, mniejszości rasowe i etniczne, osoby LGBTIQ+, migranci i osoby ubiegające się o azyl oraz osoby z niepełnosprawnościami, a także osoby znajdujące się w niekorzystnej sytuacji społeczno-ekonomicznej;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AD.</w:t>
      </w:r>
      <w:r w:rsidRPr="00BE4EF2">
        <w:tab/>
      </w:r>
      <w:proofErr w:type="gramStart"/>
      <w:r w:rsidRPr="00BE4EF2">
        <w:t>mając</w:t>
      </w:r>
      <w:proofErr w:type="gramEnd"/>
      <w:r w:rsidRPr="00BE4EF2">
        <w:t xml:space="preserve"> na uwadze, że według sprawozdania Europejskiej Agencji Środowiska pt. „Jakość powietrza w Europie w 2022 r.” w samym tylko 2020 r. 238 tys. przedwczesnych zgonów w Unii wynikało z narażenia na zanieczyszczenie powietrza pyłem drobnym;</w:t>
      </w:r>
    </w:p>
    <w:p w:rsidR="00F43499" w:rsidRPr="00BE4EF2" w:rsidRDefault="00F43499" w:rsidP="00F43499">
      <w:pPr>
        <w:pStyle w:val="Normal12a24b"/>
        <w:rPr>
          <w:i/>
        </w:rPr>
      </w:pPr>
      <w:r w:rsidRPr="00BE4EF2">
        <w:rPr>
          <w:rStyle w:val="Bold"/>
          <w:i/>
        </w:rPr>
        <w:t>Praworządność i dostęp do wymiaru sprawiedliwości</w:t>
      </w:r>
    </w:p>
    <w:p w:rsidR="00F43499" w:rsidRPr="00BE4EF2" w:rsidRDefault="00F43499" w:rsidP="00F43499">
      <w:pPr>
        <w:pStyle w:val="NormalHanging12a"/>
      </w:pPr>
      <w:r w:rsidRPr="00BE4EF2">
        <w:t>1.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 o znaczeniu wolnych mediów dla utrzymania demokracji, pociągania do odpowiedzialności instytucji publicznych i prywatnych oraz umożliwiania obywatelom dostępu do informacji opartych na faktach; podkreśla znaczenie pluralizmu mediów i wolności dziennikarskiej; zdecydowanie potępia fakt, że w 2022 r. ustanowiono kolejny światowy rekord pod względem liczby uwięzionych dziennikarzy, i wzywa do pełnego wymierzenia sprawiedliwości w odniesieniu do zabójstw dziennikarzy śledczych w UE;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państwa członkowskie, aby wdrożyły zalecenie Komisji w sprawie ochrony dziennikarzy i obrońców praw człowieka, którzy angażują się w działalność publiczną, przed ewidentnie bezpodstawnymi lub stanowiącymi nadużycie postępowaniami sądowymi, a w szczególności aby zlikwidowały kary więzienia w sprawach o zniesławienie, zaprzestały ścigania za zniesławienie i zamiast tego stosowały raczej postępowania cywilne lub administracyjne; wzywa Komisję do podjęcia działań w związku z poważnym charakterem SLAPP wszczynanych w ramach postępowań karnych i przedstawienia propozycji środków gwarantujących, że zniesławienie, oszczerstwo i pomówienie, które stanowią przestępstwo w większości państw członkowskich, nie będą mogły być wykorzystywane jako podstawa SLAPP, również w sprawach z oskarżenia prywatnego; </w:t>
      </w:r>
      <w:proofErr w:type="gramStart"/>
      <w:r w:rsidRPr="00BE4EF2">
        <w:t>podkreśla</w:t>
      </w:r>
      <w:proofErr w:type="gramEnd"/>
      <w:r w:rsidRPr="00BE4EF2">
        <w:t xml:space="preserve">, że SLAPP to tylko jedna z metod uciszania dziennikarzy, i wzywa Komisję, aby dalej badała inne praktyki i podejmowała </w:t>
      </w:r>
      <w:r w:rsidRPr="00BE4EF2">
        <w:lastRenderedPageBreak/>
        <w:t>interwencje; wzywa polityków, aby publicznie potępiali groźby i ataki na dziennikarzy;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3.</w:t>
      </w:r>
      <w:r w:rsidRPr="00BE4EF2">
        <w:tab/>
      </w:r>
      <w:proofErr w:type="gramStart"/>
      <w:r w:rsidRPr="00BE4EF2">
        <w:t>ponownie</w:t>
      </w:r>
      <w:proofErr w:type="gramEnd"/>
      <w:r w:rsidRPr="00BE4EF2">
        <w:t xml:space="preserve"> wyraża zaniepokojenie z powodu naruszenia praw podstawowych w związku z wykorzystywaniem oprogramowania Pegasus i równoważnego oprogramowania szpiegowskiego do ataków na osoby fizyczne i osobistości, takie jak dziennikarze, blogerzy, obrońcy praw człowieka, politycy lub inne podmioty; podkreśla, że bezprawne wykorzystywanie oprogramowania szpiegującego przez rządy krajowe bezpośrednio i pośrednio wpływa na uczciwość procesu podejmowania decyzji, co podważa tym samym unijną demokrację i wskazuje na pilną potrzebę większej przejrzystości i rozliczalności prawnej w sektorze nadzoru;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państwa członkowskie, a w szczególności Grecję, Węgry, Polskę, Hiszpanię i Cypr, aby zastosowały się do zaleceń zawartych w sprawozdaniu w sprawie stosowania oprogramowania Pegasus i równoważnego oprogramowania szpiegowskiego służącego inwigilacji; przypomina o swoich zaleceniach dotyczących przestrzegania wspólnych norm UE, ponieważ nie można narażać praw indywidualnych poprzez umożliwianie nieograniczonego dostępu do inwigilacji;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5.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państwa członkowskie do opracowania krajowych planów działania na rzecz bezpieczeństwa dziennikarzy i stworzenia warunków sprzyjających rozkwitowi pluralistycznych i niezależnych mediów oraz odgrywaniu przez nie kluczowej roli strażnika, umożliwiającej rozliczanie rządów i innych podmiotów;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6.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, że handel oprogramowaniem szpiegowskim i jego stosowanie muszą być ściśle uregulowane; podkreśla, że stosowanie oprogramowania szpiegowskiego może być dozwolone jedynie w wyjątkowych i szczególnych przypadkach w dochodzeniach dotyczących ograniczonego i zamkniętego wykazu jasno i precyzyjnie określonych poważnych przestępstw, musi być uzasadnione indywidualnie dla każdego przypadku, zgodne z Kartą i innymi właściwymi przepisami prawa Unii oraz nakazane ex ante przez niezależny i niezawisły organ sądowy dysponujący skutecznymi, znanymi i dostępnymi środkami zaradczymi; podkreśla, że wszelkie przypadki inwigilacji z wykorzystaniem oprogramowania szpiegowskiego muszą podlegać kontroli ex post ze strony niezależnego organu nadzoru, który musi dopilnować, aby wszelka dozwolona inwigilacja była prowadzona </w:t>
      </w:r>
      <w:proofErr w:type="gramStart"/>
      <w:r w:rsidRPr="00BE4EF2">
        <w:t>z</w:t>
      </w:r>
      <w:proofErr w:type="gramEnd"/>
      <w:r w:rsidRPr="00BE4EF2">
        <w:t xml:space="preserve"> poszanowaniem praw podstawowych i zgodnie z warunkami określonymi przez Trybunał Sprawiedliwości, ETPC i Komisję Wenecką; nalega, aby osobom, które były celem oprogramowania szpiegowskiego, zapewniono dostęp do rzeczywistych i znaczących środków odwoławczych;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7.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 xml:space="preserve">, że korupcja jest niezgodna z wartościami demokracji i praworządności, ponieważ pogłębia nierówności i podważa zaufanie obywateli do dobrych rządów; jest głęboko zaniepokojony rosnącym poziomem korupcji w kilku państwach członkowskich, zwłaszcza sprawami dotyczącymi urzędników wysokiego szczebla i polityków; ponownie potępia przypadki domniemanej korupcji z udziałem obecnych i byłych posłów do Parlamentu Europejskiego; w świetle tego podkreśla przyjęcie zmian do Regulaminu w celu wzmocnienia integralności, niezależności i rozliczalności PE; jest zaniepokojony zróżnicowanym poziomem wdrażania unijnych ram antykorupcyjnych w państwach członkowskich; domaga się przyjęcia zasady zerowej tolerancji wobec korupcji; wzywa do ustanowienia niezależnego unijnego organu ds. etyki; wzywa państwa członkowskie do zapewnienia </w:t>
      </w:r>
      <w:proofErr w:type="gramStart"/>
      <w:r w:rsidRPr="00BE4EF2">
        <w:t>pełnego</w:t>
      </w:r>
      <w:proofErr w:type="gramEnd"/>
      <w:r w:rsidRPr="00BE4EF2">
        <w:t xml:space="preserve"> wdrożenia dyrektywy w </w:t>
      </w:r>
      <w:r w:rsidRPr="00BE4EF2">
        <w:lastRenderedPageBreak/>
        <w:t>sprawie ochrony sygnalistów</w:t>
      </w:r>
      <w:r w:rsidRPr="00BE4EF2">
        <w:rPr>
          <w:rStyle w:val="FootnoteReference"/>
        </w:rPr>
        <w:footnoteReference w:id="47"/>
      </w:r>
      <w:r w:rsidRPr="00BE4EF2">
        <w:t>;</w:t>
      </w:r>
    </w:p>
    <w:p w:rsidR="00F43499" w:rsidRPr="00BE4EF2" w:rsidRDefault="00F43499" w:rsidP="00F43499">
      <w:pPr>
        <w:pStyle w:val="NormalHanging12a"/>
      </w:pPr>
      <w:r w:rsidRPr="00BE4EF2">
        <w:t>8.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>, że niezależność sądownictwa oraz skuteczne mechanizmy kontroli i równowagi, które mogą różnić się w poszczególnych państwach członkowskich, są zasadniczymi elementami praworządności; podkreśla, że nadal istnieją poważne obawy co do stanu praworządności i niezależności sądownictwa w kilku państwach członkowskich; potępia wszelkie podejmowane przez rządy państw członkowskich próby wywierania wpływu o charakterze politycznym na niezależny proces decyzyjny sądownictwa lub próby kontrolowania tego procesu bezpośrednio lub za pomocą środków organizacyjnych;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9.</w:t>
      </w:r>
      <w:r w:rsidRPr="00BE4EF2">
        <w:tab/>
      </w:r>
      <w:proofErr w:type="gramStart"/>
      <w:r w:rsidRPr="00BE4EF2">
        <w:t>popiera</w:t>
      </w:r>
      <w:proofErr w:type="gramEnd"/>
      <w:r w:rsidRPr="00BE4EF2">
        <w:t xml:space="preserve"> utworzenie strategii UE mającej na celu zapewnienie konkretnych i skoordynowanych działań na szczeblu UE, w tym przez utworzenie mechanizmu ochrony obrońców praw człowieka w Europie, wykorzystując przykłady z polityki zagranicznej UE, w celu zapewnienia prewencji, bezpośredniej pomocy i rozliczalności;</w:t>
      </w:r>
    </w:p>
    <w:p w:rsidR="00F43499" w:rsidRPr="00BE4EF2" w:rsidRDefault="00F43499" w:rsidP="00F43499">
      <w:pPr>
        <w:pStyle w:val="NormalHanging12a"/>
      </w:pPr>
      <w:r w:rsidRPr="00BE4EF2">
        <w:t>10.</w:t>
      </w:r>
      <w:r w:rsidRPr="00BE4EF2">
        <w:tab/>
      </w:r>
      <w:proofErr w:type="gramStart"/>
      <w:r w:rsidRPr="00BE4EF2">
        <w:t>popiera</w:t>
      </w:r>
      <w:proofErr w:type="gramEnd"/>
      <w:r w:rsidRPr="00BE4EF2">
        <w:t xml:space="preserve"> wykorzystywanie Instrumentu na rzecz Odbudowy i Zwiększania Odporności oraz horyzontalnych warunków podstawowych umożliwiających zamrożenie finansowania unijnego w celu zwalczania korupcji i regresów w obszarze praworządności w państwach członkowskich; podkreśla, że fundusze zamrażane za pomocą różnych działań związanych z warunkowością muszą zostać uwolnione po spełnieniu kluczowych warunków podstawowych; wzywa państwa członkowskie do podjęcia właściwych środków, aby osiągnąć cele pośrednie określone w ich odpowiednich planach odbudowy i zwiększania odporności; wzywa Radę Europejską, aby podjęła działania i ustaliła, czy Węgry dopuściły się poważnych i trwałych naruszeń wartości UE, zgodnie z art. 7 ust. 2 TUE; wyraża głębokie ubolewanie z powodu systematycznego traktowania społeczności LGBTQI+ </w:t>
      </w:r>
      <w:proofErr w:type="gramStart"/>
      <w:r w:rsidRPr="00BE4EF2">
        <w:t>jak</w:t>
      </w:r>
      <w:proofErr w:type="gramEnd"/>
      <w:r w:rsidRPr="00BE4EF2">
        <w:t xml:space="preserve"> kozła ofiarnego przez władze węgierskie; podkreśla, że Rada jest współodpowiedzialna za ochronę wartości zapisanych w art. 2 TUE oraz że niedopełnienie tego obowiązku miałoby długotrwałe i potencjalnie szkodliwe skutki; domaga się poszanowania roli i kompetencji Parlamentu;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11.</w:t>
      </w:r>
      <w:r w:rsidRPr="00BE4EF2">
        <w:tab/>
      </w:r>
      <w:proofErr w:type="gramStart"/>
      <w:r w:rsidRPr="00BE4EF2">
        <w:t>ubolewa</w:t>
      </w:r>
      <w:proofErr w:type="gramEnd"/>
      <w:r w:rsidRPr="00BE4EF2">
        <w:t xml:space="preserve"> nad faktem, że niektóre państwa członkowskie przedłużają stan wyjątkowy poza to, co jest konieczne i proporcjonalne, oraz w pośpiechu przyjmują przepisy bez odpowiednich konsultacji;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12.</w:t>
      </w:r>
      <w:r w:rsidRPr="00BE4EF2">
        <w:tab/>
      </w:r>
      <w:proofErr w:type="gramStart"/>
      <w:r w:rsidRPr="00BE4EF2">
        <w:t>ponownie</w:t>
      </w:r>
      <w:proofErr w:type="gramEnd"/>
      <w:r w:rsidRPr="00BE4EF2">
        <w:t xml:space="preserve"> przypomina potrzebę niezwłocznego ustanowienia unijnego mechanizmu dotyczącego demokracji, praworządności i praw podstawowych oraz wzywa Komisję i Radę do natychmiastowego rozpoczęcia negocjacji z Parlamentem w sprawie tego porozumienia;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13.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wprowadzenie przez Trybunał Sprawiedliwości w 2022 r. transmisji i streamingu na żywo w celu ułatwienia częściowego publicznego dostępu do działalności sądowniczej trybunału;</w:t>
      </w:r>
    </w:p>
    <w:p w:rsidR="00F43499" w:rsidRPr="00BE4EF2" w:rsidRDefault="00F43499" w:rsidP="00F43499">
      <w:pPr>
        <w:pStyle w:val="Normal12a24b"/>
        <w:rPr>
          <w:i/>
        </w:rPr>
      </w:pPr>
      <w:r w:rsidRPr="00BE4EF2">
        <w:rPr>
          <w:rStyle w:val="Bold"/>
          <w:i/>
        </w:rPr>
        <w:t>Wolności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14.</w:t>
      </w:r>
      <w:r w:rsidRPr="00BE4EF2">
        <w:tab/>
      </w:r>
      <w:proofErr w:type="gramStart"/>
      <w:r w:rsidRPr="00BE4EF2">
        <w:t>wraża</w:t>
      </w:r>
      <w:proofErr w:type="gramEnd"/>
      <w:r w:rsidRPr="00BE4EF2">
        <w:t xml:space="preserve"> głębokie zaniepokojenie coraz wyższym stopniem zagrożenia wolności </w:t>
      </w:r>
      <w:r w:rsidRPr="00BE4EF2">
        <w:lastRenderedPageBreak/>
        <w:t xml:space="preserve">stowarzyszania się, wolności słowa i zgromadzania się; przypomina, że prawo do pokojowych zgromadzeń może zostać ograniczone jedynie wtedy, gdy jest to przewidziane w przepisach prawa oraz konieczne i proporcjonalne w celu ochrony interesu ogólnego uznawanego przez Unię lub praw i wolności innych osób; potępia użycie w niektórych przypadkach przemocy i nieproporcjonalnych interwencji organów ścigania podczas pokojowych protestów oraz potępia przypadki uznaniowych masowych aresztowań potencjalnych demonstrantów; zachęca właściwe organy krajowe, aby zapewniły przejrzyste, bezstronne, niezależne i skuteczne dochodzenia w przypadku podejrzeń lub zarzutów nieproporcjonalnego użycia siły; wzywa państwa członkowskie, aby stosowały alternatywne praktyki </w:t>
      </w:r>
      <w:proofErr w:type="gramStart"/>
      <w:r w:rsidRPr="00BE4EF2">
        <w:t>w</w:t>
      </w:r>
      <w:proofErr w:type="gramEnd"/>
      <w:r w:rsidRPr="00BE4EF2">
        <w:t xml:space="preserve"> celu utrzymania porządku publicznego, które okazały się skuteczne w innych państwach członkowskich;</w:t>
      </w:r>
    </w:p>
    <w:p w:rsidR="00F43499" w:rsidRPr="00BE4EF2" w:rsidRDefault="00F43499" w:rsidP="00F43499">
      <w:pPr>
        <w:pStyle w:val="NormalHanging12a"/>
      </w:pPr>
      <w:r w:rsidRPr="00BE4EF2">
        <w:t>15.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 xml:space="preserve">, że aby zagwarantować prawo do wolności wypowiedzi i informacji, które jest podstawą każdej demokracji, informacje muszą być powszechnie dostępne i zróżnicowane; zaznacza, że należy zagwarantować swobodę wypowiedzi artystycznej; podkreśla, że dezinformacja może mieć bardzo destrukcyjny wpływ na funkcjonowanie demokratycznych społeczeństw, gospodarek i systemów politycznych; przypomina o potrzebie włączenia umiejętności korzystania z mediów i umiejętności cyfrowych do edukacji obywatelskiej w celu przeciwdziałania rozprzestrzenianiu się dezinformacji; ponownie zaleca zastosowanie skutecznych środków w celu zwalczania dezinformacji ze strony wrogo nastawionych obcych mocarstw, w szczególności w związku ze zbliżającymi się wyborami europejskimi; podkreśla, że niezależny i pluralistyczny krajobraz mediów, zarówno w internecie, jak </w:t>
      </w:r>
      <w:proofErr w:type="gramStart"/>
      <w:r w:rsidRPr="00BE4EF2">
        <w:t>i</w:t>
      </w:r>
      <w:proofErr w:type="gramEnd"/>
      <w:r w:rsidRPr="00BE4EF2">
        <w:t xml:space="preserve"> poza nim, jest niezbędny do skutecznego przeciwdziałania dezinformacji i propagandzie, w związku z czym należy go wspierać, w tym w drodze skutecznego przeciwdziałania koncentracji mediów;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16.</w:t>
      </w:r>
      <w:r w:rsidRPr="00BE4EF2">
        <w:tab/>
        <w:t xml:space="preserve"> </w:t>
      </w:r>
      <w:proofErr w:type="gramStart"/>
      <w:r w:rsidRPr="00BE4EF2">
        <w:t>podkreśla</w:t>
      </w:r>
      <w:proofErr w:type="gramEnd"/>
      <w:r w:rsidRPr="00BE4EF2">
        <w:t>, że zgodnie z prawem Unii krajowe organy lub podmioty regulacyjne muszą być funkcjonalnie niezależne od swoich rządów i nie mogą zwracać się o instrukcje do żadnego innego organu ani przyjmować takich instrukcji; zauważa, że polityczna niezależność regulacji mediów i nadzoru nad nimi przez państwa członkowskie i Komisję, ochrona niezależności redakcyjnej w całej UE, a także ochrona dziennikarzy przed inwigilacją i ochrona źródeł dziennikarskich mają pierwszorzędne znaczenie; wzywa zatem do przyjęcia solidnego europejskiego aktu o wolności mediów, aby zagwarantować niezależność, pluralizm i wolność mediów w całej UE, oraz zapewnić przejrzystość własności i finansowania mediów;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17.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 xml:space="preserve"> kluczową rolę organizacji społeczeństwa obywatelskiego w upowszechnianiu aktywnego obywatelstwa, praw podstawowych i uczestnictwa demokratycznego w Europie; wzywa Komisję, aby przedstawiła strategię i określiła podstawowe standardy dotyczące ochrony organizacji pozarządowych we wszystkich państwach członkowskich w celu tworzenia otoczenia regulacyjnego i politycznego pozbawionego efektów mrożących, zagrożeń i ataków, w celu zapewnienia organizacjom społeczeństwa obywatelskiego trwałego i niedyskryminującego dostępu do zasobów oraz w celu wspierania ich zaangażowania w dialog obywatelski i udziału w kształtowaniu polityki; ubolewa, że w ostatnich latach doszło do niepokojącego pogorszenia sytuacji obrońców praw człowieka w UE; wzywa Komisję i państwa członkowskie, aby podjęły niezbędne środki w celu zapewnienia </w:t>
      </w:r>
      <w:proofErr w:type="gramStart"/>
      <w:r w:rsidRPr="00BE4EF2">
        <w:t>obrońcom</w:t>
      </w:r>
      <w:proofErr w:type="gramEnd"/>
      <w:r w:rsidRPr="00BE4EF2">
        <w:t xml:space="preserve"> praw człowieka możliwości pracy wolnej od przeszkód i niepewności;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18.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, że zgodnie z art. 6 Karty każdy ma prawo do wolności i bezpieczeństwa osobistego, co oznacza, że każdy w UE powinien być chroniony przed bezprawnym i </w:t>
      </w:r>
      <w:r w:rsidRPr="00BE4EF2">
        <w:lastRenderedPageBreak/>
        <w:t>arbitralnym aresztowaniem; apeluje do państw członkowskich, aby zastosowały się do zalecenia Komisji w sprawie praw procesowych osób podejrzanych i oskarżonych w celu poprawienia warunków przetrzymywania, a tym samym zapewnienia wyższego stopnia ochrony prawa do wolności i bezpieczeństwa osobistego;</w:t>
      </w:r>
    </w:p>
    <w:p w:rsidR="00F43499" w:rsidRPr="00BE4EF2" w:rsidRDefault="00F43499" w:rsidP="00F43499">
      <w:pPr>
        <w:pStyle w:val="NormalHanging12a"/>
      </w:pPr>
      <w:r w:rsidRPr="00BE4EF2">
        <w:t>19.</w:t>
      </w:r>
      <w:r w:rsidRPr="00BE4EF2">
        <w:tab/>
      </w:r>
      <w:proofErr w:type="gramStart"/>
      <w:r w:rsidRPr="00BE4EF2">
        <w:t>potępia</w:t>
      </w:r>
      <w:proofErr w:type="gramEnd"/>
      <w:r w:rsidRPr="00BE4EF2">
        <w:t xml:space="preserve"> wzrost liczby incydentów na tle religijnym lub światopoglądowym i rasistowskim w UE; zwraca się do Komisji i państw członkowskich, aby podjęły zdecydowane działania w tym względzie, w tym na szczeblu międzynarodowym; przypomina, że zgodnie z art. 10 Karty każdy ma prawo do wolności myśli, sumienia i wyznania; ubolewa, że przypadki dyskryminacji oraz przestępstwa na tle rasowym i ksenofobicznym często nie są zgłaszane władzom, co de facto prowadzi do bezkarności; wyraża ubolewanie w związku z tym, że nie wszystkie państwa członkowskie w pełni transponowały decyzję ramową w sprawie zwalczania pewnych form i przejawów rasizmu i ksenofobii za pomocą środków prawnokarnych;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20.</w:t>
      </w:r>
      <w:r w:rsidRPr="00BE4EF2">
        <w:tab/>
      </w:r>
      <w:proofErr w:type="gramStart"/>
      <w:r w:rsidRPr="00BE4EF2">
        <w:t>jest</w:t>
      </w:r>
      <w:proofErr w:type="gramEnd"/>
      <w:r w:rsidRPr="00BE4EF2">
        <w:t xml:space="preserve"> zaniepokojony rosnącą liczbą incydentów przemocy ze strony policji wobec ludności romskiej; wzywa państwa członkowskie, aby rygorystycznie badały te incydenty w celu zagwarantowania, że wprowadzanie lub wdrażanie represyjnych i brutalnych środków wobec Romów lub społeczności romskich nie pozostanie bezkarne; wzywa ponadto państwa członkowskie, aby rozwiązały problem stronniczych nagrań policyjnych, sprawozdań, oskarżeń i wyroków sądowych oraz nieodpowiedniego dostępu ludności romskiej do wymiaru sprawiedliwości;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21.</w:t>
      </w:r>
      <w:r w:rsidRPr="00BE4EF2">
        <w:tab/>
      </w:r>
      <w:proofErr w:type="gramStart"/>
      <w:r w:rsidRPr="00BE4EF2">
        <w:t>zwraca</w:t>
      </w:r>
      <w:proofErr w:type="gramEnd"/>
      <w:r w:rsidRPr="00BE4EF2">
        <w:t xml:space="preserve"> uwagę, że w wyniku datafikacji życia codziennego i skandali związanych z danymi osobowymi prawo do ochrony danych osobowych nabiera coraz większego znaczenia; ponownie wyraża zaniepokojenie nierównym stosowaniem ogólnego rozporządzenia o ochronie danych; popiera inicjatywy mające na celu wzmocnienie procesu legislacyjnego w odniesieniu do ram regulacyjnych UE dotyczących sztucznej inteligencji, które zapewnią solidne gwarancje praw podstawowych;</w:t>
      </w:r>
    </w:p>
    <w:p w:rsidR="00F43499" w:rsidRPr="00BE4EF2" w:rsidRDefault="00F43499" w:rsidP="00F43499">
      <w:pPr>
        <w:pStyle w:val="NormalHanging12a"/>
      </w:pPr>
      <w:r w:rsidRPr="00BE4EF2">
        <w:t>22.</w:t>
      </w:r>
      <w:r w:rsidRPr="00BE4EF2">
        <w:tab/>
      </w:r>
      <w:proofErr w:type="gramStart"/>
      <w:r w:rsidRPr="00BE4EF2">
        <w:t>zdecydowanie</w:t>
      </w:r>
      <w:proofErr w:type="gramEnd"/>
      <w:r w:rsidRPr="00BE4EF2">
        <w:t xml:space="preserve"> potępia powszechne łamanie praw podstawowych i stosowanie nieproporcjonalnej przemocy przeciwko migrantom, w tym uchodźcom, na granicach Unii w formie arbitralnych zatrzymań, nieludzkich warunków życia i braku dostępu do opieki zdrowotnej, niezgodnych z prawem powrotów i brutalnego zawracania; jest bardzo zaniepokojony faktem, że państwa członkowskie wprowadzają zawracanie do prawa krajowego; potępia wszystkie obowiązujące w państwach członkowskich przepisy, które podważają skuteczną ochronę praw człowieka uchodźców, osób ubiegających się o azyl i migrantów na lądzie i na morzu, a także kryminalizację pracowników i działaczy organizacji humanitarnych; podkreśla, że niemal jedną trzecią osób ubiegających się o azyl stanowią dzieci, i powtarza, że zatrzymywanie </w:t>
      </w:r>
      <w:proofErr w:type="gramStart"/>
      <w:r w:rsidRPr="00BE4EF2">
        <w:t>dzieci</w:t>
      </w:r>
      <w:proofErr w:type="gramEnd"/>
      <w:r w:rsidRPr="00BE4EF2">
        <w:t xml:space="preserve"> z powodu imigracji nie powinno być dozwolone;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23.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UE i państwa członkowskie, aby zapewniły skuteczne mechanizmy nadzoru w celu zapewnienia przestrzegania praw podstawowych na granicach zewnętrznych, które powinny również obejmować monitorowanie działań w zakresie nadzoru granic; wzywa ponadto Komisję, aby zapewniła, by osoby, których dane są przechowywane w bazach danych wielkoskalowych systemów informatycznych UE, były informowane o przysługujących im prawach i miały dostęp do istniejących środków odwoławczych;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24.</w:t>
      </w:r>
      <w:r w:rsidRPr="00BE4EF2">
        <w:tab/>
      </w:r>
      <w:proofErr w:type="gramStart"/>
      <w:r w:rsidRPr="00BE4EF2">
        <w:t>wyraża</w:t>
      </w:r>
      <w:proofErr w:type="gramEnd"/>
      <w:r w:rsidRPr="00BE4EF2">
        <w:t xml:space="preserve"> głębokie ubolewanie z powodu wysokiej liczby ofiar śmiertelnych wśród uchodźców i migrantów na morzu, którzy często są ofiarami handlu ludźmi i muszą </w:t>
      </w:r>
      <w:r w:rsidRPr="00BE4EF2">
        <w:lastRenderedPageBreak/>
        <w:t>stawiać czoła nieludzkiemu i poniżającemu traktowaniu, bez zapewnienia im należytego bezpieczeństwa; przypomina o wynikającym z międzynarodowego prawa morza obowiązku udzielania pomocy osobom znajdującym się w niebezpieczeństwie i pilnie apeluje o prowadzenie stałych skoordynowanych operacji poszukiwawczo-ratowniczych wraz z szybkim sprowadzeniem na ląd, a także wzywa państwa członkowskie, aby podejmowały wszelkie możliwe działania w celu ratowania życia osób zagrożonych na morzu; wzywa do poszanowania prawa do azylu wszystkich osób uratowanych na morzu poprzez ocenę indywidualnych okoliczności w poszczególnych przypadkach;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25.</w:t>
      </w:r>
      <w:r w:rsidRPr="00BE4EF2">
        <w:tab/>
      </w:r>
      <w:proofErr w:type="gramStart"/>
      <w:r w:rsidRPr="00BE4EF2">
        <w:t>zauważa</w:t>
      </w:r>
      <w:proofErr w:type="gramEnd"/>
      <w:r w:rsidRPr="00BE4EF2">
        <w:t>, że niektóre państwa członkowskie wykorzystują bezpieczeństwo narodowe jako wyznacznik wewnętrznych strategii politycznych, np. w dziedzinie migracji; podkreśla, że wszelkie środki podejmowane ze względów bezpieczeństwa narodowego muszą być konieczne i proporcjonalne oraz nie mogą naruszać praw zagwarantowanych w Karcie; przypomina, że art. 19 Karty zapewnia ochronę w przypadku usunięcia z terytorium państwa, wydalenia lub ekstradycji oraz zakazuje wydaleń zbiorowych, a zatem wymaga indywidualnej oceny i zakazuje odrzucania wniosków o udzielenie ochrony międzynarodowej wyłącznie na podstawie określonego obywatelstwa;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26.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uruchomienie unijnej dyrektywy w sprawie tymczasowej ochrony</w:t>
      </w:r>
      <w:r w:rsidRPr="00BE4EF2">
        <w:rPr>
          <w:rStyle w:val="FootnoteReference"/>
        </w:rPr>
        <w:footnoteReference w:id="48"/>
      </w:r>
      <w:r w:rsidRPr="00BE4EF2">
        <w:t xml:space="preserve"> w następstwie wojny w Ukrainie, która ma na celu zapewnienie dostępu do ochrony uchodźcom i osobom ubiegającym się o azyl dowolnego pochodzenia; przypomina, że dostęp do zakwaterowania, zatrudnienia, edukacji, opieki zdrowotnej i usług opieki społecznej w ramach dyrektywy w sprawie tymczasowej ochrony musi uwzględniać podejście oparte na płci; ubolewa nad nierównym traktowaniem, dyskryminacją rasową i przemocą, z jakimi spotykają się osoby uciekające przed konfliktem, które nie są Ukraińcami, a w szczególności osoby pochodzące z mniejszości etnicznych i osoby LGBTIQ+; ubolewa nad podwójnymi standardami dotyczącymi migrantów i uchodźców w UE i </w:t>
      </w:r>
      <w:proofErr w:type="gramStart"/>
      <w:r w:rsidRPr="00BE4EF2">
        <w:t>wzywa</w:t>
      </w:r>
      <w:proofErr w:type="gramEnd"/>
      <w:r w:rsidRPr="00BE4EF2">
        <w:t xml:space="preserve"> do wyeliminowania tego stanu rzeczy;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27.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zalecenie Komitetu Ministrów Rady Europy w sprawie ochrony praw migrantek, uchodźczyń oraz kobiet i dziewcząt ubiegających się o azyl, wzywające państwa członkowskie do podjęcia środków zapobiegających dyskryminacji takich kobiet, w tym przez promowanie dostępu do zatrudnienia i opieki w zakresie zdrowia seksualnego i reprodukcyjnego oraz ułatwianie dostępu do usług i wymiaru sprawiedliwości osobom, które doświadczyły przemocy ze względu na płeć</w:t>
      </w:r>
      <w:r w:rsidRPr="00BE4EF2">
        <w:rPr>
          <w:vertAlign w:val="superscript"/>
        </w:rPr>
        <w:footnoteReference w:id="49"/>
      </w:r>
      <w:r w:rsidRPr="00BE4EF2">
        <w:t>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28.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zaniepokojeniem odnotowuje dużą populację bezpaństwowców w UE, zwłaszcza dzieci, które rodzą się jako bezpaństwowcy; wzywa Komisję, aby opracowała </w:t>
      </w:r>
      <w:r w:rsidRPr="00BE4EF2">
        <w:lastRenderedPageBreak/>
        <w:t>kompleksowa strategię i plan działania w celu rozwiązania problemu bezpaństwowości w UE i ochrony przed wydaleniem; wzywa państwa członkowskie, aby właściwie identyfikowały, uznawały i chroniły bezpaństwowców, z uwzględnieniem ich szczególnej podatności na zagrożenia;</w:t>
      </w:r>
    </w:p>
    <w:p w:rsidR="00F43499" w:rsidRPr="00BE4EF2" w:rsidRDefault="00F43499" w:rsidP="00F43499">
      <w:pPr>
        <w:pStyle w:val="Normal12a24b"/>
        <w:rPr>
          <w:i/>
        </w:rPr>
      </w:pPr>
      <w:r w:rsidRPr="00BE4EF2">
        <w:rPr>
          <w:rStyle w:val="Bold"/>
          <w:i/>
        </w:rPr>
        <w:t>Równość i godność</w:t>
      </w:r>
    </w:p>
    <w:p w:rsidR="00F43499" w:rsidRPr="00BE4EF2" w:rsidRDefault="00F43499" w:rsidP="00F43499">
      <w:pPr>
        <w:pStyle w:val="NormalHanging12a"/>
      </w:pPr>
      <w:r w:rsidRPr="00BE4EF2">
        <w:t>29.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Komisję do zapewnienia, by prawo do niedyskryminacji i równego traktowania było przestrzegane w całej UE; ubolewa, że wniosek w sprawie horyzontalnej dyrektywy antydyskryminacyjnej pozostaje zablokowany w Radzie od 2008 r.; uważa, że wszelkie aktualizacje tego wniosku proponowane przez Komisję muszą opierać się na stanowisku Parlamentu, odnosić się do dyskryminacji krzyżowej oraz wyraźnie zakazywać dyskryminacji z dowolnej kombinacji przyczyn wymienionych w Karcie; ubolewa nad faktem, że Rada zignorowała te propozycje, i wzywa ją do włączenia ich do jej mandatu oraz do podjęcia wszelkich odpowiednich działań w celu zwalczania dyskryminacji w UE;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30.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Komisję, aby monitorowała i zagwarantowała odpowiednie działania następcze w związku z wdrażaniem krajowych planów działania przeciwko rasizmowi opracowanych przez państwa członkowskie oraz unijnego planu działania przeciwko rasizmowi; wzywa ponadto Komisję, aby uwzględniła kwestię walki z rasizmem i dyskryminacją we wszystkich obszarach unijnej polityki; wzywa przyszłe prezydencje Rady do poważnego rozważenia ustanowienia składu Rady ds. równości płci i równouprawnienia;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31.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Komisję i państwa członkowskie, aby zwalczały dyskryminację rasową we wszystkich dziedzinach życia społecznego, ze szczególnym uwzględnieniem kształcenia i zapobiegania segregacji w szkołach, za pomocą skutecznych środków legislacyjnych i politycznych, zarówno w państwach członkowskich, jak i krajach objętych procesem rozszerzenia;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32.</w:t>
      </w:r>
      <w:r w:rsidRPr="00BE4EF2">
        <w:tab/>
      </w:r>
      <w:proofErr w:type="gramStart"/>
      <w:r w:rsidRPr="00BE4EF2">
        <w:t>w</w:t>
      </w:r>
      <w:proofErr w:type="gramEnd"/>
      <w:r w:rsidRPr="00BE4EF2">
        <w:t xml:space="preserve"> odniesieniu do cyfryzacji przypomina, że należy zwrócić szczególna uwagę na dyskryminujące uprzedzenia wprowadzone do nowych technologii oraz na konieczność zobowiązania twórców i podmiotów wdrażających do przekazywania publicznie dostępnych informacji na temat sposobów szkolenia tych systemów; wzywa Komisję i państwa członkowskie, aby wprowadziły środki uniemożliwiające potęgowanie dyskryminacji, istniejących nierówności i ubóstwa za pośrednictwem nowych technologii, w tym sztucznej inteligencji; wzywa Komisję i państwa członkowskie do zapewnienia, by systemy sztucznej inteligencji kierowały się zasadami przejrzystości, wyjaśnialności, sprawiedliwości i odpowiedzialności oraz aby wprowadzono ocenę skutków w zakresie praw podstawowych; ponadto wzywa Komisję i państwa członkowskie, aby zajęły się problemem różnic w traktowaniu </w:t>
      </w:r>
      <w:proofErr w:type="gramStart"/>
      <w:r w:rsidRPr="00BE4EF2">
        <w:t>kobiet</w:t>
      </w:r>
      <w:proofErr w:type="gramEnd"/>
      <w:r w:rsidRPr="00BE4EF2">
        <w:t xml:space="preserve"> i mężczyzn oraz problemem różnorodności w technologiach informacyjno-komunikacyjnych (ICT) i w dziedzinach nauk przyrodniczych, technologii, inżynierii i matematyki (STEM), zwłaszcza w zakresie rozwoju nowych technologii, a w szczególności na stanowiskach wymagających podejmowania decyzji; 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33.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>, jak ważne jest, by dzieci należące do mniejszości narodowych mogły kształcić się w specjalnych szkołach oferujących edukację w ich języku; zachęca do włączenia przedstawicieli mniejszości narodowych w procesy decyzyjne mające wpływ na ich systemy edukacji;</w:t>
      </w:r>
    </w:p>
    <w:p w:rsidR="00F43499" w:rsidRPr="00BE4EF2" w:rsidRDefault="00F43499" w:rsidP="00F43499">
      <w:pPr>
        <w:pStyle w:val="NormalHanging12a"/>
      </w:pPr>
      <w:r w:rsidRPr="00BE4EF2">
        <w:lastRenderedPageBreak/>
        <w:t>34.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, że przemoc ze względu na płeć jest bardzo rozpowszechniona we wszystkich państwach członkowskich w całej UE; zdecydowanie potępia gwałtowny regres w zakresie praw kobiet i osób LGBTIQ+ w kilku państwach członkowskich; zdecydowanie potępia odmowę dostępu do bezpiecznych i legalnych świadczeń aborcyjnych, gdyż stanowi to również formę przemocy ze względu na płeć; podkreśla, że ETPC orzekł, iż restrykcyjne przepisy aborcyjne i brak ich wdrożenia naruszają prawo kobiet do autonomii i integralności cielesnej; ponownie potępia polskie prawo, które wprowadza niemal całkowity zakaz aborcji; przypomina, że obywatele, którzy pomagają tym osobom w dostępie do świadczeń aborcyjnych, gdy nie są one swobodnie lub </w:t>
      </w:r>
      <w:proofErr w:type="gramStart"/>
      <w:r w:rsidRPr="00BE4EF2">
        <w:t>legalnie</w:t>
      </w:r>
      <w:proofErr w:type="gramEnd"/>
      <w:r w:rsidRPr="00BE4EF2">
        <w:t xml:space="preserve"> dostępne, nie powinni być prześladowani; ponawia apel o uwzględnienie prawa do aborcji w Karcie;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35.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wniosek Komisji dotyczący dyrektywy w sprawie zwalczania przemocy wobec kobiet i przemocy domowej oraz wzywa do szybkiego zakończenia negocjacji i włączenia przemocy ze względu na płeć do wykazu przestępstw UE; podkreśla, że taka dyrektywa powinna gwarantować zobowiązania określone w konwencji stambulskiej jako minimalny standard i mieć na celu wzmocnienie tych standardów w celu podniesienia poziomu ochrony; z zadowoleniem przyjmuje ratyfikację przez UE konwencji stambulskiej, która weszła w życie 1 października 2023 r.; wzywa pozostałe państwa członkowskie, aby szybko ratyfikowały konwencję w celu ochrony kobiet przed przemocą;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36.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>, że osoby z niepełnosprawnościami, a w szczególności kobiety z niepełnosprawnościami, nadal zmagają się z dyskryminacją z wielu przyczyn jednocześnie i dyskryminacją krzyżową w związku z ich niepełnosprawnością, płcią, rasą, pochodzeniem etnicznym, wiekiem, religią lub przekonaniami, orientacją seksualną, statusem migracyjnym lub statusem społeczno-ekonomicznym; podkreśla, że niepełnosprawne kobiety i dziewczęta są szczególnie narażone na przemoc ze względu na płeć, w tym przemoc fizyczną, seksualną, psychiczną i ekonomiczną; wzywa Komisję i państwa członkowskie do zapewnienia wprowadzenia i dostępności mechanizmów zgłaszania przemocy wobec osób z niepełnosprawnościami, a także usług wsparcia dla ofiar;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37.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>, że prawa dziecka są powszechne i że każdemu dziecku przysługują takie same prawa, bez dyskryminacji, takie jak prawo do uznania pochodzenia, także w przypadku par tej samej płci; z zadowoleniem przyjmuje wniosek Komisji dotyczący rozporządzenia w sprawie jurysdykcji, prawa właściwego, uznawania orzeczeń i przyjmowania dokumentów urzędowych dotyczących pochodzenia dziecka oraz w sprawie ustanowienia europejskiego poświadczenia pochodzenia dziecka w celu ochrony praw wszystkich dzieci przez zapewnienie, aby ich więzi rodzicielskie, w tym w szczególności w przypadku rodziców tej samej płci, ustanowione w jednym państwie członkowskim były uznawane we wszystkich państwach członkowskich UE;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38.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państwa członkowskie do uznania przymusowej sterylizacji za przestępstwo; przypomina swoje stanowisko, zgodnie z którym w dyrektywie w sprawie zwalczania przemocy wobec kobiet i przemocy domowej należy uwzględniać przymusową sterylizację jako przestępstwo na mocy art. 83 ust. 1 TFUE;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39.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, że nawoływanie do nienawiści i przestępstwa z nienawiści motywowane rasizmem, ksenofobią lub nietolerancją religijną bądź wrogością czy uprzedzeniami ze względu na niepełnosprawność, orientację seksualną, tożsamość płciową, ekspresję </w:t>
      </w:r>
      <w:r w:rsidRPr="00BE4EF2">
        <w:lastRenderedPageBreak/>
        <w:t>płciową czy cechy płciowe danej osoby to skrajne przykłady dyskryminacji; zauważa, że państwa członkowskie mają obowiązek zwalczania przestępstw z nienawiści i prowadzenia dochodzeń w ich sprawie, karania sprawców i podejmowania środków zapobiegawczych; podkreśla potrzebę odpowiedniej rejestracji przestępstw z nienawiści przez organy ścigania w celu lepszego zrozumienia charakteru i powszechności tego zjawiska oraz jego wpływu na ofiary, a także zaradzenia jego podstawowym przyczynom;</w:t>
      </w:r>
    </w:p>
    <w:p w:rsidR="00F43499" w:rsidRPr="00BE4EF2" w:rsidRDefault="00F43499" w:rsidP="00F43499">
      <w:pPr>
        <w:pStyle w:val="NormalHanging12a"/>
      </w:pPr>
      <w:r w:rsidRPr="00BE4EF2">
        <w:t>40.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inicjatywę Komisji dotyczącą rozszerzenia wykazu przestępstw UE zawartego w art. 83 ust. 1 TFUE o nawoływanie do nienawiści i przestępstwa z nienawiści, podkreślając potrzebę zapewnienia zdecydowanej reakcji unijnego prawa karnego na nawoływanie do nienawiści i przestępstwa z nienawiści; wyraża głębokie ubolewanie z powodu opóźnienia w zatwierdzeniu tej inicjatywy i ponownie wzywa Radę do starannej pracy na rzecz osiągnięcia konsensusu;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41.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>, że prawodawstwo UE dotyczące nawoływania do nienawiści i przestępstw z nienawiści powinno ogólnie chronić godność ludzką oraz zwalczać nienawiść i nietolerancję niezależnie od ich motywacji, ze szczególnym uwzględnieniem osób, grup i społeczności docelowych; zdecydowanie potępia wszystkie formy nawoływania do nienawiści i kampanie oszczerstw w mediach publicznych skierowane przeciwko dziennikarzom, politykom, urzędnikom publicznym, aktywistom i innym podmiotom;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42.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Komisję, aby skutecznie monitorowała wdrażanie środków zawartych w różnych strategiach na rzecz równości, takich jak unijna strategia na rzecz równości osób LGBTIQ+ na lata 2020-2025, unijna strategia na rzecz równouprawnienia płci na lata 2020-2025, strategia na rzecz równości i integracji Romów oraz unijny plan działania przeciwko rasizmowi na lata 2020-2025; wzywa państwa członkowskie do szybkiego opracowania i wdrożenia krajowych planów działania przeciwko rasizmowi;</w:t>
      </w:r>
    </w:p>
    <w:p w:rsidR="00F43499" w:rsidRPr="00BE4EF2" w:rsidRDefault="00F43499" w:rsidP="00F43499">
      <w:pPr>
        <w:pStyle w:val="NormalHanging12a"/>
      </w:pPr>
      <w:r w:rsidRPr="00BE4EF2">
        <w:t>43.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stwierdza, że Komisja po raz pierwszy powołała się na odosobnione naruszenie art. 2 TUE, kiedy skierowała do Trybunału Sprawiedliwości węgierską „ustawę o ochronie dzieci”, która miała ukryte cele;</w:t>
      </w:r>
    </w:p>
    <w:p w:rsidR="00F43499" w:rsidRPr="00BE4EF2" w:rsidRDefault="00F43499" w:rsidP="00F43499">
      <w:pPr>
        <w:pStyle w:val="Normal12a24b"/>
        <w:rPr>
          <w:b/>
          <w:i/>
        </w:rPr>
      </w:pPr>
      <w:r w:rsidRPr="00BE4EF2">
        <w:rPr>
          <w:rStyle w:val="Bold"/>
          <w:i/>
        </w:rPr>
        <w:t>Prawa społeczne, gospodarcze i środowiskowe</w:t>
      </w:r>
    </w:p>
    <w:p w:rsidR="00F43499" w:rsidRPr="00BE4EF2" w:rsidRDefault="00F43499" w:rsidP="00F43499">
      <w:pPr>
        <w:pStyle w:val="NormalHanging12a"/>
      </w:pPr>
      <w:r w:rsidRPr="00BE4EF2">
        <w:t>44.</w:t>
      </w:r>
      <w:r w:rsidRPr="00BE4EF2">
        <w:tab/>
      </w:r>
      <w:proofErr w:type="gramStart"/>
      <w:r w:rsidRPr="00BE4EF2">
        <w:t>uznaje</w:t>
      </w:r>
      <w:proofErr w:type="gramEnd"/>
      <w:r w:rsidRPr="00BE4EF2">
        <w:t xml:space="preserve">, że ubóstwo stanowi kolejną formę dyskryminacji, która prowadzi do naruszenia praw podstawowych i nierówności w dostępie do towarów i usług; podkreśla szczególną podatność dzieci na zagrożenia oraz wpływ, jaki ubóstwo wywiera na nie oraz na ich rozwój fizyczny i psychiczny; wzywa Komisję, Radę i państwa członkowskie, aby opracowały strategie polityczne mające na celu ograniczenie ubóstwa i wykluczenia społecznego, z uwzględnieniem podejścia przekrojowego i przy zwróceniu szczególnej uwago na osoby znajdujące się w trudnej sytuacji; z zadowoleniem przyjmuje zatwierdzenie europejskiej gwarancji dla dzieci, lecz uważa, że potrzebne są dalsze wysiłki, w szczególności w dziedzinie ochrony socjalnej; wzywa państwa członkowskie do </w:t>
      </w:r>
      <w:proofErr w:type="gramStart"/>
      <w:r w:rsidRPr="00BE4EF2">
        <w:t>zagwarantowania</w:t>
      </w:r>
      <w:proofErr w:type="gramEnd"/>
      <w:r w:rsidRPr="00BE4EF2">
        <w:t xml:space="preserve"> równego dostępu i równych szans w zakresie wysokiej jakości kształcenia i zatrudnienia, ponieważ odgrywają one kluczową rolę w zmniejszaniu nierówności i wydźwignięciu ludzi z ubóstwa;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45.</w:t>
      </w:r>
      <w:r w:rsidRPr="00BE4EF2">
        <w:tab/>
      </w:r>
      <w:proofErr w:type="gramStart"/>
      <w:r w:rsidRPr="00BE4EF2">
        <w:t>jest</w:t>
      </w:r>
      <w:proofErr w:type="gramEnd"/>
      <w:r w:rsidRPr="00BE4EF2">
        <w:t xml:space="preserve"> głęboko zaniepokojony nasilaniem się ubóstwa, nierówności i wykluczenia społecznego w UE; wzywa państwa członkowskie, aby rozwiązały problem ubóstwa menstruacyjnego oraz by zniosły podatek VAT na środki higieny osobistej; podkreśla, </w:t>
      </w:r>
      <w:r w:rsidRPr="00BE4EF2">
        <w:lastRenderedPageBreak/>
        <w:t>że długoterminowe konsekwencje gospodarcze pandemii COVID-19 oraz wzrost cen żywności i energii poważnie wpłynęły na prawa osób o niskich dochodach lub żyjących w ubóstwie, w tym na prawo do odpowiedniego poziomu życia, do żywności, zdrowia, mieszkania oraz zabezpieczenia społecznego; wzywa Komisję i Radę, aby opracowały makroekonomiczne strategie polityczne kierujące się nie tylko wzrostem gospodarczym, lecz także standardami społecznymi, i przypomina o znaczeniu norm społecznych w europejskim semestrze;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46.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zalecenie Rady z dnia 30 stycznia 2023 r. w sprawie odpowiedniego dochodu minimalnego</w:t>
      </w:r>
      <w:r w:rsidRPr="00BE4EF2">
        <w:rPr>
          <w:vertAlign w:val="superscript"/>
        </w:rPr>
        <w:footnoteReference w:id="50"/>
      </w:r>
      <w:r w:rsidRPr="00BE4EF2">
        <w:t xml:space="preserve"> zapewniającego aktywne włączenie jako krok naprzód we wdrażaniu zasady 14. Europejskiego filaru praw socjalnych; ubolewa jednak nad brakiem konkretnych środków mających na celu przezwyciężenie strukturalnej dyskryminacji wobec słabszych grup społecznych; wzywa państwa członkowskie, aby gromadziły zdezagregowane dane na temat dochodu minimalnego w odniesieniu do tych grup;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47.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 xml:space="preserve">, że cyfryzacja to proces przekrojowy, który wpływa na dostęp do wszystkich usług, w szczególności opieki zdrowotnej, oraz na korzystanie z praw podstawowych; podkreśla, że ubóstwo cyfrowe w UE powinno być monitorowane i oceniane w odniesieniu do dostępu do podstawowych usług i praw podstawowych, w tym dla osób starszych, osób mieszkających na obszarach oddalonych, osób żyjących w sytuacji bezdomności oraz Romów; przypomina, że na mocy Konwencji o prawach osób niepełnosprawnych na państwach członkowskich spoczywa obowiązek zapewnienia osobom z niepełnosprawnościami pełnego dostępu do społeczeństwa; przypomina, że uzależnienia cyfrowe stanowią problem zdrowia publicznego, który w szczególności dotyka nieletnich oraz ich integralności fizycznej </w:t>
      </w:r>
      <w:proofErr w:type="gramStart"/>
      <w:r w:rsidRPr="00BE4EF2">
        <w:t>i</w:t>
      </w:r>
      <w:proofErr w:type="gramEnd"/>
      <w:r w:rsidRPr="00BE4EF2">
        <w:t xml:space="preserve"> psychicznej;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48.</w:t>
      </w:r>
      <w:r w:rsidRPr="00BE4EF2">
        <w:tab/>
      </w:r>
      <w:proofErr w:type="gramStart"/>
      <w:r w:rsidRPr="00BE4EF2">
        <w:t>zauważa</w:t>
      </w:r>
      <w:proofErr w:type="gramEnd"/>
      <w:r w:rsidRPr="00BE4EF2">
        <w:t>, że mieszkanie nie jest towarem, lecz koniecznością i warunkiem wstępnym pełnego uczestnictwa w życiu społecznym; wzywa państwa członkowskie do zwiększenia inwestycji w mieszkalnictwo socjalne i przystępne cenowo, aby wyeliminować nadmierne koszty mieszkaniowe, w szczególności wśród grup znajdujących się w niekorzystnej sytuacji i słabszych, oraz aby uniknąć konkurencji między tymi grupami;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49.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uznanie powszechnego prawa dostępu do zdrowego i zrównoważonego środowiska przez Radę Praw Człowieka ONZ w dniu 8 października 2021 r.; podkreśla, że szkody w środowisku oraz brak przekazywania przez niektóre organy publiczne informacji na temat poważnego ryzyka środowiskowego, na jakie narażeni są ludzie, mogą wiązać się z wysoce szkodliwymi skutkami dla ludzi; przypomina o potrzebie pełnego dostosowania unijnych norm jakości powietrza do najnowszych wytycznych Światowej Organizacji Zdrowia do 2030 r.;</w:t>
      </w:r>
    </w:p>
    <w:p w:rsidR="00F43499" w:rsidRPr="00BE4EF2" w:rsidRDefault="00F43499" w:rsidP="00F43499">
      <w:pPr>
        <w:pStyle w:val="Normal12a24b"/>
        <w:rPr>
          <w:i/>
        </w:rPr>
      </w:pPr>
      <w:r w:rsidRPr="00BE4EF2">
        <w:rPr>
          <w:rStyle w:val="Bold"/>
          <w:i/>
        </w:rPr>
        <w:t>Instytucjonalne gwarancje praw podstawowych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50.</w:t>
      </w:r>
      <w:r w:rsidRPr="00BE4EF2">
        <w:tab/>
      </w:r>
      <w:proofErr w:type="gramStart"/>
      <w:r w:rsidRPr="00BE4EF2">
        <w:t>z</w:t>
      </w:r>
      <w:proofErr w:type="gramEnd"/>
      <w:r w:rsidRPr="00BE4EF2">
        <w:t xml:space="preserve"> zadowoleniem przyjmuje postępy poczynione od czasu wznowienia negocjacji w sprawie przystąpienia UE do EKPC w czerwcu 2020 r. oraz wstępne porozumienie w sprawie projektu zmienionych dokumentów przystąpienia osiągnięte w marcu 2023 r.; apeluje do Komisji i Rady, aby jak najszybciej rozwiązały wciąż nierozstrzygniętą </w:t>
      </w:r>
      <w:r w:rsidRPr="00BE4EF2">
        <w:lastRenderedPageBreak/>
        <w:t>kwestię sytuacji aktów prawnych UE w dziedzinie wspólnej polityki zagranicznej i bezpieczeństwa w celu zakończenia procesu przystąpienia;</w:t>
      </w:r>
    </w:p>
    <w:p w:rsidR="00F43499" w:rsidRPr="00BE4EF2" w:rsidRDefault="00F43499" w:rsidP="00F43499">
      <w:pPr>
        <w:pStyle w:val="NormalHanging12a"/>
      </w:pPr>
      <w:r w:rsidRPr="00BE4EF2">
        <w:t>51.</w:t>
      </w:r>
      <w:r w:rsidRPr="00BE4EF2">
        <w:tab/>
      </w:r>
      <w:proofErr w:type="gramStart"/>
      <w:r w:rsidRPr="00BE4EF2">
        <w:t>popiera</w:t>
      </w:r>
      <w:proofErr w:type="gramEnd"/>
      <w:r w:rsidRPr="00BE4EF2">
        <w:t xml:space="preserve"> prace Agencji Praw Podstawowych Unii Europejskiej nad analizą danych w celu dokumentowania dyskryminacji i z zadowoleniem przyjmuje dalsze postępy w tej dziedzinie; z zadowoleniem przyjmuje wnioski Komisji dotyczące dwóch dyrektyw w sprawie norm dla organów ds. równości, które to dyrektywy mają zapewnić wdrażanie i egzekwowanie unijnych przepisów antydyskryminacyjnych; wzywa organy krajowe współpracujące z FRA, aby dostarczały bezstronne dane; wzywa FRA, aby konsultowała się z dodatkowymi źródłami w przypadku utrzymujących się poważnych obaw co do jakości danych;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52.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>, że ważne jest wspieranie i umacnianie współpracy między instytucjami i państwami członkowskimi UE, OLAF i EPPO; wzywa Komisję, aby przedstawiła sprawozdanie, w którym oceni możliwość i sposoby rozszerzenia uprawnień Prokuratury Europejskiej, zgodnie z art. 86 TFUE, o poważne przestępstwa przeciwko środowisku, które szkodzą interesom Unii lub wpływają na spójne stosowanie polityk UE związanych z ochroną środowiska;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t>53.</w:t>
      </w:r>
      <w:r w:rsidRPr="00BE4EF2">
        <w:tab/>
      </w:r>
      <w:proofErr w:type="gramStart"/>
      <w:r w:rsidRPr="00BE4EF2">
        <w:t>wzywa</w:t>
      </w:r>
      <w:proofErr w:type="gramEnd"/>
      <w:r w:rsidRPr="00BE4EF2">
        <w:t xml:space="preserve"> do ustanowienia FRA jako niezależnego organu ds. praw człowieka, na wzór krajowych instytucji ds. praw człowieka i zgodnie z zasadami paryskimi Zgromadzenia Ogólnego ONZ z 1993 r., w celu ochrony i promowania polityki i praktyk Karty ze strony instytucji, organów, urzędów i agencji Unii, a także ze strony państw członkowskich podczas wdrażania prawa UE; uważa, że wymaga to podstawy prawnej w traktatach, by powołać organ UE ds. praw podstawowych oraz zagwarantować jego niezależność i wprowadzić zwykłą procedurę ustawodawczą w celu przyjęcia i zmiany jego mandatu; wzywa do upoważnienia tego nowego organu do wnoszenia skarg na mocy art. 263 TFUE w związku </w:t>
      </w:r>
      <w:proofErr w:type="gramStart"/>
      <w:r w:rsidRPr="00BE4EF2">
        <w:t>z</w:t>
      </w:r>
      <w:proofErr w:type="gramEnd"/>
      <w:r w:rsidRPr="00BE4EF2">
        <w:t xml:space="preserve"> naruszeniem Karty; wzywa, aby włączono w jego zakres kompetencji uprawnienia do rozpatrywania skarg oraz obowiązkowe zasięganie przez Komisję opinii FRA podczas przygotowywania wniosków dotyczących aktów ustawodawczych lub zaleceń, które mają wpływ na prawa podstawowe;</w:t>
      </w:r>
    </w:p>
    <w:p w:rsidR="00F43499" w:rsidRPr="00BE4EF2" w:rsidRDefault="00F43499" w:rsidP="00F43499">
      <w:pPr>
        <w:pStyle w:val="NormalHanging12a"/>
      </w:pPr>
      <w:r w:rsidRPr="00BE4EF2">
        <w:t>54.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 xml:space="preserve"> o znaczeniu odpowiedniego orzecznictwa Trybunału Sprawiedliwości, które stałoby na straży poszanowania praw podstawowych i doprecyzowałoby zasadę praworządności; wyraża zaniepokojenie przedłużającą się odmową niektórych państw członkowskich wykonania wyroków Trybunału Sprawiedliwości i ETPC dotyczących ich sytuacji krajowej, co przyczynia się do osłabienia praworządności; podkreśla, że niewykonywanie wyroków może prowadzić do sytuacji, w której naruszenia praw człowieka nie spotykają się z reakcją odwoławczą; podkreśla, że pierwszeństwo prawa UE stanowi podstawę jej porządku prawnego; wzywa Komisję, aby zapewniła odpowiednie działania następcze w przypadku niewdrożenia tej zasady;</w:t>
      </w:r>
    </w:p>
    <w:p w:rsidR="00F43499" w:rsidRPr="00BE4EF2" w:rsidRDefault="00F43499" w:rsidP="00F43499">
      <w:pPr>
        <w:pStyle w:val="NormalHanging12a"/>
      </w:pPr>
      <w:r w:rsidRPr="00BE4EF2">
        <w:t>55.</w:t>
      </w:r>
      <w:r w:rsidRPr="00BE4EF2">
        <w:tab/>
      </w:r>
      <w:proofErr w:type="gramStart"/>
      <w:r w:rsidRPr="00BE4EF2">
        <w:t>podkreśla</w:t>
      </w:r>
      <w:proofErr w:type="gramEnd"/>
      <w:r w:rsidRPr="00BE4EF2">
        <w:t xml:space="preserve"> rolę administracji krajowej i lokalnej oraz parlamentów państw członkowskich i organów ścigania w promowaniu i ochronie praw wynikających z Karty;</w:t>
      </w:r>
    </w:p>
    <w:p w:rsidR="00F43499" w:rsidRPr="00BE4EF2" w:rsidRDefault="00F43499" w:rsidP="00F43499">
      <w:pPr>
        <w:pStyle w:val="NormalHanging12a"/>
      </w:pPr>
      <w:r w:rsidRPr="00BE4EF2">
        <w:t>56.</w:t>
      </w:r>
      <w:r w:rsidRPr="00BE4EF2">
        <w:tab/>
      </w:r>
      <w:proofErr w:type="gramStart"/>
      <w:r w:rsidRPr="00BE4EF2">
        <w:t>odnotowuje</w:t>
      </w:r>
      <w:proofErr w:type="gramEnd"/>
      <w:r w:rsidRPr="00BE4EF2">
        <w:t xml:space="preserve"> spostrzeżenie FRA, że państwom członkowskim wydaje się brakować zorganizowanego zaangażowania we wdrażanie strategii Komisji na rzecz wzmocnienia stosowania Karty, takiego jak określenie jasnych celów, kamieni milowych i harmonogramów; wzywa państwa członkowskie do pełnej implementacji strategii;</w:t>
      </w:r>
    </w:p>
    <w:p w:rsidR="00F43499" w:rsidRPr="00BE4EF2" w:rsidRDefault="00F43499" w:rsidP="00F43499">
      <w:pPr>
        <w:pStyle w:val="NormalHanging12a"/>
        <w:rPr>
          <w:szCs w:val="24"/>
        </w:rPr>
      </w:pPr>
      <w:r w:rsidRPr="00BE4EF2">
        <w:lastRenderedPageBreak/>
        <w:t>57.</w:t>
      </w:r>
      <w:r w:rsidRPr="00BE4EF2">
        <w:tab/>
      </w:r>
      <w:proofErr w:type="gramStart"/>
      <w:r w:rsidRPr="00BE4EF2">
        <w:t>przypomina</w:t>
      </w:r>
      <w:proofErr w:type="gramEnd"/>
      <w:r w:rsidRPr="00BE4EF2">
        <w:t>, że prawo do udziału w życiu demokratycznym i obowiązek zapewnienia, aby decyzje były podejmowane w sposób jak najbardziej otwarty i jak najbliżej obywateli, są chronione na mocy traktatów, a w szczególności art. 10 TUE; wzywa instytucje UE i państwa członkowskie, aby zapewniły wystarczająco dużo czasu na konsultacje społeczne, przejrzystość i proaktywne publikowanie dokumentów publicznych;</w:t>
      </w:r>
    </w:p>
    <w:p w:rsidR="00F43499" w:rsidRPr="00BE4EF2" w:rsidRDefault="00F43499" w:rsidP="00F43499">
      <w:pPr>
        <w:pStyle w:val="NormalHanging12a"/>
        <w:jc w:val="center"/>
      </w:pPr>
      <w:r w:rsidRPr="00BE4EF2">
        <w:t>°</w:t>
      </w:r>
    </w:p>
    <w:p w:rsidR="00F43499" w:rsidRPr="00BE4EF2" w:rsidRDefault="00F43499" w:rsidP="00F43499">
      <w:pPr>
        <w:pStyle w:val="NormalHanging12a"/>
        <w:jc w:val="center"/>
      </w:pPr>
      <w:r w:rsidRPr="00BE4EF2">
        <w:t>°</w:t>
      </w:r>
      <w:r w:rsidRPr="00BE4EF2">
        <w:tab/>
        <w:t>°</w:t>
      </w:r>
    </w:p>
    <w:p w:rsidR="00F43499" w:rsidRPr="00BE4EF2" w:rsidRDefault="00F43499" w:rsidP="00F43499">
      <w:pPr>
        <w:pStyle w:val="NormalHanging12a"/>
      </w:pPr>
      <w:r w:rsidRPr="00BE4EF2">
        <w:t>58.</w:t>
      </w:r>
      <w:r w:rsidRPr="00BE4EF2">
        <w:tab/>
      </w:r>
      <w:proofErr w:type="gramStart"/>
      <w:r w:rsidRPr="00BE4EF2">
        <w:t>zobowiązuje</w:t>
      </w:r>
      <w:proofErr w:type="gramEnd"/>
      <w:r w:rsidRPr="00BE4EF2">
        <w:t xml:space="preserve"> swoją przewodniczącą do przekazania niniejszej rezolucji Radzie i Komisji.</w:t>
      </w:r>
    </w:p>
    <w:p w:rsidR="00E365E1" w:rsidRPr="00BE4EF2" w:rsidRDefault="00E365E1" w:rsidP="005D517B">
      <w:bookmarkStart w:id="9" w:name="TextBodyEnd"/>
      <w:bookmarkEnd w:id="9"/>
    </w:p>
    <w:sectPr w:rsidR="00E365E1" w:rsidRPr="00BE4EF2" w:rsidSect="00BE4E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17B" w:rsidRPr="00BE4EF2" w:rsidRDefault="005D517B">
      <w:r w:rsidRPr="00BE4EF2">
        <w:separator/>
      </w:r>
    </w:p>
  </w:endnote>
  <w:endnote w:type="continuationSeparator" w:id="0">
    <w:p w:rsidR="005D517B" w:rsidRPr="00BE4EF2" w:rsidRDefault="005D517B">
      <w:r w:rsidRPr="00BE4E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17B" w:rsidRPr="00BE4EF2" w:rsidRDefault="005D517B">
      <w:r w:rsidRPr="00BE4EF2">
        <w:separator/>
      </w:r>
    </w:p>
  </w:footnote>
  <w:footnote w:type="continuationSeparator" w:id="0">
    <w:p w:rsidR="005D517B" w:rsidRPr="00BE4EF2" w:rsidRDefault="005D517B">
      <w:r w:rsidRPr="00BE4EF2">
        <w:continuationSeparator/>
      </w:r>
    </w:p>
  </w:footnote>
  <w:footnote w:id="1">
    <w:p w:rsidR="00F43499" w:rsidRPr="00BE4EF2" w:rsidRDefault="00F43499" w:rsidP="00BE4EF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Między innymi: </w:t>
      </w:r>
      <w:r w:rsidRPr="00BE4EF2">
        <w:rPr>
          <w:i/>
          <w:sz w:val="24"/>
          <w:lang w:val="pl-PL"/>
        </w:rPr>
        <w:t>Komisja</w:t>
      </w:r>
      <w:r w:rsidRPr="00BE4EF2">
        <w:rPr>
          <w:sz w:val="24"/>
          <w:lang w:val="pl-PL"/>
        </w:rPr>
        <w:t xml:space="preserve"> przeciwko </w:t>
      </w:r>
      <w:r w:rsidRPr="00BE4EF2">
        <w:rPr>
          <w:i/>
          <w:sz w:val="24"/>
          <w:lang w:val="pl-PL"/>
        </w:rPr>
        <w:t>Węgrom</w:t>
      </w:r>
      <w:r w:rsidRPr="00BE4EF2">
        <w:rPr>
          <w:sz w:val="24"/>
          <w:lang w:val="pl-PL"/>
        </w:rPr>
        <w:t xml:space="preserve"> (Przejrzystość stowarzyszeń), sprawa C-78/18, ECLI</w:t>
      </w:r>
      <w:proofErr w:type="gramStart"/>
      <w:r w:rsidRPr="00BE4EF2">
        <w:rPr>
          <w:sz w:val="24"/>
          <w:lang w:val="pl-PL"/>
        </w:rPr>
        <w:t>:EU</w:t>
      </w:r>
      <w:proofErr w:type="gramEnd"/>
      <w:r w:rsidRPr="00BE4EF2">
        <w:rPr>
          <w:sz w:val="24"/>
          <w:lang w:val="pl-PL"/>
        </w:rPr>
        <w:t>:C:2020:476;</w:t>
      </w:r>
    </w:p>
    <w:p w:rsidR="00F43499" w:rsidRPr="00BE4EF2" w:rsidRDefault="00BE4EF2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sz w:val="24"/>
          <w:lang w:val="pl-PL"/>
        </w:rPr>
        <w:t xml:space="preserve"> </w:t>
      </w:r>
      <w:r w:rsidRPr="00BE4EF2">
        <w:rPr>
          <w:sz w:val="24"/>
          <w:lang w:val="pl-PL"/>
        </w:rPr>
        <w:tab/>
      </w:r>
      <w:r w:rsidR="00F43499" w:rsidRPr="00BE4EF2">
        <w:rPr>
          <w:sz w:val="24"/>
          <w:lang w:val="pl-PL"/>
        </w:rPr>
        <w:t xml:space="preserve">Wyrok Trybunału (druga izba) z dnia 6 października 2022 r., </w:t>
      </w:r>
      <w:r w:rsidR="00F43499" w:rsidRPr="00BE4EF2">
        <w:rPr>
          <w:i/>
          <w:sz w:val="24"/>
          <w:lang w:val="pl-PL"/>
        </w:rPr>
        <w:t>I. L</w:t>
      </w:r>
      <w:r w:rsidR="00F43499" w:rsidRPr="00BE4EF2">
        <w:rPr>
          <w:sz w:val="24"/>
          <w:lang w:val="pl-PL"/>
        </w:rPr>
        <w:t xml:space="preserve">. przeciwko </w:t>
      </w:r>
      <w:r w:rsidR="00F43499" w:rsidRPr="00BE4EF2">
        <w:rPr>
          <w:i/>
          <w:sz w:val="24"/>
          <w:lang w:val="pl-PL"/>
        </w:rPr>
        <w:t>Politsei- ja Piirivalveamet</w:t>
      </w:r>
      <w:r w:rsidR="00F43499" w:rsidRPr="00BE4EF2">
        <w:rPr>
          <w:sz w:val="24"/>
          <w:lang w:val="pl-PL"/>
        </w:rPr>
        <w:t>, sprawa C-241/21, ECLI</w:t>
      </w:r>
      <w:proofErr w:type="gramStart"/>
      <w:r w:rsidR="00F43499" w:rsidRPr="00BE4EF2">
        <w:rPr>
          <w:sz w:val="24"/>
          <w:lang w:val="pl-PL"/>
        </w:rPr>
        <w:t>:EU</w:t>
      </w:r>
      <w:proofErr w:type="gramEnd"/>
      <w:r w:rsidR="00F43499" w:rsidRPr="00BE4EF2">
        <w:rPr>
          <w:sz w:val="24"/>
          <w:lang w:val="pl-PL"/>
        </w:rPr>
        <w:t>:C:2022:753.</w:t>
      </w:r>
    </w:p>
  </w:footnote>
  <w:footnote w:id="2">
    <w:p w:rsidR="00F43499" w:rsidRPr="00BE4EF2" w:rsidRDefault="00F43499" w:rsidP="00BE4EF2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433 I z 22.12.2020,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</w:t>
      </w:r>
      <w:hyperlink r:id="rId1" w:history="1">
        <w:r w:rsidRPr="00BE4EF2">
          <w:rPr>
            <w:rStyle w:val="Hyperlink"/>
            <w:sz w:val="24"/>
            <w:lang w:val="pl-PL"/>
          </w:rPr>
          <w:t>.</w:t>
        </w:r>
      </w:hyperlink>
    </w:p>
  </w:footnote>
  <w:footnote w:id="3">
    <w:p w:rsidR="00F43499" w:rsidRPr="00BE4EF2" w:rsidRDefault="00F43499" w:rsidP="00BE4EF2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156 z 5.5.2021,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</w:t>
      </w:r>
      <w:hyperlink r:id="rId2" w:history="1">
        <w:r w:rsidRPr="00BE4EF2">
          <w:rPr>
            <w:rStyle w:val="Hyperlink"/>
            <w:sz w:val="24"/>
            <w:lang w:val="pl-PL"/>
          </w:rPr>
          <w:t>.</w:t>
        </w:r>
      </w:hyperlink>
    </w:p>
  </w:footnote>
  <w:footnote w:id="4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283 z 31.10.2017,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1.</w:t>
      </w:r>
    </w:p>
  </w:footnote>
  <w:footnote w:id="5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119 z 4.5.2016,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1.</w:t>
      </w:r>
    </w:p>
  </w:footnote>
  <w:footnote w:id="6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198 z 28.7.2017,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29.</w:t>
      </w:r>
    </w:p>
  </w:footnote>
  <w:footnote w:id="7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328 z 6.12.2008,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55.</w:t>
      </w:r>
    </w:p>
  </w:footnote>
  <w:footnote w:id="8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180 z 19.7.2000,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22.</w:t>
      </w:r>
    </w:p>
  </w:footnote>
  <w:footnote w:id="9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 C 93 z 19.3.2021,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1.</w:t>
      </w:r>
    </w:p>
  </w:footnote>
  <w:footnote w:id="10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331 z 20.9.2021,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8.</w:t>
      </w:r>
    </w:p>
  </w:footnote>
  <w:footnote w:id="11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86 z 24.3.2023,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44.</w:t>
      </w:r>
    </w:p>
  </w:footnote>
  <w:footnote w:id="12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245 z 22.9.2022,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56.</w:t>
      </w:r>
    </w:p>
  </w:footnote>
  <w:footnote w:id="13">
    <w:p w:rsidR="00F43499" w:rsidRPr="00BE4EF2" w:rsidRDefault="00F43499" w:rsidP="00BE4EF2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Rada Europy, „</w:t>
      </w:r>
      <w:hyperlink r:id="rId3" w:history="1">
        <w:r w:rsidRPr="00BE4EF2">
          <w:rPr>
            <w:rStyle w:val="Hyperlink"/>
            <w:sz w:val="24"/>
            <w:lang w:val="pl-PL"/>
          </w:rPr>
          <w:t>Obrońcy praw człowieka na obszarze właściwości Rady Europy w czasach kryzysów</w:t>
        </w:r>
      </w:hyperlink>
      <w:r w:rsidRPr="00BE4EF2">
        <w:rPr>
          <w:sz w:val="24"/>
          <w:lang w:val="pl-PL"/>
        </w:rPr>
        <w:t>”, 23 marca 2023 r</w:t>
      </w:r>
      <w:hyperlink r:id="rId4" w:history="1">
        <w:r w:rsidRPr="00BE4EF2">
          <w:rPr>
            <w:rStyle w:val="Hyperlink"/>
            <w:sz w:val="24"/>
            <w:lang w:val="pl-PL"/>
          </w:rPr>
          <w:t>.</w:t>
        </w:r>
      </w:hyperlink>
    </w:p>
  </w:footnote>
  <w:footnote w:id="14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 C 363 z 28.10.2020,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13.</w:t>
      </w:r>
    </w:p>
  </w:footnote>
  <w:footnote w:id="15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 C 411 z 27.11.2020,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38.</w:t>
      </w:r>
    </w:p>
  </w:footnote>
  <w:footnote w:id="16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205 z 20.5.2022,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2.</w:t>
      </w:r>
    </w:p>
  </w:footnote>
  <w:footnote w:id="17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251 z 30.6.2022,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48.</w:t>
      </w:r>
    </w:p>
  </w:footnote>
  <w:footnote w:id="18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342 z 6.9.2022,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225.</w:t>
      </w:r>
    </w:p>
  </w:footnote>
  <w:footnote w:id="19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347 z 9.9.2022,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2.</w:t>
      </w:r>
    </w:p>
  </w:footnote>
  <w:footnote w:id="20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347 z 9.9.2022,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168.</w:t>
      </w:r>
    </w:p>
  </w:footnote>
  <w:footnote w:id="21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493 z 27.12.2022,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108.</w:t>
      </w:r>
    </w:p>
  </w:footnote>
  <w:footnote w:id="22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47 z 7.2.2023,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184.</w:t>
      </w:r>
    </w:p>
  </w:footnote>
  <w:footnote w:id="23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125 z 5.4.2023,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463.</w:t>
      </w:r>
    </w:p>
  </w:footnote>
  <w:footnote w:id="24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132 z 14.4.2023,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29.</w:t>
      </w:r>
    </w:p>
  </w:footnote>
  <w:footnote w:id="25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177 z 17.5.2023,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109.</w:t>
      </w:r>
    </w:p>
  </w:footnote>
  <w:footnote w:id="26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47 z 7.2.2023,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268.</w:t>
      </w:r>
    </w:p>
  </w:footnote>
  <w:footnote w:id="27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465 z 6.12.2022,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33.</w:t>
      </w:r>
    </w:p>
  </w:footnote>
  <w:footnote w:id="28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465 z 6.12.2022,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147.</w:t>
      </w:r>
    </w:p>
  </w:footnote>
  <w:footnote w:id="29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L 45 z 14.2.2023,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13.</w:t>
      </w:r>
      <w:r w:rsidRPr="00BE4EF2">
        <w:rPr>
          <w:b/>
          <w:i/>
          <w:sz w:val="24"/>
          <w:lang w:val="pl-PL"/>
        </w:rPr>
        <w:t xml:space="preserve"> </w:t>
      </w:r>
    </w:p>
  </w:footnote>
  <w:footnote w:id="30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149 z 28.4.2023,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22.</w:t>
      </w:r>
      <w:r w:rsidRPr="00BE4EF2">
        <w:rPr>
          <w:b/>
          <w:i/>
          <w:sz w:val="24"/>
          <w:lang w:val="pl-PL"/>
        </w:rPr>
        <w:t xml:space="preserve"> </w:t>
      </w:r>
    </w:p>
  </w:footnote>
  <w:footnote w:id="31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161 z 5.5.2023,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10.</w:t>
      </w:r>
    </w:p>
  </w:footnote>
  <w:footnote w:id="32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Dz.U. C 177 z 17.5.2023,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13.</w:t>
      </w:r>
      <w:r w:rsidRPr="00BE4EF2">
        <w:rPr>
          <w:b/>
          <w:i/>
          <w:sz w:val="24"/>
          <w:lang w:val="pl-PL"/>
        </w:rPr>
        <w:t xml:space="preserve"> </w:t>
      </w:r>
    </w:p>
  </w:footnote>
  <w:footnote w:id="33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="00EC1A67" w:rsidRPr="00BE4EF2">
        <w:rPr>
          <w:sz w:val="24"/>
          <w:lang w:val="pl-PL"/>
        </w:rPr>
        <w:t xml:space="preserve">Teksty przyjęte, </w:t>
      </w:r>
      <w:r w:rsidRPr="00BE4EF2">
        <w:rPr>
          <w:sz w:val="24"/>
          <w:lang w:val="pl-PL"/>
        </w:rPr>
        <w:t>P9_TA(2023)0111.</w:t>
      </w:r>
    </w:p>
  </w:footnote>
  <w:footnote w:id="34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Teksty przyjęte, P9_TA(2023)0196.</w:t>
      </w:r>
    </w:p>
  </w:footnote>
  <w:footnote w:id="35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Teksty przyjęte, P9_TA(2023)0204.</w:t>
      </w:r>
    </w:p>
  </w:footnote>
  <w:footnote w:id="36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Teksty przyjęte, P9_TA(2023)0216.</w:t>
      </w:r>
    </w:p>
  </w:footnote>
  <w:footnote w:id="37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Teksty przyjęte, P9_TA(2023)0295.</w:t>
      </w:r>
    </w:p>
  </w:footnote>
  <w:footnote w:id="38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Teksty przyjęte, P9_TA(2023)0342.</w:t>
      </w:r>
    </w:p>
  </w:footnote>
  <w:footnote w:id="39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i/>
          <w:sz w:val="24"/>
          <w:lang w:val="pl-PL"/>
        </w:rPr>
        <w:t xml:space="preserve"> </w:t>
      </w:r>
      <w:r w:rsidR="00BE4EF2" w:rsidRPr="00BE4EF2">
        <w:rPr>
          <w:i/>
          <w:sz w:val="24"/>
          <w:lang w:val="pl-PL"/>
        </w:rPr>
        <w:tab/>
      </w:r>
      <w:r w:rsidRPr="00BE4EF2">
        <w:rPr>
          <w:i/>
          <w:sz w:val="24"/>
          <w:lang w:val="pl-PL"/>
        </w:rPr>
        <w:t>Komisja Europejska</w:t>
      </w:r>
      <w:r w:rsidRPr="00BE4EF2">
        <w:rPr>
          <w:sz w:val="24"/>
          <w:lang w:val="pl-PL"/>
        </w:rPr>
        <w:t xml:space="preserve"> przeciwko </w:t>
      </w:r>
      <w:r w:rsidRPr="00BE4EF2">
        <w:rPr>
          <w:i/>
          <w:sz w:val="24"/>
          <w:lang w:val="pl-PL"/>
        </w:rPr>
        <w:t>Węgrom</w:t>
      </w:r>
      <w:r w:rsidRPr="00BE4EF2">
        <w:rPr>
          <w:sz w:val="24"/>
          <w:lang w:val="pl-PL"/>
        </w:rPr>
        <w:t xml:space="preserve"> (Przejrzystość stowarzyszeń), sprawa C-78/18, ECLI</w:t>
      </w:r>
      <w:proofErr w:type="gramStart"/>
      <w:r w:rsidRPr="00BE4EF2">
        <w:rPr>
          <w:sz w:val="24"/>
          <w:lang w:val="pl-PL"/>
        </w:rPr>
        <w:t>:EU</w:t>
      </w:r>
      <w:proofErr w:type="gramEnd"/>
      <w:r w:rsidRPr="00BE4EF2">
        <w:rPr>
          <w:sz w:val="24"/>
          <w:lang w:val="pl-PL"/>
        </w:rPr>
        <w:t>:C:2020:476.</w:t>
      </w:r>
    </w:p>
  </w:footnote>
  <w:footnote w:id="40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Udzielanie pomocy każdej osobie na morzu znajdującej się w niebezpieczeństwie jest obowiązkiem prawnym państw członkowskich ustanowionym w międzynarodowym prawie zwyczajowym i prawie umów międzynarodowych (Międzynarodowa konwencja o bezpieczeństwie życia na morzu – konwencja SOLAS z 1974 r.; Konwencja Narodów Zjednoczonych o prawie morza – UNCLOS z 1979 r.; Międzynarodowa konwencja o poszukiwaniu i ratownictwie morskim – konwencja SAR z 1979 r.) oraz prawo UE.</w:t>
      </w:r>
    </w:p>
  </w:footnote>
  <w:footnote w:id="41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Wyrok Trybunału (druga izba) z 6 października 2022 r., </w:t>
      </w:r>
      <w:r w:rsidRPr="00BE4EF2">
        <w:rPr>
          <w:i/>
          <w:sz w:val="24"/>
          <w:lang w:val="pl-PL"/>
        </w:rPr>
        <w:t>I. L.</w:t>
      </w:r>
      <w:r w:rsidRPr="00BE4EF2">
        <w:rPr>
          <w:sz w:val="24"/>
          <w:lang w:val="pl-PL"/>
        </w:rPr>
        <w:t xml:space="preserve"> przeciwko </w:t>
      </w:r>
      <w:r w:rsidRPr="00BE4EF2">
        <w:rPr>
          <w:i/>
          <w:sz w:val="24"/>
          <w:lang w:val="pl-PL"/>
        </w:rPr>
        <w:t>Politsei- ja Piirivalveamet</w:t>
      </w:r>
      <w:r w:rsidRPr="00BE4EF2">
        <w:rPr>
          <w:sz w:val="24"/>
          <w:lang w:val="pl-PL"/>
        </w:rPr>
        <w:t>, sprawa C-241/21, ECLI</w:t>
      </w:r>
      <w:proofErr w:type="gramStart"/>
      <w:r w:rsidRPr="00BE4EF2">
        <w:rPr>
          <w:sz w:val="24"/>
          <w:lang w:val="pl-PL"/>
        </w:rPr>
        <w:t>:EU</w:t>
      </w:r>
      <w:proofErr w:type="gramEnd"/>
      <w:r w:rsidRPr="00BE4EF2">
        <w:rPr>
          <w:sz w:val="24"/>
          <w:lang w:val="pl-PL"/>
        </w:rPr>
        <w:t>:C:2022:753.</w:t>
      </w:r>
    </w:p>
  </w:footnote>
  <w:footnote w:id="42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Sprawozdanie dotyczące praw podstawowych – 2023 r., Agencja Praw Podstawowych Unii Europejskiej, s. 148, 8 czerwca 2023 r.</w:t>
      </w:r>
    </w:p>
  </w:footnote>
  <w:footnote w:id="43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Sprawozdanie dotyczące praw podstawowych – 2023 r., Agencja Praw Podstawowych Unii Europejskiej, s. 148, 8 czerwca 2023 r.</w:t>
      </w:r>
    </w:p>
  </w:footnote>
  <w:footnote w:id="44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Termin „społeczności romskie” obejmuje społeczności wywodzące się z różnych grup, takich jak: Romowie, Kalè, Manusze, Aszkali, Trawelerzy, Lowarzy, Rissende, Bojasze, Domowie, Kełderasze, Romaniczale i Sinti. Nie istnieje powszechnie uzgodniona terminologia, gdyż niektóre społeczności preferują termin „ludność romska”.</w:t>
      </w:r>
    </w:p>
  </w:footnote>
  <w:footnote w:id="45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Biuro Analiz Parlamentu Europejskiego, zwięzły briefing pt. „Zwalczanie nawoływania do nienawiści i przestępstw z nienawiści w UE”, czerwiec 2022.</w:t>
      </w:r>
    </w:p>
  </w:footnote>
  <w:footnote w:id="46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Europejski Rzecznik Praw Obywatelskich, </w:t>
      </w:r>
      <w:hyperlink r:id="rId5" w:history="1">
        <w:r w:rsidRPr="00BE4EF2">
          <w:rPr>
            <w:rStyle w:val="Hyperlink"/>
            <w:sz w:val="24"/>
            <w:lang w:val="pl-PL"/>
          </w:rPr>
          <w:t>Zalecenie w sprawie odmowy przez Komisję Europejską publicznego dostępu do wiadomości tekstowych wymienianych między przewodniczącą Komisji a dyrektorem generalnym koncernu farmaceutycznego na temat zakupu szczepionek przeciwko COVID-19 (sprawa 1316/2021/MIG)</w:t>
        </w:r>
      </w:hyperlink>
      <w:r w:rsidRPr="00BE4EF2">
        <w:rPr>
          <w:sz w:val="24"/>
          <w:lang w:val="pl-PL"/>
        </w:rPr>
        <w:t>.</w:t>
      </w:r>
    </w:p>
  </w:footnote>
  <w:footnote w:id="47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Dyrektywa Parlamentu Europejskiego i Rady (UE) 2019/1937 z dnia 23 października 2019 r. w sprawie ochrony osób zgłaszających naruszenia prawa Unii, Dz.U. L 305 z 26.11.2019,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 17.</w:t>
      </w:r>
    </w:p>
  </w:footnote>
  <w:footnote w:id="48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Dyrektywa Rady 2001/55/WE z dnia 20 lipca 2001 r. w sprawie minimalnych standardów przyznawania tymczasowej ochrony na wypadek masowego napływu wysiedleńców oraz środków wspierających równowagę wysiłków między państwami członkowskimi związanych z przyjęciem takich osób wraz z jego następstwami, Dz.U. L 212 z 7.8.2001,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12.</w:t>
      </w:r>
    </w:p>
  </w:footnote>
  <w:footnote w:id="49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>Rada Europy, „‘</w:t>
      </w:r>
      <w:hyperlink r:id="rId6" w:history="1">
        <w:r w:rsidRPr="00BE4EF2">
          <w:rPr>
            <w:rStyle w:val="Hyperlink"/>
            <w:sz w:val="24"/>
            <w:lang w:val="pl-PL"/>
          </w:rPr>
          <w:t>Recommendation CM/Rec</w:t>
        </w:r>
        <w:proofErr w:type="gramStart"/>
        <w:r w:rsidRPr="00BE4EF2">
          <w:rPr>
            <w:rStyle w:val="Hyperlink"/>
            <w:sz w:val="24"/>
            <w:lang w:val="pl-PL"/>
          </w:rPr>
          <w:t>(2022)17 of</w:t>
        </w:r>
        <w:proofErr w:type="gramEnd"/>
        <w:r w:rsidRPr="00BE4EF2">
          <w:rPr>
            <w:rStyle w:val="Hyperlink"/>
            <w:sz w:val="24"/>
            <w:lang w:val="pl-PL"/>
          </w:rPr>
          <w:t xml:space="preserve"> the Committee of Ministers to member States on protecting the rights of migrant, refugee and asylum-seeking women and girls</w:t>
        </w:r>
      </w:hyperlink>
      <w:r w:rsidRPr="00BE4EF2">
        <w:rPr>
          <w:sz w:val="24"/>
          <w:lang w:val="pl-PL"/>
        </w:rPr>
        <w:t>” [Zalecenie CM/Rec(2022)17 Komitetu Ministrów Rady Europy dla państw członkowskich w sprawie ochrony praw migrantek, uchodźczyń oraz kobiet i dziewcząt ubiegających się o azyl], 20 maja 2022 r.</w:t>
      </w:r>
    </w:p>
  </w:footnote>
  <w:footnote w:id="50">
    <w:p w:rsidR="00F43499" w:rsidRPr="00BE4EF2" w:rsidRDefault="00F43499" w:rsidP="00BE4EF2">
      <w:pPr>
        <w:pStyle w:val="FootnoteText"/>
        <w:ind w:left="567" w:hanging="567"/>
        <w:rPr>
          <w:sz w:val="24"/>
          <w:lang w:val="pl-PL"/>
        </w:rPr>
      </w:pPr>
      <w:r w:rsidRPr="00BE4EF2">
        <w:rPr>
          <w:rStyle w:val="FootnoteReference"/>
          <w:sz w:val="24"/>
          <w:lang w:val="pl-PL"/>
        </w:rPr>
        <w:footnoteRef/>
      </w:r>
      <w:r w:rsidR="00BE4EF2" w:rsidRPr="00BE4EF2">
        <w:rPr>
          <w:sz w:val="24"/>
          <w:lang w:val="pl-PL"/>
        </w:rPr>
        <w:t xml:space="preserve"> </w:t>
      </w:r>
      <w:r w:rsidR="00BE4EF2" w:rsidRPr="00BE4EF2">
        <w:rPr>
          <w:sz w:val="24"/>
          <w:lang w:val="pl-PL"/>
        </w:rPr>
        <w:tab/>
      </w:r>
      <w:r w:rsidRPr="00BE4EF2">
        <w:rPr>
          <w:sz w:val="24"/>
          <w:lang w:val="pl-PL"/>
        </w:rPr>
        <w:t xml:space="preserve">Zalecenie Rady z dnia 30 stycznia 2023 r. w sprawie odpowiedniego dochodu minimalnego zapewniającego aktywne włączenie, Dz.U. C 41 z 3.2.2023, </w:t>
      </w:r>
      <w:proofErr w:type="gramStart"/>
      <w:r w:rsidRPr="00BE4EF2">
        <w:rPr>
          <w:sz w:val="24"/>
          <w:lang w:val="pl-PL"/>
        </w:rPr>
        <w:t>s</w:t>
      </w:r>
      <w:proofErr w:type="gramEnd"/>
      <w:r w:rsidRPr="00BE4EF2">
        <w:rPr>
          <w:sz w:val="24"/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4E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6/2023"/>
    <w:docVar w:name="dvlangue" w:val="PL"/>
    <w:docVar w:name="dvnumam" w:val="0"/>
    <w:docVar w:name="dvpe" w:val="749.923"/>
    <w:docVar w:name="dvrapporteur" w:val="Sprawozdawca: "/>
    <w:docVar w:name="dvtitre" w:val="Rezolucja Parlamentu Europejskiego z dnia  2024 r. w sprawie sytuacji w zakresie praw podstawowych w Unii Europejskiej – sprawozdanie roczne za lata 2022 i 2023(2023/2028(INI))"/>
  </w:docVars>
  <w:rsids>
    <w:rsidRoot w:val="005D517B"/>
    <w:rsid w:val="00002272"/>
    <w:rsid w:val="0004694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9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17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2E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EF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A67"/>
    <w:rsid w:val="00ED169E"/>
    <w:rsid w:val="00ED4235"/>
    <w:rsid w:val="00F04346"/>
    <w:rsid w:val="00F075DC"/>
    <w:rsid w:val="00F149E9"/>
    <w:rsid w:val="00F434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E4346"/>
  <w15:chartTrackingRefBased/>
  <w15:docId w15:val="{692CF9D6-2065-49A2-B84F-0E9836B8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43499"/>
    <w:rPr>
      <w:b/>
    </w:rPr>
  </w:style>
  <w:style w:type="paragraph" w:customStyle="1" w:styleId="NormalHanging12a">
    <w:name w:val="NormalHanging12a"/>
    <w:basedOn w:val="Normal"/>
    <w:link w:val="NormalHanging12aChar"/>
    <w:rsid w:val="00F43499"/>
    <w:pPr>
      <w:spacing w:after="240"/>
      <w:ind w:left="567" w:hanging="567"/>
    </w:pPr>
  </w:style>
  <w:style w:type="paragraph" w:customStyle="1" w:styleId="EPComma">
    <w:name w:val="EPComma"/>
    <w:basedOn w:val="Normal"/>
    <w:rsid w:val="00F4349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F43499"/>
    <w:rPr>
      <w:color w:val="0563C1" w:themeColor="hyperlink"/>
      <w:u w:val="single"/>
    </w:rPr>
  </w:style>
  <w:style w:type="paragraph" w:customStyle="1" w:styleId="Normal12a24b">
    <w:name w:val="Normal12a24b"/>
    <w:basedOn w:val="Normal"/>
    <w:rsid w:val="00F43499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F43499"/>
    <w:rPr>
      <w:b/>
      <w:bCs w:val="0"/>
    </w:rPr>
  </w:style>
  <w:style w:type="character" w:customStyle="1" w:styleId="Italic">
    <w:name w:val="Italic"/>
    <w:uiPriority w:val="1"/>
    <w:rsid w:val="00F43499"/>
    <w:rPr>
      <w:i/>
      <w:iCs w:val="0"/>
    </w:rPr>
  </w:style>
  <w:style w:type="character" w:customStyle="1" w:styleId="NormalHanging12aChar">
    <w:name w:val="NormalHanging12a Char"/>
    <w:basedOn w:val="DefaultParagraphFont"/>
    <w:link w:val="NormalHanging12a"/>
    <w:rsid w:val="00F4349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m.coe.int/report-on-the-round-table-human-rights-defenders-in-the-council-of-eur/1680aaa813." TargetMode="External"/><Relationship Id="rId2" Type="http://schemas.openxmlformats.org/officeDocument/2006/relationships/hyperlink" Target="file:///\\ipolbrusncf01\userdocs$\Jnwokekilly\Documents\DocEP\TEMP\" TargetMode="External"/><Relationship Id="rId1" Type="http://schemas.openxmlformats.org/officeDocument/2006/relationships/hyperlink" Target="file:///\\ipolbrusncf01\userdocs$\Jnwokekilly\Documents\DocEP\TEMP\" TargetMode="External"/><Relationship Id="rId6" Type="http://schemas.openxmlformats.org/officeDocument/2006/relationships/hyperlink" Target="https://search.coe.int/cm/Pages/result_details.aspx?ObjectId=0900001680a69407" TargetMode="External"/><Relationship Id="rId5" Type="http://schemas.openxmlformats.org/officeDocument/2006/relationships/hyperlink" Target="https://www.ombudsman.europa.eu/pl/recommendation/pl/151678" TargetMode="External"/><Relationship Id="rId4" Type="http://schemas.openxmlformats.org/officeDocument/2006/relationships/hyperlink" Target="file:///\\ipolbrusncf01\userdocs$\Jnwokekilly\Documents\DocEP\TEMP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AFC70-0F07-4EA0-867A-A3F488248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9604</Words>
  <Characters>57630</Characters>
  <Application>Microsoft Office Word</Application>
  <DocSecurity>0</DocSecurity>
  <Lines>480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2024-02-16T08:25:00Z</dcterms:created>
  <dcterms:modified xsi:type="dcterms:W3CDTF">2024-02-16T08:25:00Z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A9-0376/2023</vt:lpwstr>
  </property>
  <property fmtid="{D5CDD505-2E9C-101B-9397-08002B2CF9AE}" pid="4" name="&lt;Type&gt;">
    <vt:lpwstr>RR</vt:lpwstr>
  </property>
</Properties>
</file>