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6F19E3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6F19E3" w:rsidRDefault="00F03E12">
            <w:pPr>
              <w:pStyle w:val="EPName"/>
            </w:pPr>
            <w:r>
              <w:t>Európsky parlament</w:t>
            </w:r>
          </w:p>
          <w:p w:rsidR="006F19E3" w:rsidRDefault="00F03E1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2019-2024</w:t>
            </w:r>
          </w:p>
        </w:tc>
        <w:tc>
          <w:tcPr>
            <w:tcW w:w="2268" w:type="dxa"/>
            <w:shd w:val="clear" w:color="auto" w:fill="auto"/>
          </w:tcPr>
          <w:p w:rsidR="006F19E3" w:rsidRDefault="00F03E12">
            <w:pPr>
              <w:pStyle w:val="EPLogo"/>
            </w:pPr>
            <w:r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19E3" w:rsidRDefault="006F19E3">
      <w:pPr>
        <w:pStyle w:val="LineTop"/>
      </w:pPr>
    </w:p>
    <w:p w:rsidR="006F19E3" w:rsidRDefault="00F03E12">
      <w:pPr>
        <w:pStyle w:val="EPBodyTA1"/>
      </w:pPr>
      <w:r>
        <w:t>PRIJATÉ TEXTY</w:t>
      </w:r>
    </w:p>
    <w:p w:rsidR="006F19E3" w:rsidRDefault="006F19E3">
      <w:pPr>
        <w:pStyle w:val="LineBottom"/>
      </w:pPr>
    </w:p>
    <w:p w:rsidR="006F19E3" w:rsidRDefault="00F03E12">
      <w:pPr>
        <w:pStyle w:val="ATHeading1"/>
      </w:pPr>
      <w:bookmarkStart w:id="0" w:name="TANumber"/>
      <w:r>
        <w:t>P9_TA(2024)0050</w:t>
      </w:r>
      <w:bookmarkEnd w:id="0"/>
    </w:p>
    <w:p w:rsidR="006F19E3" w:rsidRDefault="00F03E12">
      <w:pPr>
        <w:pStyle w:val="ATHeading2"/>
      </w:pPr>
      <w:bookmarkStart w:id="1" w:name="title"/>
      <w:r>
        <w:t>Situácia v oblasti základných práv v EÚ v rokoch 2022 a 2023</w:t>
      </w:r>
      <w:bookmarkEnd w:id="1"/>
    </w:p>
    <w:p w:rsidR="006F19E3" w:rsidRDefault="00F03E12">
      <w:pPr>
        <w:rPr>
          <w:i/>
          <w:vanish/>
        </w:rPr>
      </w:pPr>
      <w:r>
        <w:rPr>
          <w:i/>
        </w:rPr>
        <w:fldChar w:fldCharType="begin"/>
      </w:r>
      <w:r>
        <w:rPr>
          <w:i/>
        </w:rPr>
        <w:instrText xml:space="preserve"> TC"(</w:instrText>
      </w:r>
      <w:bookmarkStart w:id="2" w:name="DocNumber"/>
      <w:r>
        <w:rPr>
          <w:i/>
        </w:rPr>
        <w:instrText>A9-0376/2023</w:instrText>
      </w:r>
      <w:bookmarkEnd w:id="2"/>
      <w:r>
        <w:rPr>
          <w:i/>
        </w:rPr>
        <w:instrText xml:space="preserve"> - Spravodajkyňa: Katarina Barley)"\l3 \n&gt; \* MERGEFORMAT </w:instrText>
      </w:r>
      <w:r>
        <w:rPr>
          <w:i/>
        </w:rPr>
        <w:fldChar w:fldCharType="end"/>
      </w:r>
    </w:p>
    <w:p w:rsidR="006F19E3" w:rsidRDefault="00F03E12">
      <w:pPr>
        <w:rPr>
          <w:vanish/>
        </w:rPr>
      </w:pPr>
      <w:bookmarkStart w:id="3" w:name="Commission"/>
      <w:r>
        <w:rPr>
          <w:vanish/>
        </w:rPr>
        <w:t xml:space="preserve">Výbor pre občianske slobody, spravodlivosť a </w:t>
      </w:r>
      <w:r>
        <w:rPr>
          <w:vanish/>
        </w:rPr>
        <w:t>vnútorné veci</w:t>
      </w:r>
      <w:bookmarkEnd w:id="3"/>
    </w:p>
    <w:p w:rsidR="006F19E3" w:rsidRDefault="00F03E12">
      <w:pPr>
        <w:rPr>
          <w:vanish/>
        </w:rPr>
      </w:pPr>
      <w:bookmarkStart w:id="4" w:name="PE"/>
      <w:r>
        <w:rPr>
          <w:vanish/>
        </w:rPr>
        <w:t>PE749.923</w:t>
      </w:r>
      <w:bookmarkEnd w:id="4"/>
    </w:p>
    <w:p w:rsidR="006F19E3" w:rsidRDefault="00F03E12">
      <w:pPr>
        <w:pStyle w:val="ATHeading3"/>
      </w:pPr>
      <w:bookmarkStart w:id="5" w:name="Sujet"/>
      <w:r>
        <w:t>Uznesenie Európskeho parlamentu z 18. januára 2024 o situácii v oblasti základných práv v Európskej únii – výročná správa za roky 2022 a 2023</w:t>
      </w:r>
      <w:bookmarkEnd w:id="5"/>
      <w:r>
        <w:t xml:space="preserve"> </w:t>
      </w:r>
      <w:bookmarkStart w:id="6" w:name="References"/>
      <w:r>
        <w:t>(2023/2028(INI))</w:t>
      </w:r>
      <w:bookmarkEnd w:id="6"/>
    </w:p>
    <w:p w:rsidR="006F19E3" w:rsidRDefault="00F03E12">
      <w:pPr>
        <w:pStyle w:val="EPComma"/>
      </w:pPr>
      <w:bookmarkStart w:id="7" w:name="TextBodyBegin"/>
      <w:bookmarkEnd w:id="7"/>
      <w:r>
        <w:rPr>
          <w:rStyle w:val="Italic"/>
        </w:rPr>
        <w:t>Európsky parlament</w:t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Zmluvu o Európskej únii (ďalej len „</w:t>
      </w:r>
      <w:r>
        <w:t>Zmluva o EÚ“) a Zmluvu o fungovaní Európskej únie (ďalej len „ZFEÚ“),</w:t>
      </w:r>
    </w:p>
    <w:p w:rsidR="006F19E3" w:rsidRDefault="00F03E12">
      <w:pPr>
        <w:pStyle w:val="NormalHanging12a"/>
      </w:pPr>
      <w:r>
        <w:t>–</w:t>
      </w:r>
      <w:r>
        <w:tab/>
        <w:t>so zreteľom na Chartu základných práv Európskej únie (ďalej len „charta“),</w:t>
      </w:r>
    </w:p>
    <w:p w:rsidR="006F19E3" w:rsidRDefault="00F03E12">
      <w:pPr>
        <w:pStyle w:val="NormalHanging12a"/>
      </w:pPr>
      <w:r>
        <w:t>–</w:t>
      </w:r>
      <w:r>
        <w:tab/>
        <w:t>so zreteľom na judikatúru Súdneho dvora Európskej únie</w:t>
      </w:r>
      <w:r>
        <w:rPr>
          <w:rStyle w:val="FootnoteReference"/>
        </w:rPr>
        <w:footnoteReference w:id="1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</w:r>
      <w:r>
        <w:t>so zreteľom na nariadenie Európskeho parlamentu a Rady (EÚ, Euratom) 2020/2092 zo 16. decembra 2020 o všeobecnom režime podmienenosti na ochranu rozpočtu Únie</w:t>
      </w:r>
      <w:r>
        <w:rPr>
          <w:rStyle w:val="FootnoteReference"/>
        </w:rPr>
        <w:footnoteReference w:id="2"/>
      </w:r>
      <w:r>
        <w:t xml:space="preserve"> (ďalej len „nariadenie o podmienenosti právnym štátom“),</w:t>
      </w:r>
    </w:p>
    <w:p w:rsidR="006F19E3" w:rsidRDefault="00F03E12">
      <w:pPr>
        <w:pStyle w:val="NormalHanging12a"/>
      </w:pPr>
      <w:r>
        <w:t>–</w:t>
      </w:r>
      <w:r>
        <w:tab/>
        <w:t xml:space="preserve">so zreteľom na nariadenie Európskeho </w:t>
      </w:r>
      <w:r>
        <w:t>parlamentu a Rady (EÚ) 2021/692 z 28. apríla 2021, ktorým sa zriaďuje program Občania, rovnosť, práva a hodnoty a zrušuje nariadenie Európskeho parlamentu a Rady (EÚ) č. 1381/2013 a nariadenie Rady (EÚ) č. 390/2014</w:t>
      </w:r>
      <w:r>
        <w:rPr>
          <w:rStyle w:val="FootnoteReference"/>
        </w:rPr>
        <w:footnoteReference w:id="3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 zreteľom na nariadenie Rady (EÚ) 2</w:t>
      </w:r>
      <w:r>
        <w:t>017/1939 z 12. októbra 2017, ktorým sa vykonáva posilnená spolupráca na účely zriadenia Európskej prokuratúry</w:t>
      </w:r>
      <w:r>
        <w:rPr>
          <w:rStyle w:val="FootnoteReference"/>
        </w:rPr>
        <w:footnoteReference w:id="4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nariadenie Európskeho parlamentu a Rady (EÚ) 2016/679 z 27. apríla 2016 o ochrane fyzických osôb pri spracúvaní osobných údajov</w:t>
      </w:r>
      <w:r>
        <w:t xml:space="preserve"> a o voľnom pohybe takýchto údajov, ktorým sa zrušuje smernica 95/46/ES (všeobecné nariadenie o ochrane údajov)</w:t>
      </w:r>
      <w:r>
        <w:rPr>
          <w:rStyle w:val="FootnoteReference"/>
        </w:rPr>
        <w:footnoteReference w:id="5"/>
      </w:r>
      <w:r>
        <w:t>,</w:t>
      </w:r>
    </w:p>
    <w:p w:rsidR="006F19E3" w:rsidRDefault="00F03E12">
      <w:pPr>
        <w:pStyle w:val="NormalHanging12a"/>
      </w:pPr>
      <w:r>
        <w:lastRenderedPageBreak/>
        <w:t>–</w:t>
      </w:r>
      <w:r>
        <w:tab/>
        <w:t>so zreteľom na smernicu Európskeho parlamentu a Rady (EÚ) 2017/1371 z 5. júla 2017 o boji proti podvodom, ktoré poškodzujú finančné záujmy Ú</w:t>
      </w:r>
      <w:r>
        <w:t>nie, prostredníctvom trestného práva</w:t>
      </w:r>
      <w:r>
        <w:rPr>
          <w:rStyle w:val="FootnoteReference"/>
        </w:rPr>
        <w:footnoteReference w:id="6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rámcové rozhodnutie Rady 2008/913/SVV z 28. novembra 2008 o boji proti niektorým formám a prejavom rasizmu a xenofóbie prostredníctvom trestného práva</w:t>
      </w:r>
      <w:r>
        <w:rPr>
          <w:rStyle w:val="FootnoteReference"/>
        </w:rPr>
        <w:footnoteReference w:id="7"/>
      </w:r>
      <w:r>
        <w:t xml:space="preserve">, 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smernicu Rady 2000/43/ES z 29</w:t>
      </w:r>
      <w:r>
        <w:t>. júna 2000, ktorou sa zavádza zásada rovnakého zaobchádzania s osobami bez ohľadu na rasový alebo etnický pôvod</w:t>
      </w:r>
      <w:r>
        <w:rPr>
          <w:rStyle w:val="FootnoteReference"/>
        </w:rPr>
        <w:footnoteReference w:id="8"/>
      </w:r>
      <w:r>
        <w:t xml:space="preserve"> a na prebiehajúce konania o nesplnení povinnosti, ktoré začala Komisia na základe tejto smernice proti niekoľkým členským štátom, z ktorých je</w:t>
      </w:r>
      <w:r>
        <w:t>dno Komisia predložila Súdnemu dvoru,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odporúčanie Rady z 12. marca 2021 o rovnosti, začleňovaní a účasti Rómov (2021/C 93/01)</w:t>
      </w:r>
      <w:r>
        <w:rPr>
          <w:rStyle w:val="FootnoteReference"/>
        </w:rPr>
        <w:footnoteReference w:id="9"/>
      </w:r>
      <w:r>
        <w:t xml:space="preserve">, 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oznámenie Komisie z 9. januára 2023 s názvom Hodnotiaca správa o vnútroštátnych strategických</w:t>
      </w:r>
      <w:r>
        <w:t xml:space="preserve"> rámcoch členských štátov pre Rómov (COM(2023)0007),</w:t>
      </w:r>
    </w:p>
    <w:p w:rsidR="006F19E3" w:rsidRDefault="00F03E12">
      <w:pPr>
        <w:pStyle w:val="NormalHanging12a"/>
      </w:pPr>
      <w:r>
        <w:t>–</w:t>
      </w:r>
      <w:r>
        <w:tab/>
        <w:t>so zreteľom na odporúčanie Komisie (EÚ) 2021/1534 zo 16. septembra 2021 k zaručeniu ochrany, bezpečnosti a posilneniu postavenia novinárov a iných pracovníkov médií v Európskej únii</w:t>
      </w:r>
      <w:r>
        <w:rPr>
          <w:rStyle w:val="FootnoteReference"/>
        </w:rPr>
        <w:footnoteReference w:id="10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 xml:space="preserve">so zreteľom na </w:t>
      </w:r>
      <w:r>
        <w:t>oznámenie Komisie z 9. decembra 2021 s názvom Inkluzívnejšia Európa s vyššou mierou ochrany: rozšírenie zoznamu trestných činov v EÚ o nenávistné prejavy a trestné činy páchané z nenávisti (COM(2021)0777),</w:t>
      </w:r>
    </w:p>
    <w:p w:rsidR="006F19E3" w:rsidRDefault="00F03E12">
      <w:pPr>
        <w:pStyle w:val="NormalHanging12a"/>
      </w:pPr>
      <w:r>
        <w:t>–</w:t>
      </w:r>
      <w:r>
        <w:tab/>
        <w:t>so zreteľom na oznámenie Komisie z 5. marca 2020</w:t>
      </w:r>
      <w:r>
        <w:t xml:space="preserve"> s názvom Únia rovnosti: stratégia pre rodovú rovnosť na roky 2020 – 2025 (COM(2020)0152),</w:t>
      </w:r>
    </w:p>
    <w:p w:rsidR="006F19E3" w:rsidRDefault="00F03E12">
      <w:pPr>
        <w:pStyle w:val="NormalHanging12a"/>
      </w:pPr>
      <w:r>
        <w:t>–</w:t>
      </w:r>
      <w:r>
        <w:tab/>
        <w:t>so zreteľom na oznámenie Komisie z 24. júna 2020 s názvom Stratégia EÚ v oblasti práv obetí (2020 – 2025) (COM(2020)0258),</w:t>
      </w:r>
    </w:p>
    <w:p w:rsidR="006F19E3" w:rsidRDefault="00F03E12">
      <w:pPr>
        <w:pStyle w:val="NormalHanging12a"/>
      </w:pPr>
      <w:r>
        <w:t>–</w:t>
      </w:r>
      <w:r>
        <w:tab/>
        <w:t>so zreteľom na oznámenie Komisie z 12.</w:t>
      </w:r>
      <w:r>
        <w:t xml:space="preserve"> novembra 2020 s názvom Únia rovnosti: stratégia pre rovnosť LGBTIQ osôb na roky 2020 – 2025 (COM(2020)0698),</w:t>
      </w:r>
    </w:p>
    <w:p w:rsidR="006F19E3" w:rsidRDefault="00F03E12">
      <w:pPr>
        <w:pStyle w:val="NormalHanging12a"/>
      </w:pPr>
      <w:r>
        <w:t>–</w:t>
      </w:r>
      <w:r>
        <w:tab/>
        <w:t>so zreteľom na závery Rady z 2. marca 2022 o boji proti rasizmu a antisemitizmu,</w:t>
      </w:r>
    </w:p>
    <w:p w:rsidR="006F19E3" w:rsidRDefault="00F03E12">
      <w:pPr>
        <w:pStyle w:val="NormalHanging12a"/>
      </w:pPr>
      <w:r>
        <w:t>–</w:t>
      </w:r>
      <w:r>
        <w:tab/>
        <w:t xml:space="preserve">so zreteľom na oznámenie Komisie z 2. decembra 2020 s názvom </w:t>
      </w:r>
      <w:r>
        <w:t>Stratégia posilnenia uplatňovania Charty základných práv v EÚ (COM(2020)0711),</w:t>
      </w:r>
    </w:p>
    <w:p w:rsidR="006F19E3" w:rsidRDefault="00F03E12">
      <w:pPr>
        <w:pStyle w:val="NormalHanging12a"/>
      </w:pPr>
      <w:r>
        <w:t>–</w:t>
      </w:r>
      <w:r>
        <w:tab/>
        <w:t>so zreteľom na správu Komisie zo 6. decembra 2022 s názvom Prosperujúci občiansky priestor na presadzovanie základných práv v EÚ – výročná správa o uplatňovaní Charty základný</w:t>
      </w:r>
      <w:r>
        <w:t>ch práv EÚ v roku 2022 (COM(2022)0716),</w:t>
      </w:r>
    </w:p>
    <w:p w:rsidR="006F19E3" w:rsidRDefault="00F03E12">
      <w:pPr>
        <w:pStyle w:val="NormalHanging12a"/>
      </w:pPr>
      <w:r>
        <w:lastRenderedPageBreak/>
        <w:t>–</w:t>
      </w:r>
      <w:r>
        <w:tab/>
        <w:t>so zreteľom na odporúčanie Komisie (EÚ) 2023/681 z 8. decembra 2022 o procesných právach podozrivých a obvinených osôb, na ktoré sa vzťahuje väzba, a o materiálnych podmienkach obmedzenia osobnej slobody</w:t>
      </w:r>
      <w:r>
        <w:rPr>
          <w:rStyle w:val="FootnoteReference"/>
        </w:rPr>
        <w:footnoteReference w:id="11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</w:t>
      </w:r>
      <w:r>
        <w:t>teľom na oznámenie Komisie z 5. júla 2023</w:t>
      </w:r>
      <w:r>
        <w:t xml:space="preserve"> s názvom Správa o právnom štáte 2023 – Situácia v oblasti právneho štátu v Európskej únii COM(2023)0800), 27 kapitol o jednotlivých krajinách a jeho sprievodné odporúčania pre členské štáty, 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Európ</w:t>
      </w:r>
      <w:r>
        <w:t>sky pilier sociálnych práv vrátane tretej zásady týkajúcej sa rovnakých príležitostí a na oznámenie Komisie zo 4. marca 2021 s názvom Akčný plán na realizáciu Európskeho piliera sociálnych práv (COM(2021)0102),</w:t>
      </w:r>
    </w:p>
    <w:p w:rsidR="006F19E3" w:rsidRDefault="00F03E12">
      <w:pPr>
        <w:pStyle w:val="NormalHanging12a"/>
      </w:pPr>
      <w:r>
        <w:t>–</w:t>
      </w:r>
      <w:r>
        <w:tab/>
        <w:t>so zreteľom na návrh Komisie na smernicu Eu</w:t>
      </w:r>
      <w:r>
        <w:t>rópskeho parlamentu a Rady z 27. apríla 2022 o ochrane osôb zapojených do verejnej účasti pred zjavne neopodstatnenými alebo zneužívajúcimi súdnymi konaniami („strategickým žalobám proti verejnej účasti“) (COM(2022)0177) (ďalej len „smernica proti strategi</w:t>
      </w:r>
      <w:r>
        <w:t>ckým žalobám proti verejnej účasti“) a jeho sprievodné odporúčanie,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návrh Komisie na nariadenie Európskeho parlamentu a Rady zo 16. septembra 2022, ktorým sa ustanovuje spoločný rámec pre mediálne služby na vnútornom trhu (Európsky akt o s</w:t>
      </w:r>
      <w:r>
        <w:t>lobode médií) a mení smernica 2010/13/EÚ (COM(2022)0</w:t>
      </w:r>
      <w:bookmarkStart w:id="8" w:name="_GoBack"/>
      <w:bookmarkEnd w:id="8"/>
      <w:r>
        <w:t>457) (ďalej len „akt o slobode médií“) a jeho sprievodné odporúčanie o interných zárukách redakčnej nezávislosti a transparentnosti vlastníctva v mediálnom sektore</w:t>
      </w:r>
      <w:r>
        <w:rPr>
          <w:rStyle w:val="FootnoteReference"/>
        </w:rPr>
        <w:footnoteReference w:id="12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návrh Komisie na smern</w:t>
      </w:r>
      <w:r>
        <w:t>icu Rady zo 7. decembra 2022 o normách pre subjekty pre rovnaké zaobchádzanie v oblasti rovnakého zaobchádzania s osobami bez ohľadu na ich rasový alebo etnický pôvod, rovnakého zaobchádzania s osobami v oblasti zamestnania a povolania bez ohľadu na ich ná</w:t>
      </w:r>
      <w:r>
        <w:t>boženské vyznanie alebo vieru, zdravotné postihnutie, vek alebo sexuálnu orientáciu, rovnakého zaobchádzania so ženami a s mužmi v otázkach sociálneho zabezpečenia, ako aj pri prístupe k tovaru a službám a pri dodávaní tovaru a poskytovaní služieb a o vypu</w:t>
      </w:r>
      <w:r>
        <w:t>stení článku 13 smernice 2000/43/ES a článku 12 smernice 2004/113/ES (COM(2022)0689),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návrh Komisie na nariadenia Rady zo 7. decembra 2022 o právomoci, rozhodnom práve, uznávaní rozhodnutí a prijímaní verejných listín vo veciach rodičovstv</w:t>
      </w:r>
      <w:r>
        <w:t>a a o zavedení európskeho osvedčenia o rodičovstve (COM(2022)0695),</w:t>
      </w:r>
    </w:p>
    <w:p w:rsidR="006F19E3" w:rsidRDefault="00F03E12">
      <w:pPr>
        <w:pStyle w:val="NormalHanging12a"/>
      </w:pPr>
      <w:r>
        <w:t>–</w:t>
      </w:r>
      <w:r>
        <w:tab/>
        <w:t>zo zreteľom na návrh Komisie na smernicu Európskeho parlamentu a Rady zo 7. decembra 2022 o normách pre subjekty pre rovnaké zaobchádzanie v oblasti rovnakého zaobchádzania so ženami a s</w:t>
      </w:r>
      <w:r>
        <w:t xml:space="preserve"> mužmi a rovnosti príležitostí pre ženy a mužov v otázkach zamestnania a povolania a o vypustení článku 20 smernice 2006/54/ES a článku 11 smernice 2010/41/EÚ (COM(2022)0688),</w:t>
      </w:r>
    </w:p>
    <w:p w:rsidR="006F19E3" w:rsidRDefault="00F03E12">
      <w:pPr>
        <w:pStyle w:val="NormalHanging12a"/>
      </w:pPr>
      <w:r>
        <w:t>–</w:t>
      </w:r>
      <w:r>
        <w:tab/>
        <w:t xml:space="preserve">so zreteľom na správy Agentúry EÚ pre základné práva (ďalej len „FRA“), najmä </w:t>
      </w:r>
      <w:r>
        <w:t>na jej správy o základných právach za roky 2022 a 2023 vrátane správ siete FRANET o jednotlivých krajinách,</w:t>
      </w:r>
    </w:p>
    <w:p w:rsidR="006F19E3" w:rsidRDefault="00F03E12">
      <w:pPr>
        <w:pStyle w:val="NormalHanging12a"/>
      </w:pPr>
      <w:r>
        <w:lastRenderedPageBreak/>
        <w:t>–</w:t>
      </w:r>
      <w:r>
        <w:tab/>
        <w:t>so zreteľom na Všeobecnú deklaráciu ľudských práv,</w:t>
      </w:r>
    </w:p>
    <w:p w:rsidR="006F19E3" w:rsidRDefault="00F03E12">
      <w:pPr>
        <w:pStyle w:val="NormalHanging12a"/>
      </w:pPr>
      <w:r>
        <w:t>–</w:t>
      </w:r>
      <w:r>
        <w:tab/>
        <w:t>so zreteľom na nástroje OSN o ochrane ľudských práv a základných slobôd vrátane Medzinárodnéh</w:t>
      </w:r>
      <w:r>
        <w:t>o paktu o občianskych a politických právach, Medzinárodného dohovoru o odstránení všetkých foriem rasovej diskriminácie, Dohovoru o odstránení všetkých foriem diskriminácie žien a Dohovoru o právach osôb so zdravotným postihnutím, na odporúčania a správy z</w:t>
      </w:r>
      <w:r>
        <w:t>o všeobecného pravidelného preskúmania OSN a na judikatúru zmluvných orgánov OSN a osobitné postupy Rady pre ľudské práva,</w:t>
      </w:r>
    </w:p>
    <w:p w:rsidR="006F19E3" w:rsidRDefault="00F03E12">
      <w:pPr>
        <w:pStyle w:val="NormalHanging12a"/>
      </w:pPr>
      <w:r>
        <w:t>–</w:t>
      </w:r>
      <w:r>
        <w:tab/>
        <w:t xml:space="preserve">so zreteľom na Agendu 2030 pre udržateľný rozvoj OSN, 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</w:r>
      <w:r>
        <w:t xml:space="preserve">so zreteľom na Európsky dohovor o ľudských právach (ďalej len „EDĽP“) a judikatúru Európskeho súdu pre ľudské práva, </w:t>
      </w:r>
    </w:p>
    <w:p w:rsidR="006F19E3" w:rsidRDefault="00F03E12">
      <w:pPr>
        <w:pStyle w:val="NormalHanging12a"/>
      </w:pPr>
      <w:r>
        <w:t>–</w:t>
      </w:r>
      <w:r>
        <w:tab/>
        <w:t>so zreteľom na Dohovor Rady Európy o predchádzaní násiliu na ženách a domácemu násiliu a o boji proti nemu, ktorý bol otvorený na podpis</w:t>
      </w:r>
      <w:r>
        <w:t xml:space="preserve"> 11. mája 2011 v Istanbule („Istanbulský dohovor“) a ktorý Európska únia ratifikovala 28. júna 2023, 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odporúčania a správy Úradu pre demokratické inštitúcie a ľudské práva, Vysokého komisára OBSE pre otázky národnostných menšín a iných org</w:t>
      </w:r>
      <w:r>
        <w:t>ánov Organizácie pre bezpečnosť a spoluprácu v Európe (ďalej len „OBSE“),</w:t>
      </w:r>
    </w:p>
    <w:p w:rsidR="006F19E3" w:rsidRDefault="00F03E12">
      <w:pPr>
        <w:pStyle w:val="NormalHanging12a"/>
      </w:pPr>
      <w:r>
        <w:t>–</w:t>
      </w:r>
      <w:r>
        <w:tab/>
        <w:t>so zreteľom na správu Rady Európy z 23. marca 2023 s názvom Obhajcovia ľudských práv v priestore Rady Európy v čase krízy v nadväznosti na okrúhly stôl s obhajcami ľudských práv, k</w:t>
      </w:r>
      <w:r>
        <w:t>torý zorganizoval Úrad komisára Rady Európy pre ľudské práva v Dubline 24. a 25. októbra 2022</w:t>
      </w:r>
      <w:r>
        <w:rPr>
          <w:rStyle w:val="FootnoteReference"/>
        </w:rPr>
        <w:footnoteReference w:id="13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 xml:space="preserve">so zreteľom na Rámcový dohovor Rady Európy na ochranu národnostných menšín a na Európsku chartu regionálnych alebo menšinových jazykov, 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Euró</w:t>
      </w:r>
      <w:r>
        <w:t>psku sociálnu chartu Rady Európy,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vyhlásenia, odporúčania a správy komisárky Rady Európy pre ľudské práva,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odporúčania a správy Rady Európy, najmä Benátskej komisie, Európskej komisie proti rasizmu a intolerancii (ECRI), G</w:t>
      </w:r>
      <w:r>
        <w:t>REVIO a GRECO,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svoje uznesenie z 13. novembra 2018 o minimálnych normách pre menšiny v EÚ</w:t>
      </w:r>
      <w:r>
        <w:rPr>
          <w:rStyle w:val="FootnoteReference"/>
        </w:rPr>
        <w:footnoteReference w:id="14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svoje uznesenie z 15. januára 2019 o rodovej rovnosti a daňovej politike v EÚ</w:t>
      </w:r>
      <w:r>
        <w:rPr>
          <w:rStyle w:val="FootnoteReference"/>
        </w:rPr>
        <w:footnoteReference w:id="15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 11. novembra 20</w:t>
      </w:r>
      <w:r>
        <w:t xml:space="preserve">21 o posilnení demokracie a slobody a plurality médií v EÚ: nenáležité využívanie žalôb v rámci občianskeho a trestného </w:t>
      </w:r>
      <w:r>
        <w:lastRenderedPageBreak/>
        <w:t>práva na umlčanie novinárov, MVO a občianskej spoločnosti</w:t>
      </w:r>
      <w:r>
        <w:rPr>
          <w:rStyle w:val="FootnoteReference"/>
        </w:rPr>
        <w:footnoteReference w:id="16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 15. decembra 2021 o hodnotení preventívny</w:t>
      </w:r>
      <w:r>
        <w:t>ch opatrení na predchádzanie korupcii, neoprávneným výdavkom a zneužívaniu finančných prostriedkov EÚ a vnútroštátnych finančných prostriedkov v prípade pohotovostných fondov a krízových výdavkových oblastí</w:t>
      </w:r>
      <w:r>
        <w:rPr>
          <w:rStyle w:val="FootnoteReference"/>
        </w:rPr>
        <w:footnoteReference w:id="17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zo 17. február</w:t>
      </w:r>
      <w:r>
        <w:t>a 2022 s odporúčaniami pre Komisiu o štatúte pre európske cezhraničné združenia a neziskové organizácie</w:t>
      </w:r>
      <w:r>
        <w:rPr>
          <w:rStyle w:val="FootnoteReference"/>
        </w:rPr>
        <w:footnoteReference w:id="18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 8. marca 2022 o zmenšujúcom sa priestore pre občiansku spoločnosť v Európe</w:t>
      </w:r>
      <w:r>
        <w:rPr>
          <w:rStyle w:val="FootnoteReference"/>
        </w:rPr>
        <w:footnoteReference w:id="19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 10.</w:t>
      </w:r>
      <w:r>
        <w:t> marca 2022 o právnom štáte a dôsledkoch rozsudku Súdneho dvora EÚ</w:t>
      </w:r>
      <w:r>
        <w:rPr>
          <w:rStyle w:val="FootnoteReference"/>
        </w:rPr>
        <w:footnoteReference w:id="20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 9. júna 2022 o právnom štáte a potenciálnom schválení poľského národného plánu obnovy</w:t>
      </w:r>
      <w:r>
        <w:rPr>
          <w:rStyle w:val="FootnoteReference"/>
        </w:rPr>
        <w:footnoteReference w:id="21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zo 6. júla 2022 o prierezovej d</w:t>
      </w:r>
      <w:r>
        <w:t>iskriminácii v Európskej únii: sociálno-ekonomická situácia žien afrického, blízkovýchodného, latinskoamerického a ázijského pôvodu</w:t>
      </w:r>
      <w:r>
        <w:rPr>
          <w:rStyle w:val="FootnoteReference"/>
        </w:rPr>
        <w:footnoteReference w:id="22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uznesenie z 15. septembra 2022 o návrhu rozhodnutia Rady o určení podľa článku 7 ods. 1 Zmluvy o Európske</w:t>
      </w:r>
      <w:r>
        <w:t>j únii, že existuje jasné riziko vážneho porušenia hodnôt, na ktorých je Únia založená, zo strany Maďarska</w:t>
      </w:r>
      <w:r>
        <w:rPr>
          <w:rStyle w:val="FootnoteReference"/>
        </w:rPr>
        <w:footnoteReference w:id="23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 5. októbra 2022 o situácii Rómov žijúcich v osadách v EÚ</w:t>
      </w:r>
      <w:r>
        <w:rPr>
          <w:rStyle w:val="FootnoteReference"/>
        </w:rPr>
        <w:footnoteReference w:id="24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 xml:space="preserve">so zreteľom na svoje uznesenie z 15. decembra 2022 </w:t>
      </w:r>
      <w:r>
        <w:t>o podozreniach z korupcie zo strany Kataru a širšej potrebe transparentnosti a zodpovednosti v európskych inštitúciách</w:t>
      </w:r>
      <w:r>
        <w:rPr>
          <w:rStyle w:val="FootnoteReference"/>
        </w:rPr>
        <w:footnoteReference w:id="25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zo 7. júla 2022 o rozhodnutí Najvyššieho súdu USA zrušiť práva na umelé prerušenie tehotenstva v Spoje</w:t>
      </w:r>
      <w:r>
        <w:t>ných štátoch amerických a potrebe chrániť tieto práva a zdravie žien v EÚ</w:t>
      </w:r>
      <w:r>
        <w:rPr>
          <w:rStyle w:val="FootnoteReference"/>
        </w:rPr>
        <w:footnoteReference w:id="26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 xml:space="preserve">so zreteľom na svoje uznesenie z 3. mája 2022 o prenasledovaní menšín z dôvodu </w:t>
      </w:r>
      <w:r>
        <w:lastRenderedPageBreak/>
        <w:t>náboženstva alebo viery</w:t>
      </w:r>
      <w:r>
        <w:rPr>
          <w:rStyle w:val="FootnoteReference"/>
        </w:rPr>
        <w:footnoteReference w:id="27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 5. mája 2022 o prebiehajúcich vypočuti</w:t>
      </w:r>
      <w:r>
        <w:t>ach podľa článku 7 ods. 1 Zmluvy o EÚ, ktoré sa týkajú Poľska a Maďarska</w:t>
      </w:r>
      <w:r>
        <w:rPr>
          <w:rStyle w:val="FootnoteReference"/>
        </w:rPr>
        <w:footnoteReference w:id="28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 xml:space="preserve">so zreteľom na svoje rozhodnutie (EÚ) 2023/325 z 18. októbra 2022 o absolutóriu za plnenie rozpočtu Európskej agentúry pre pohraničnú a pobrežnú stráž (Frontex) za rozpočtový rok </w:t>
      </w:r>
      <w:r>
        <w:t>2020</w:t>
      </w:r>
      <w:r>
        <w:rPr>
          <w:vertAlign w:val="superscript"/>
        </w:rPr>
        <w:footnoteReference w:id="29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svoje uznesenie z 20. októbra 2022 o rastúcom počte trestných činov z nenávisti voči LGBTIQ+ osobám v celej Európe s ohľadom na nedávnu homofóbnu vraždu na Slovensku</w:t>
      </w:r>
      <w:r>
        <w:rPr>
          <w:vertAlign w:val="superscript"/>
        </w:rPr>
        <w:footnoteReference w:id="30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svoje uznesenie z 10. novembra 2022 o rasovej s</w:t>
      </w:r>
      <w:r>
        <w:t>pravodlivosti, nediskriminácii a boji proti rasizmu v EÚ</w:t>
      </w:r>
      <w:r>
        <w:rPr>
          <w:rStyle w:val="FootnoteReference"/>
        </w:rPr>
        <w:footnoteReference w:id="31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svoje uznesenie z 13. decembra 2022 za rovnaké práva pre osoby so zdravotným postihnutím</w:t>
      </w:r>
      <w:r>
        <w:rPr>
          <w:vertAlign w:val="superscript"/>
        </w:rPr>
        <w:footnoteReference w:id="32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 19. apríla 2023 o boji proti diskriminácii v EÚ – dlho</w:t>
      </w:r>
      <w:r>
        <w:t xml:space="preserve"> očakávaná horizontálna antidiskriminačná smernica</w:t>
      </w:r>
      <w:r>
        <w:rPr>
          <w:rStyle w:val="FootnoteReference"/>
        </w:rPr>
        <w:footnoteReference w:id="33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 xml:space="preserve">so zreteľom na svoju pozíciu z 10. mája 2023 k návrhom rozhodnutí Rady o uzavretí Dohovoru Rady Európy o predchádzaní násiliu na ženách a domácemu násiliu a o boji proti nemu, pokiaľ ide o záležitosti </w:t>
      </w:r>
      <w:r>
        <w:t>týkajúce sa inštitúcií a verejnej správy Únie, v mene Európskej únie</w:t>
      </w:r>
      <w:r>
        <w:rPr>
          <w:rStyle w:val="FootnoteReference"/>
        </w:rPr>
        <w:footnoteReference w:id="34"/>
      </w:r>
      <w:r>
        <w:t>, a tiež pokiaľ ide o záležitosti týkajúce sa justičnej spolupráce v trestných veciach, azylu a zásady zákazu vyhostenia alebo vrátenia,</w:t>
      </w:r>
    </w:p>
    <w:p w:rsidR="006F19E3" w:rsidRDefault="00F03E12">
      <w:pPr>
        <w:pStyle w:val="NormalHanging12a"/>
      </w:pPr>
      <w:r>
        <w:t>–</w:t>
      </w:r>
      <w:r>
        <w:tab/>
        <w:t>so zreteľom na svoje uznesenie z 11. mája 2023 o</w:t>
      </w:r>
      <w:r>
        <w:t xml:space="preserve"> primeranosti ochrany poskytovanej rámcom ochrany osobných údajov medzi EÚ a USA</w:t>
      </w:r>
      <w:r>
        <w:rPr>
          <w:rStyle w:val="FootnoteReference"/>
          <w:szCs w:val="24"/>
        </w:rPr>
        <w:footnoteReference w:id="35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svoju správu a odporúčanie z 22. mája 2023 týkajúce sa prešetrenia údajných prípadov porušenia práva Únie a nesprávneho úradného postupu pri jeho uplatňovan</w:t>
      </w:r>
      <w:r>
        <w:t xml:space="preserve">í v súvislosti s používaním softvéru Pegasus a rovnocenného špionážneho softvéru, 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svoje uznesenie z 1. júna 2023 o porušovaní zásad právneho štátu a základných práv v Maďarsku a o zmrazených finančných prostriedkoch EÚ</w:t>
      </w:r>
      <w:r>
        <w:rPr>
          <w:rStyle w:val="FootnoteReference"/>
        </w:rPr>
        <w:footnoteReference w:id="36"/>
      </w:r>
      <w:r>
        <w:t>,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 xml:space="preserve">so zreteľom na </w:t>
      </w:r>
      <w:r>
        <w:t xml:space="preserve">svoje uznesenie z 13. júla 2023 o prístupe verejnosti k dokumentom </w:t>
      </w:r>
      <w:r>
        <w:lastRenderedPageBreak/>
        <w:t>– výročná správa za roky 2019 – 2021</w:t>
      </w:r>
      <w:r>
        <w:rPr>
          <w:rStyle w:val="FootnoteReference"/>
        </w:rPr>
        <w:footnoteReference w:id="37"/>
      </w:r>
      <w:r>
        <w:t xml:space="preserve">, </w:t>
      </w:r>
    </w:p>
    <w:p w:rsidR="006F19E3" w:rsidRDefault="00F03E12">
      <w:pPr>
        <w:pStyle w:val="NormalHanging12a"/>
        <w:rPr>
          <w:szCs w:val="24"/>
        </w:rPr>
      </w:pPr>
      <w:r>
        <w:t>–</w:t>
      </w:r>
      <w:r>
        <w:tab/>
        <w:t>so zreteľom na svoje uznesenie zo 4. októbra 2023 o segregácii a diskriminácii rómskych detí vo vzdelávaní</w:t>
      </w:r>
      <w:r>
        <w:rPr>
          <w:rStyle w:val="FootnoteReference"/>
        </w:rPr>
        <w:footnoteReference w:id="38"/>
      </w:r>
      <w:r>
        <w:t>,</w:t>
      </w:r>
    </w:p>
    <w:p w:rsidR="006F19E3" w:rsidRDefault="00F03E12">
      <w:pPr>
        <w:pStyle w:val="NormalHanging12a"/>
      </w:pPr>
      <w:r>
        <w:t>–</w:t>
      </w:r>
      <w:r>
        <w:tab/>
        <w:t>zo zreteľom na článok 54 rokovacieho</w:t>
      </w:r>
      <w:r>
        <w:t xml:space="preserve"> poriadku,</w:t>
      </w:r>
    </w:p>
    <w:p w:rsidR="006F19E3" w:rsidRDefault="00F03E12">
      <w:pPr>
        <w:pStyle w:val="NormalHanging12a"/>
      </w:pPr>
      <w:r>
        <w:t>–</w:t>
      </w:r>
      <w:r>
        <w:tab/>
        <w:t>so zreteľom na stanovisko Výboru pre ústavné veci,</w:t>
      </w:r>
    </w:p>
    <w:p w:rsidR="006F19E3" w:rsidRDefault="00F03E12">
      <w:pPr>
        <w:pStyle w:val="NormalHanging12a"/>
      </w:pPr>
      <w:r>
        <w:t>–</w:t>
      </w:r>
      <w:r>
        <w:tab/>
        <w:t>so zreteľom na správu Výboru pre občianske slobody, spravodlivosť a vnútorné veci (A9-0376/2023),</w:t>
      </w:r>
    </w:p>
    <w:p w:rsidR="006F19E3" w:rsidRDefault="00F03E12">
      <w:pPr>
        <w:pStyle w:val="NormalHanging12a"/>
      </w:pPr>
      <w:r>
        <w:t>A.</w:t>
      </w:r>
      <w:r>
        <w:tab/>
        <w:t>keďže EÚ je založená na hodnotách rešpektovania ľudskej dôstojnosti, slobody, demokracie,</w:t>
      </w:r>
      <w:r>
        <w:t xml:space="preserve"> rovnosti, zásad právneho štátu a dodržiavania ľudských práv vrátane práv osôb patriacich k menšinám, ako sa uvádza v článku 2 Zmluvy o EÚ a v charte a je zakotvené v medzinárodných dohodách o ľudských právach; keďže tieto hodnoty by mali byť spoločné a EÚ</w:t>
      </w:r>
      <w:r>
        <w:t xml:space="preserve"> a členské štáty by ich mali presadzovať a aktívne podporovať vo svojej vnútornej a vonkajšej činnosti; keďže v posledných rokoch bol v niektorých členských štátoch zaznamenaný znepokojujúci pokles v súvislosti s dodržiavaním týchto hodnôt;</w:t>
      </w:r>
    </w:p>
    <w:p w:rsidR="006F19E3" w:rsidRDefault="00F03E12">
      <w:pPr>
        <w:pStyle w:val="NormalHanging12a"/>
        <w:rPr>
          <w:szCs w:val="24"/>
        </w:rPr>
      </w:pPr>
      <w:r>
        <w:t>B.</w:t>
      </w:r>
      <w:r>
        <w:tab/>
        <w:t>keďže demokr</w:t>
      </w:r>
      <w:r>
        <w:t>acia, právny štát a základné práva sú vzájomne sa posilňujúcimi hodnotami, ktorých narušenie predstavuje pre Úniu a práva a slobody všetkých občanov v EÚ systémovú hrozbu; keďže dodržiavanie právneho štátu zaväzuje Úniu ako celok a jej členské štáty na vše</w:t>
      </w:r>
      <w:r>
        <w:t>tkých úrovniach riadenia;</w:t>
      </w:r>
    </w:p>
    <w:p w:rsidR="006F19E3" w:rsidRDefault="00F03E12">
      <w:pPr>
        <w:pStyle w:val="NormalHanging12a"/>
        <w:rPr>
          <w:szCs w:val="24"/>
        </w:rPr>
      </w:pPr>
      <w:r>
        <w:t>C.</w:t>
      </w:r>
      <w:r>
        <w:tab/>
        <w:t>keďže slobodné, nezávislé a transparentné voľby sú pilierom demokracie;</w:t>
      </w:r>
    </w:p>
    <w:p w:rsidR="006F19E3" w:rsidRDefault="00F03E12">
      <w:pPr>
        <w:pStyle w:val="NormalHanging12a"/>
        <w:rPr>
          <w:szCs w:val="24"/>
        </w:rPr>
      </w:pPr>
      <w:r>
        <w:t xml:space="preserve">D. </w:t>
      </w:r>
      <w:r>
        <w:tab/>
        <w:t>keďže narastajúce šírenie dezinformácií je hrozbou pre demokratické fungovanie Únie; keďže obmedzenie manipulácie s informáciami je vecou verejného záu</w:t>
      </w:r>
      <w:r>
        <w:t>jmu; keďže dezinformácie znižujú schopnosť občanov a obyvateľov EÚ prijímať rozhodnutia na základe faktov a slobodne sa zúčastňovať na demokratických procesoch; keďže silným nástrojom v boji proti dezinformáciám sú nezávislé a pluralitné médiá;</w:t>
      </w:r>
    </w:p>
    <w:p w:rsidR="006F19E3" w:rsidRDefault="00F03E12">
      <w:pPr>
        <w:pStyle w:val="NormalHanging12a"/>
      </w:pPr>
      <w:r>
        <w:t>E.</w:t>
      </w:r>
      <w:r>
        <w:tab/>
        <w:t>keďže sl</w:t>
      </w:r>
      <w:r>
        <w:t xml:space="preserve">oboda médií, pluralita a nezávislosť a bezpečnosť novinárov sú kľúčovými prvkami slobody prejavu a práva na informácie a majú zásadný význam pre demokratické fungovanie EÚ a jej členských štátov; keďže v posledných rokoch sú novinári a iní mediálni aktéri </w:t>
      </w:r>
      <w:r>
        <w:t>v mnohých členských štátoch a v zahraničí čoraz viac vystavení hrozbám, neprimeranému tlaku, zastrašovaniu, násiliu a ďalším formám zasahovania do svojej práce, najmä vtedy, keď sa zameriavajú na zneužívanie moci, korupciu, porušovanie základných práv a tr</w:t>
      </w:r>
      <w:r>
        <w:t>estnú činnosť; keďže strategické žaloby proti verejnej účasti sú naďalej naliehavým problémom v celej EÚ; keďže alarmujúca situácia, pokiaľ ide o hrozby a útoky, sa neobmedzuje výlučne na profesionálnych novinárov a iných tradičných mediálnych aktérov; keď</w:t>
      </w:r>
      <w:r>
        <w:t>že vymedzenie mediálnych aktérov sa príchodom nových foriem médií v digitálnom veku rozšírilo a zahŕňa aj ďalších aktérov, ktorí prispievajú k verejnej diskusii a vykonávajú novinársku činnosť alebo plnia funkciu verejného dohľadu;</w:t>
      </w:r>
    </w:p>
    <w:p w:rsidR="006F19E3" w:rsidRDefault="00F03E12">
      <w:pPr>
        <w:pStyle w:val="NormalHanging12a"/>
      </w:pPr>
      <w:r>
        <w:t>F.</w:t>
      </w:r>
      <w:r>
        <w:tab/>
        <w:t>keďže vládne orgány v</w:t>
      </w:r>
      <w:r>
        <w:t xml:space="preserve"> niektorých členských štátoch a štátoch mimo EÚ použili </w:t>
      </w:r>
      <w:r>
        <w:lastRenderedPageBreak/>
        <w:t>Pegasus a iné špionážne softvéry proti novinárom, politikom, príslušníkom orgánov presadzovania práva, diplomatom, právnikom, podnikateľom, aktérom občianskej spoločnosti a iným subjektom na politické</w:t>
      </w:r>
      <w:r>
        <w:t xml:space="preserve"> a dokonca aj kriminálne účely; keďže takéto praktiky sú mimoriadne znepokojujúce a podčiarkujú riziko zneužívania technológií sledovania na oslabovanie základných ľudských práv, demokracie a volebných procesov; </w:t>
      </w:r>
    </w:p>
    <w:p w:rsidR="006F19E3" w:rsidRDefault="00F03E12">
      <w:pPr>
        <w:pStyle w:val="NormalHanging12a"/>
      </w:pPr>
      <w:r>
        <w:t>G.</w:t>
      </w:r>
      <w:r>
        <w:tab/>
        <w:t>keďže korupcia je vážnou hrozbou pre dem</w:t>
      </w:r>
      <w:r>
        <w:t>okraciu a právny štát; keďže v niektorých členských štátoch pretrvávajú vážne obavy v súvislosti s bojom proti korupcii; keďže mechanizmy na zastavenie korupcie sú vo viacerých členských štátoch slabé a naďalej v širokej miere pretrváva nedostatočná ochran</w:t>
      </w:r>
      <w:r>
        <w:t>a oznamovateľov; keďže cieľom nariadenia o podmienenosti právneho štátu je chrániť rozpočet Únie pred porušovaním zásad právneho štátu;</w:t>
      </w:r>
    </w:p>
    <w:p w:rsidR="006F19E3" w:rsidRDefault="00F03E12">
      <w:pPr>
        <w:pStyle w:val="NormalHanging12a"/>
        <w:rPr>
          <w:szCs w:val="24"/>
        </w:rPr>
      </w:pPr>
      <w:r>
        <w:t>H.</w:t>
      </w:r>
      <w:r>
        <w:tab/>
        <w:t>keďže novinári, médiá a blogeri, obhajcovia ľudských práv, organizácie občianskej spoločnosti, aktivisti, odborové zv</w:t>
      </w:r>
      <w:r>
        <w:t>äzy, umelci, výskumníci, oznamovatelia a politici sú čoraz viac vystavení hrozbám, obťažovaniu a ďalším formám zastrašovania z dôvodu svojej verejnej angažovanosti;</w:t>
      </w:r>
    </w:p>
    <w:p w:rsidR="006F19E3" w:rsidRDefault="00F03E12">
      <w:pPr>
        <w:pStyle w:val="NormalHanging12a"/>
      </w:pPr>
      <w:r>
        <w:t>I.</w:t>
      </w:r>
      <w:r>
        <w:tab/>
        <w:t>keďže nezávislosť súdnictva, ktorá je základnou podmienkou demokratickej zásady deľby mo</w:t>
      </w:r>
      <w:r>
        <w:t>ci a má kľúčový význam pre zaistenie dodržiavania základných práv, je v čoraz väčšom počte členských štátov vážne ohrozená alebo dokonca štrukturálne narušovaná;</w:t>
      </w:r>
    </w:p>
    <w:p w:rsidR="006F19E3" w:rsidRDefault="00F03E12">
      <w:pPr>
        <w:pStyle w:val="NormalHanging12a"/>
        <w:rPr>
          <w:szCs w:val="24"/>
        </w:rPr>
      </w:pPr>
      <w:r>
        <w:t>J.</w:t>
      </w:r>
      <w:r>
        <w:tab/>
        <w:t>keďže Súdny dvor pripomenul</w:t>
      </w:r>
      <w:r>
        <w:rPr>
          <w:vertAlign w:val="superscript"/>
        </w:rPr>
        <w:footnoteReference w:id="39"/>
      </w:r>
      <w:r>
        <w:t xml:space="preserve">, že právo na slobodu združovania zakotvené v článku 12 ods. 1 </w:t>
      </w:r>
      <w:r>
        <w:t>charty je jedným zo základných kameňov demokratickej a pluralitnej spoločnosti, pretože umožňuje obyvateľom EÚ konať kolektívne v oblastiach spoločného záujmu, a tým prispievať k riadnemu fungovaniu verejného života; keďže z niektorých členských štátov pri</w:t>
      </w:r>
      <w:r>
        <w:t xml:space="preserve">chádzajú správy o čoraz väčších útokoch na slobodu zhromažďovania a združovania, a to neprimeraným používaním sily proti pokojným demonštrantom vrátane fyzických útokov voči protestujúcim; </w:t>
      </w:r>
    </w:p>
    <w:p w:rsidR="006F19E3" w:rsidRDefault="00F03E12">
      <w:pPr>
        <w:pStyle w:val="NormalHanging12a"/>
        <w:rPr>
          <w:szCs w:val="24"/>
        </w:rPr>
      </w:pPr>
      <w:r>
        <w:t>K.</w:t>
      </w:r>
      <w:r>
        <w:tab/>
        <w:t>keďže niektoré členské štáty zaviedli obmedzenia s úmyslom obme</w:t>
      </w:r>
      <w:r>
        <w:t>dziť občiansky priestor; keďže občiansky priestor v mnohých členských štátoch čelí právnemu, administratívnemu a fiškálnemu obťažovaniu, kriminalizácii a negatívnej rétorike zameranej na stigmatizáciu a delegitimizáciu organizácií občianskej spoločnosti, a</w:t>
      </w:r>
      <w:r>
        <w:t>ktivistov a obhajcov ľudských práv a na oslabenie ich schopnosti vykonávať svoju prácu;</w:t>
      </w:r>
    </w:p>
    <w:p w:rsidR="006F19E3" w:rsidRDefault="00F03E12">
      <w:pPr>
        <w:pStyle w:val="NormalHanging12a"/>
        <w:rPr>
          <w:szCs w:val="24"/>
        </w:rPr>
      </w:pPr>
      <w:r>
        <w:t>L.</w:t>
      </w:r>
      <w:r>
        <w:tab/>
      </w:r>
      <w:r>
        <w:t>keďže v marci 2023 komisárka Rady Európy pre ľudské práva uviedla, že situácia obhajcov ľudských práv v Európe sa alarmujúco zhoršila a vlády čoraz častejšie ignorujú svoje záväzky v oblasti ľudských práv, pričom uprednostňujú otázky národnej bezpečnosti a</w:t>
      </w:r>
      <w:r>
        <w:t xml:space="preserve"> verejnej bezpečnosti pred ľudskými právami; keďže komisárka informovala o tom, že je čoraz viac obmedzená schopnosť obhajcov ľudských práv slobodne a bezpečne pracovať, a zároveň informovala o rôznych formách odvetných opatrení vrátane súdneho obťažovania</w:t>
      </w:r>
      <w:r>
        <w:t xml:space="preserve">, stíhania, neoprávnených kontrol a sledovania, očierňujúcich kampaní, hrozieb a zastrašovania v členských štátoch a susedných krajinách; keďže veľké obavy aj naďalej vyvoláva absencia účinného vyšetrovania </w:t>
      </w:r>
      <w:r>
        <w:lastRenderedPageBreak/>
        <w:t>porušovania práv obhajcov ľudských práv spáchanýc</w:t>
      </w:r>
      <w:r>
        <w:t>h štátnymi a neštátnymi aktérmi; keďže tieto činy, ktoré oslabujú demokraciu, sú súčasťou širšieho problému polarizácie spoločnosti, ktorý sa vyznačuje čoraz častejšími prejavmi nenávisti a násilia voči rôznym sociálnym alebo menšinovým skupinám;</w:t>
      </w:r>
    </w:p>
    <w:p w:rsidR="006F19E3" w:rsidRDefault="00F03E12">
      <w:pPr>
        <w:pStyle w:val="NormalHanging12a"/>
      </w:pPr>
      <w:r>
        <w:t>M.</w:t>
      </w:r>
      <w:r>
        <w:tab/>
        <w:t xml:space="preserve">keďže </w:t>
      </w:r>
      <w:r>
        <w:t>na európskych hraniciach došlo k mnohým prípadom úmrtí migrantov a porušovania ľudských práv v dôsledku neúčinného riadenia a neprimeraného použitia sily orgánmi; keďže čoraz väčšie množstvo technológií vrátane umelej inteligencie sa používa na monitorovan</w:t>
      </w:r>
      <w:r>
        <w:t>ie migrantov na vonkajších a vnútorných hraniciach EÚ; keďže kriminalizácia mimovládnych organizácií alebo akýchkoľvek iných neštátnych subjektov, ktoré vykonávajú pátracie a záchranné operácie v súlade s príslušným právnym rámcom, je porušením medzinárodn</w:t>
      </w:r>
      <w:r>
        <w:t>ého práva</w:t>
      </w:r>
      <w:r>
        <w:rPr>
          <w:vertAlign w:val="superscript"/>
        </w:rPr>
        <w:footnoteReference w:id="40"/>
      </w:r>
      <w:r>
        <w:t>, a preto ju právo EÚ nepovoľuje; keďže Súdny dvor pripomenul, že štátni príslušníci tretích krajín môžu byť uväznení len vtedy, ak existuje osobitný právny základ na obmedzenie ich práva na slobodu, a nie vtedy, ak existuje len všeobecné kritéri</w:t>
      </w:r>
      <w:r>
        <w:t>um</w:t>
      </w:r>
      <w:r>
        <w:rPr>
          <w:vertAlign w:val="superscript"/>
        </w:rPr>
        <w:footnoteReference w:id="41"/>
      </w:r>
      <w:r>
        <w:t>;</w:t>
      </w:r>
    </w:p>
    <w:p w:rsidR="006F19E3" w:rsidRDefault="00F03E12">
      <w:pPr>
        <w:pStyle w:val="NormalHanging12a"/>
        <w:rPr>
          <w:szCs w:val="24"/>
        </w:rPr>
      </w:pPr>
      <w:r>
        <w:t>N.</w:t>
      </w:r>
      <w:r>
        <w:tab/>
        <w:t>keďže počet úmrtí na európskych námorných hraniciach sa v roku 2022 v porovnaní s rokom 2021 mierne znížil, ale stále bol vyšší ako v troch rokoch pred rokom 2021</w:t>
      </w:r>
      <w:r>
        <w:rPr>
          <w:vertAlign w:val="superscript"/>
        </w:rPr>
        <w:footnoteReference w:id="42"/>
      </w:r>
      <w:r>
        <w:t>; keďže k väčšine úmrtí došlo v centrálnom Stredozemí pri pobreží severnej Afriky</w:t>
      </w:r>
      <w:r>
        <w:rPr>
          <w:vertAlign w:val="superscript"/>
        </w:rPr>
        <w:footnoteReference w:id="43"/>
      </w:r>
      <w:r>
        <w:t xml:space="preserve">; </w:t>
      </w:r>
    </w:p>
    <w:p w:rsidR="006F19E3" w:rsidRDefault="00F03E12">
      <w:pPr>
        <w:pStyle w:val="NormalHanging12a"/>
        <w:rPr>
          <w:szCs w:val="24"/>
        </w:rPr>
      </w:pPr>
      <w:r>
        <w:t>O.</w:t>
      </w:r>
      <w:r>
        <w:tab/>
        <w:t>keďže agentúra Frontex bola predmetom viacerých správ a vyšetrovaní v súvislosti s otázkami týkajúcimi sa základných práv, ktoré vypracoval okrem iného aj Európsky úrad pre boj proti podvodom (ďalej len „OLAF“) a európsky ombudsman; keďže bývalý riadite</w:t>
      </w:r>
      <w:r>
        <w:t>ľ agentúry Frontex odstúpil z funkcie v apríli 2022; keďže všetky agentúry EÚ musia dodržiavať základné práva a niesť zodpovednosť v prípadoch porušovania základných práv;</w:t>
      </w:r>
    </w:p>
    <w:p w:rsidR="006F19E3" w:rsidRDefault="00F03E12">
      <w:pPr>
        <w:pStyle w:val="NormalHanging12a"/>
      </w:pPr>
      <w:r>
        <w:t>P.</w:t>
      </w:r>
      <w:r>
        <w:tab/>
        <w:t xml:space="preserve">keďže v posledných rokoch došlo k organizovanému potláčaniu práv žien a dievčat; </w:t>
      </w:r>
      <w:r>
        <w:t xml:space="preserve">keďže v niektorých členských štátoch došlo k pokusom o ďalšie obmedzenie sexuálneho a reprodukčného zdravia a práv, napríklad pokiaľ ide o existujúcu právnu ochranu prístupu žien k starostlivosti pri umelom prerušení tehotenstva; keďže v posledných rokoch </w:t>
      </w:r>
      <w:r>
        <w:t>viedlo v niektorých členských štátoch zamedzenie prístupu k bezpečnému a legálnemu umelému prerušeniu tehotenstva k smrti viacerých žien; keďže rodovo podmienené násilie vrátane sexuálneho násilia a znásilnenia je v Európskej únii je aj naďalej veľmi rozší</w:t>
      </w:r>
      <w:r>
        <w:t>rené; keďže niektoré členské štáty naďalej neratifikovali Dohovor Rady Európy o predchádzaní násiliu na ženách a domácemu násiliu a o boji proti nemu (Istanbulský dohovor); keďže v EÚ silnejú hnutia proti podpore a poskytovaniu sexuálnej výchovy;</w:t>
      </w:r>
    </w:p>
    <w:p w:rsidR="006F19E3" w:rsidRDefault="00F03E12">
      <w:pPr>
        <w:pStyle w:val="NormalHanging12a"/>
        <w:rPr>
          <w:szCs w:val="24"/>
        </w:rPr>
      </w:pPr>
      <w:r>
        <w:lastRenderedPageBreak/>
        <w:t>Q.</w:t>
      </w:r>
      <w:r>
        <w:tab/>
        <w:t xml:space="preserve">keďže </w:t>
      </w:r>
      <w:r>
        <w:t>rodovo motivované násilie je príčinou aj dôsledkom štrukturálnych nerovností, ktoré vychádzajú z rodových stereotypov a mocenských asymetrií, a to aj v súkromnej, sociálnej, verejnej a hospodárskej sfére;</w:t>
      </w:r>
    </w:p>
    <w:p w:rsidR="006F19E3" w:rsidRDefault="00F03E12">
      <w:pPr>
        <w:pStyle w:val="NormalHanging12a"/>
      </w:pPr>
      <w:r>
        <w:t>R.</w:t>
      </w:r>
      <w:r>
        <w:tab/>
        <w:t>keďže z údajov z prieskumu agentúry FRA vyplýva,</w:t>
      </w:r>
      <w:r>
        <w:t xml:space="preserve"> že diskriminácia na základe rasového alebo etnického pôvodu (vrátane Rómov, moslimov, Židov a ľudí afrického pôvodu) je v rôznych členských štátoch aj naďalej veľmi rozšírená, a to v priebehu času, ako aj v rámci rôznych skupín obyvateľstva, najmä v prípa</w:t>
      </w:r>
      <w:r>
        <w:t>de osôb zo znevýhodneného sociálno-ekonomického prostredia; keďže rasové a etnické menšiny čelia systémovému rasizmu, trestným činom z nenávisti a nenávistným prejavom, nedostatočnému prístupu k spravodlivosti a pretrvávajúcim sociálno-ekonomickým nerovnos</w:t>
      </w:r>
      <w:r>
        <w:t>tiam v oblastiach, ako sú bývanie, zdravotná starostlivosť, zamestnanosť a vzdelávanie, ktoré treba uznať za hlavné prekážky plného uplatňovania ich základných práv a kľúčovú prekážku začlenenia a rovnosti; keďže antisemitizmus, protirómske zmýšľanie, isla</w:t>
      </w:r>
      <w:r>
        <w:t xml:space="preserve">mofóbia a rasizmus sú pretrvávajúcimi formami nenávisti a diskriminácie; keďže krajne pravicový extrémizmus je osobitnou hrozbou pre osoby postihnuté diskrimináciou a pre spoločnosť ako celok; keďže podľa agentúry FRA existujú náznaky o systémovom rasizme </w:t>
      </w:r>
      <w:r>
        <w:t>v EÚ, a to aj v orgánoch presadzovania práva; keďže v politikách a opatreniach zameraných na boj proti rasizmu a diskriminácii sa musí zohľadniť prierezová diskriminácia;</w:t>
      </w:r>
    </w:p>
    <w:p w:rsidR="006F19E3" w:rsidRDefault="00F03E12">
      <w:pPr>
        <w:pStyle w:val="NormalHanging12a"/>
        <w:rPr>
          <w:szCs w:val="24"/>
        </w:rPr>
      </w:pPr>
      <w:r>
        <w:t>S.</w:t>
      </w:r>
      <w:r>
        <w:tab/>
        <w:t>keďže osoby so zdravotným postihnutím žijúce v EÚ naďalej čelia diskriminácii vrát</w:t>
      </w:r>
      <w:r>
        <w:t>ane odmietnutia primeraných úprav, obťažovania a viacnásobných a prierezových foriem diskriminácie vo všetkých oblastiach svojho života, ktorá zahŕňa sociálno-ekonomické nevýhody, sociálnu izoláciu, zlé zaobchádzanie a násilie vrátane rodovo motivovaného n</w:t>
      </w:r>
      <w:r>
        <w:t>ásilia, nútenú sterilizáciu a potraty, chýbajúci prístup ku komunitným službám, bývanie nízkej kvality, umiestnenie do ústavnej starostlivosti, nedostatočnú zdravotnú starostlivosť a upretie príležitosti prispievať a aktívne sa zapájať do života spoločnost</w:t>
      </w:r>
      <w:r>
        <w:t>i;</w:t>
      </w:r>
    </w:p>
    <w:p w:rsidR="006F19E3" w:rsidRDefault="00F03E12">
      <w:pPr>
        <w:pStyle w:val="NormalHanging12a"/>
        <w:rPr>
          <w:szCs w:val="24"/>
        </w:rPr>
      </w:pPr>
      <w:r>
        <w:t>T.</w:t>
      </w:r>
      <w:r>
        <w:tab/>
        <w:t>keďže značná časť Rómov</w:t>
      </w:r>
      <w:r>
        <w:rPr>
          <w:vertAlign w:val="superscript"/>
        </w:rPr>
        <w:footnoteReference w:id="44"/>
      </w:r>
      <w:r>
        <w:t xml:space="preserve"> v Európe, či už vo vidieckych alebo v mestských oblastiach, žije vo veľmi neistých a zlých sociálno-ekonomických podmienkach; keďže väčšina Rómov je zbavená základných ľudských práv vo všetkých oblastiach života; keďže v niek</w:t>
      </w:r>
      <w:r>
        <w:t>torých členských štátoch sú deti aj naďalej umiestňované do segregovaných škôl a pretrváva diskriminačná prax umiestňovania detí z etnických a rasových menšín do škôl pre deti s mentálnym postihnutím;</w:t>
      </w:r>
    </w:p>
    <w:p w:rsidR="006F19E3" w:rsidRDefault="00F03E12">
      <w:pPr>
        <w:pStyle w:val="NormalHanging12a"/>
        <w:rPr>
          <w:szCs w:val="24"/>
        </w:rPr>
      </w:pPr>
      <w:r>
        <w:t>U.</w:t>
      </w:r>
      <w:r>
        <w:tab/>
        <w:t>keďže v celej EÚ pretrváva trend rastúcej diskriminá</w:t>
      </w:r>
      <w:r>
        <w:t>cie, nenávistných prejavov a násilia voči LGBTIQ+ osobám a obhajcom práv LGBTIQ+ osôb; keďže LGBTIQ+ osoby stále čelia diskriminácii a vylúčeniu vo viacerých členských štátoch, pokiaľ ide o sociálnu ochranu, sociálne zabezpečenie, prístup k zdravotnej star</w:t>
      </w:r>
      <w:r>
        <w:t>ostlivosti, vzdelávaniu, právnej ochrane a prístup k tovaru a iným službám, ktoré sú dostupné verejnosti vrátane bývania, a ich poskytovanie; keďže judikatúra Súdneho dvora, ktorá chráni sociálne práva a súkromný život párov rovnakého pohlavia a detí narod</w:t>
      </w:r>
      <w:r>
        <w:t>ených rodičom rovnakého pohlavia, ako napríklad vec Coman (C-673/16) a vec Baby Sara (C-490/20), sa nevykonáva; keďže na intersexuálnych deťoch sa vykonávajú chirurgické zákroky a lekárske ošetrenia bez ich predchádzajúceho osobného, úplného a informovanéh</w:t>
      </w:r>
      <w:r>
        <w:t xml:space="preserve">o </w:t>
      </w:r>
      <w:r>
        <w:lastRenderedPageBreak/>
        <w:t>súhlasu; keďže mrzačenie pohlavných orgánov intersexuálnych osôb môže mať celoživotné následky, napríklad môže vyústiť do psychickej traumy a telesných porúch;</w:t>
      </w:r>
    </w:p>
    <w:p w:rsidR="006F19E3" w:rsidRDefault="00F03E12">
      <w:pPr>
        <w:pStyle w:val="NormalHanging12a"/>
      </w:pPr>
      <w:r>
        <w:t>V.</w:t>
      </w:r>
      <w:r>
        <w:tab/>
        <w:t>keďže počet trestných činov z nenávisti a nenávistných prejavov v EÚ za posledných niekoľko</w:t>
      </w:r>
      <w:r>
        <w:t xml:space="preserve"> rokov neustále narastá</w:t>
      </w:r>
      <w:r>
        <w:rPr>
          <w:vertAlign w:val="superscript"/>
        </w:rPr>
        <w:footnoteReference w:id="45"/>
      </w:r>
      <w:r>
        <w:t xml:space="preserve">, najmä v dôsledku rastúceho počtu používateľov sociálnych médií a toho, že internet je pre nenávistné prejavy veľmi vhodným prostredím; keďže obchodný model platforiem sociálnych médií založený na mikrocielenej reklame prispieva k </w:t>
      </w:r>
      <w:r>
        <w:t xml:space="preserve">šíreniu a posilňovaniu nenávistných prejavov podnecujúcich diskrimináciu a násilie; keďže vzdelávacie systémy sú kľúčové pre zabezpečenie digitálneho vzdelania, gramotnosti a zručnosti pre každého a podporujú chápanie digitálnych technológií používateľmi, </w:t>
      </w:r>
      <w:r>
        <w:t>prekonávajú nerovnosti, zlepšujú digitálne začleňovanie a posilňujú a chránia jednotlivcov a ich práva, pričom stanovujú ich úlohy; keďže nenávistné prejavy môžu viesť k trestným činom z nenávisti; keďže podľa agentúry FRA až deväť z desiatich trestných či</w:t>
      </w:r>
      <w:r>
        <w:t>nov z nenávisti a útokov motivovaných nenávisťou v EÚ nie je nahlásených, a teda ani sankcionovaných;</w:t>
      </w:r>
    </w:p>
    <w:p w:rsidR="006F19E3" w:rsidRDefault="00F03E12">
      <w:pPr>
        <w:pStyle w:val="NormalHanging12a"/>
        <w:rPr>
          <w:szCs w:val="24"/>
        </w:rPr>
      </w:pPr>
      <w:r>
        <w:t>W.</w:t>
      </w:r>
      <w:r>
        <w:tab/>
        <w:t>keďže článok 21 charty zakazuje akúkoľvek diskrimináciu založenú na jazyku alebo príslušnosti k národnostnej menšine; keďže jej článok 22 zaručuje rešp</w:t>
      </w:r>
      <w:r>
        <w:t>ektovanie jazykovej rozmanitosti;</w:t>
      </w:r>
    </w:p>
    <w:p w:rsidR="006F19E3" w:rsidRDefault="00F03E12">
      <w:pPr>
        <w:pStyle w:val="NormalHanging12a"/>
        <w:rPr>
          <w:szCs w:val="24"/>
        </w:rPr>
      </w:pPr>
      <w:r>
        <w:t>X.</w:t>
      </w:r>
      <w:r>
        <w:tab/>
        <w:t>keďže EÚ je založená na podpore sociálnych, kultúrnych a hospodárskych práv; keďže počet ľudí, ktorí v EÚ žijú v chudobe, je aj naďalej vysoký, pričom viac ako každému piatemu dieťaťu hrozí chudoba a takmer každý štvrtý</w:t>
      </w:r>
      <w:r>
        <w:t xml:space="preserve"> Európan je ohrozený chudobou alebo sociálnym vylúčením; keďže cyklus chudoby prehlbuje ďalšie nerovnosti, ako je prístup ľudí k vzdelávaniu, cenovo dostupnému bývaniu, zdravotnej starostlivosti a zamestnaniu; keďže v dôsledku energetickej krízy a inflácie</w:t>
      </w:r>
      <w:r>
        <w:t xml:space="preserve"> vzrástol počet ľudí postihnutých neistotou, chudobou a sociálnym vylúčením; keďže článok 151 ZFEÚ odkazuje na základné sociálne práva tak, ako sú stanovené v Európskej sociálnej charte; keďže Európsky pilier sociálnych práv a vykonávanie jeho akčného plán</w:t>
      </w:r>
      <w:r>
        <w:t>u sú kľúčovými nástrojmi na začlenenie sociálnych priorít do všetkých politík EÚ a usmernením pre skutočné vykonávanie jeho 20 zásad;</w:t>
      </w:r>
    </w:p>
    <w:p w:rsidR="006F19E3" w:rsidRDefault="00F03E12">
      <w:pPr>
        <w:pStyle w:val="NormalHanging12a"/>
      </w:pPr>
      <w:r>
        <w:t>Y.</w:t>
      </w:r>
      <w:r>
        <w:tab/>
        <w:t>keďže pristúpenie EÚ k Európskemu dohovoru o ľudských právach (EDĽP) je povinnosťou podľa článku 6 ods. 2 Zmluvy o EÚ a</w:t>
      </w:r>
      <w:r>
        <w:t xml:space="preserve"> zostáva vysokou prioritou;</w:t>
      </w:r>
    </w:p>
    <w:p w:rsidR="006F19E3" w:rsidRDefault="00F03E12">
      <w:pPr>
        <w:pStyle w:val="NormalHanging12a"/>
        <w:rPr>
          <w:szCs w:val="24"/>
        </w:rPr>
      </w:pPr>
      <w:r>
        <w:t>Z.</w:t>
      </w:r>
      <w:r>
        <w:tab/>
        <w:t>keďže členské štáty a inštitúcie a orgány EÚ vrátane Súdneho dvora, Agentúry EÚ pre základné práva (FRA) a Európskej prokuratúry (EPPO) zohrávajú kľúčovú úlohu pri presadzovaní hodnôt EÚ a zaisťovaní dodržiavania základných p</w:t>
      </w:r>
      <w:r>
        <w:t>ráv;</w:t>
      </w:r>
    </w:p>
    <w:p w:rsidR="006F19E3" w:rsidRDefault="00F03E12">
      <w:pPr>
        <w:pStyle w:val="NormalHanging12a"/>
        <w:rPr>
          <w:szCs w:val="24"/>
        </w:rPr>
      </w:pPr>
      <w:r>
        <w:t>AA.</w:t>
      </w:r>
      <w:r>
        <w:tab/>
        <w:t>keďže európska ombudsmanka prešetrila osobné textové správy a hovory týkajúce sa obstarávania vakcín proti ochoreniu COVID-19 medzi predsedníčkou Komisie a výkonným riaditeľom spoločnosti Pfizer, ktoré Komisia odmietla zverejniť; keďže v júli 2022</w:t>
      </w:r>
      <w:r>
        <w:t xml:space="preserve"> dospela ombudsmanka k záveru, že takéto odmietnutie je nesprávnym úradným postupom</w:t>
      </w:r>
      <w:r>
        <w:rPr>
          <w:vertAlign w:val="superscript"/>
        </w:rPr>
        <w:footnoteReference w:id="46"/>
      </w:r>
      <w:r>
        <w:t>;</w:t>
      </w:r>
    </w:p>
    <w:p w:rsidR="006F19E3" w:rsidRDefault="00F03E12">
      <w:pPr>
        <w:pStyle w:val="NormalHanging12a"/>
        <w:rPr>
          <w:szCs w:val="24"/>
        </w:rPr>
      </w:pPr>
      <w:r>
        <w:lastRenderedPageBreak/>
        <w:t>AB.</w:t>
      </w:r>
      <w:r>
        <w:tab/>
        <w:t>keďže vo viacerých členských štátoch, najmä v Maďarsku a Poľsku, dochádza už niekoľko rokov k odbúravaniu právneho štátu v dôsledku systematického úsilia tamojších vl</w:t>
      </w:r>
      <w:r>
        <w:t>ád, proti ktorým sa vedú postupy podľa článku 7 ods. 1 Zmluvy o EÚ; keďže rýchlo narastajú obavy týkajúce sa právneho štátu a základných práv v iných členských štátoch; keďže je nevyhnutné zabezpečiť, aby členské štáty dodržiavali záväzky OBSE a iné medzin</w:t>
      </w:r>
      <w:r>
        <w:t>árodné povinnosti a normy pre demokratické voľby vrátane Benátskej komisie;</w:t>
      </w:r>
    </w:p>
    <w:p w:rsidR="006F19E3" w:rsidRDefault="00F03E12">
      <w:pPr>
        <w:pStyle w:val="NormalHanging12a"/>
        <w:rPr>
          <w:szCs w:val="24"/>
        </w:rPr>
      </w:pPr>
      <w:r>
        <w:t>AC.</w:t>
      </w:r>
      <w:r>
        <w:tab/>
        <w:t xml:space="preserve">keďže chudoba je formou štrukturálneho násilia a sociálnej nespravodlivosti vychádzajúcich z rodových rozdielov, diskriminácie a nerovnakých príležitostí na prístup k tovaru a </w:t>
      </w:r>
      <w:r>
        <w:t>službám, čo vedie k porušovaniu základných práv; keďže boj proti chudobe si vyžaduje prierezový prístup a osobitnú pozornosť jednotlivcom v zraniteľných situáciách, ako sú deti, ženy, rasovo a etnicky vyčlenené komunity, LGBTIQ+ osoby, migranti a žiadateli</w:t>
      </w:r>
      <w:r>
        <w:t>a o azyl a osoby so zdravotným postihnutím, ako aj jednotlivci zo sociálno-ekonomicky znevýhodneného prostredia;</w:t>
      </w:r>
    </w:p>
    <w:p w:rsidR="006F19E3" w:rsidRDefault="00F03E12">
      <w:pPr>
        <w:pStyle w:val="NormalHanging12a"/>
        <w:rPr>
          <w:szCs w:val="24"/>
        </w:rPr>
      </w:pPr>
      <w:r>
        <w:t>AD.</w:t>
      </w:r>
      <w:r>
        <w:tab/>
        <w:t>keďže podľa správy Európskej environmentálnej agentúry s názvom Kvalita ovzdušia v Európe v roku 2022 došlo len v roku 2020 v dôsledku vyst</w:t>
      </w:r>
      <w:r>
        <w:t>avenia znečisteniu ovzdušia jemnými tuhými časticami v Únii k 238 000 predčasných úmrtí;</w:t>
      </w:r>
    </w:p>
    <w:p w:rsidR="006F19E3" w:rsidRDefault="00F03E12">
      <w:pPr>
        <w:pStyle w:val="Normal12a24b"/>
        <w:rPr>
          <w:i/>
        </w:rPr>
      </w:pPr>
      <w:r>
        <w:rPr>
          <w:rStyle w:val="Bold"/>
          <w:i/>
        </w:rPr>
        <w:t>Právny štát a prístup k spravodlivosti</w:t>
      </w:r>
    </w:p>
    <w:p w:rsidR="006F19E3" w:rsidRDefault="00F03E12">
      <w:pPr>
        <w:pStyle w:val="NormalHanging12a"/>
      </w:pPr>
      <w:r>
        <w:t>1.</w:t>
      </w:r>
      <w:r>
        <w:tab/>
        <w:t xml:space="preserve">pripomína význam slobodných médií pri presadzovaní demokracie, vyvodzovaní zodpovednosti verejných a súkromných inštitúcií a </w:t>
      </w:r>
      <w:r>
        <w:t>pri umožňovaní prístupu občanov k informáciám, ktoré sú založené na faktoch; zdôrazňuje význam plurality médií a slobody pri vykonávaní novinárskeho povolania; dôrazne odsudzuje, že v roku 2022 bol zaznamenaný ďalší celosvetový rekord, pokiaľ ide o počet u</w:t>
      </w:r>
      <w:r>
        <w:t>väznených novinárov, a vyzýva na plný výkon spravodlivosti, pokiaľ ide o zabíjanie investigatívnych novinárov v EÚ;</w:t>
      </w:r>
    </w:p>
    <w:p w:rsidR="006F19E3" w:rsidRDefault="00F03E12">
      <w:pPr>
        <w:pStyle w:val="NormalHanging12a"/>
        <w:rPr>
          <w:szCs w:val="24"/>
        </w:rPr>
      </w:pPr>
      <w:r>
        <w:t>2.</w:t>
      </w:r>
      <w:r>
        <w:tab/>
        <w:t>vyzýva členské štáty, aby vykonávali odporúčanie Komisie o ochrane novinárov a obhajcov ľudských práv, ktorí sú zapojení do verejnej účas</w:t>
      </w:r>
      <w:r>
        <w:t>ti, pred zjavne neopodstatnenými alebo zneužívajúcimi súdnymi konaniami, a najmä aby zrušili tresty odňatia slobody za prípady ohovárania, dekriminalizovali ohováranie a namiesto toho uprednostňovali občianskoprávne alebo správne konania; vyzýva Komisiu, a</w:t>
      </w:r>
      <w:r>
        <w:t>by sa zaoberala závažnosťou strategických žalôb proti verejnej účasti v trestnom konaní tým, že predloží návrh opatrení na zaručenie toho, aby sa ohováranie, urážka na cti a hanobenie, ktoré vo väčšine členských štátov predstavujú trestné činy, nemohli pou</w:t>
      </w:r>
      <w:r>
        <w:t>žiť na strategické žaloby proti verejnej účasti vo verejnom alebo súkromnom stíhaní; zdôrazňuje, že strategické žaloby proti verejnej účasti sú len jednou z metód používanou na umlčanie novinárov, a vyzýva Komisiu, aby ďalej skúmala iné praktiky a aby zasi</w:t>
      </w:r>
      <w:r>
        <w:t>ahla; vyzýva politikov, aby verejne odsúdili hrozby a útoky proti novinárom;</w:t>
      </w:r>
    </w:p>
    <w:p w:rsidR="006F19E3" w:rsidRDefault="00F03E12">
      <w:pPr>
        <w:pStyle w:val="NormalHanging12a"/>
        <w:rPr>
          <w:szCs w:val="24"/>
        </w:rPr>
      </w:pPr>
      <w:r>
        <w:t>3.</w:t>
      </w:r>
      <w:r>
        <w:tab/>
        <w:t>opakuje svoje znepokojenie nad porušovaním základných práv, pokiaľ ide o používanie softvéru Pegasus a rovnocenného špionážneho softvéru zameraného na jednotlivcov a vysokopost</w:t>
      </w:r>
      <w:r>
        <w:t xml:space="preserve">avené osobnosti, ako sú novinári, blogeri, obhajcovia ľudských práv, politici a iní; zdôrazňuje, že nezákonné používanie špionážneho softvéru vládami štátov priamo a nepriamo ovplyvňuje integritu rozhodovania, čím sa oslabuje demokracia v EÚ a podčiarkuje </w:t>
      </w:r>
      <w:r>
        <w:t>naliehavá potreba väčšej transparentnosti a právnej zodpovednosti odvetvia dohľadu;</w:t>
      </w:r>
    </w:p>
    <w:p w:rsidR="006F19E3" w:rsidRDefault="00F03E12">
      <w:pPr>
        <w:pStyle w:val="NormalHanging12a"/>
        <w:rPr>
          <w:szCs w:val="24"/>
        </w:rPr>
      </w:pPr>
      <w:r>
        <w:lastRenderedPageBreak/>
        <w:t>4.</w:t>
      </w:r>
      <w:r>
        <w:tab/>
        <w:t xml:space="preserve">vyzýva členské štáty, najmä Grécko, Maďarsko, Poľsko, Španielsko a Cyprus, aby dodržiavali odporúčania zo správy o používaní softvéru Pegasus a rovnocenného špionážneho </w:t>
      </w:r>
      <w:r>
        <w:t>softvéru; pripomína svoje odporúčania týkajúce sa dodržiavania spoločných noriem EÚ, keďže individuálne práva nemožno ohroziť tým, že sa umožní neobmedzený prístup k sledovaniu;</w:t>
      </w:r>
    </w:p>
    <w:p w:rsidR="006F19E3" w:rsidRDefault="00F03E12">
      <w:pPr>
        <w:pStyle w:val="NormalHanging12a"/>
        <w:rPr>
          <w:szCs w:val="24"/>
        </w:rPr>
      </w:pPr>
      <w:r>
        <w:t>5.</w:t>
      </w:r>
      <w:r>
        <w:tab/>
        <w:t>naliehavo vyzýva členské štáty, aby vypracovali národné akčné plány pre bez</w:t>
      </w:r>
      <w:r>
        <w:t>pečnosť novinárov a vytvorili priaznivé prostredie pre pluralitné a nezávislé médiá, aby sa im darilo a mohli zohrávať zásadnú kontrolnú úlohu pri vyvodzovaní zodpovednosti vlád a iných aktérov;</w:t>
      </w:r>
    </w:p>
    <w:p w:rsidR="006F19E3" w:rsidRDefault="00F03E12">
      <w:pPr>
        <w:pStyle w:val="NormalHanging12a"/>
        <w:rPr>
          <w:szCs w:val="24"/>
        </w:rPr>
      </w:pPr>
      <w:r>
        <w:t>6.</w:t>
      </w:r>
      <w:r>
        <w:tab/>
        <w:t xml:space="preserve">pripomína, že obchodovanie so špionážnym softvérom a jeho </w:t>
      </w:r>
      <w:r>
        <w:t>používanie treba prísne regulovať; zdôrazňuje, že používanie špionážneho softvéru musí byť povolené len vo výnimočných a osobitných prípadoch vyšetrovania obmedzenej a uzavretej škály jasne a presne vymedzených závažných trestných činov, musí byť odôvodnen</w:t>
      </w:r>
      <w:r>
        <w:t>é od prípadu k prípadu, musí byť v súlade s chartou a ďalšími príslušnými právnymi predpismi Únie a musí byť nariadené ex ante nezávislým a nestranným súdnym orgánom spolu s účinnými, známymi a prístupnými nápravnými opatreniami; zdôrazňuje, že každé sledo</w:t>
      </w:r>
      <w:r>
        <w:t>vanie špionážnym softvérom musí podliehať kontrole ex post nezávislým orgánom dohľadu, ktorý musí zabezpečiť, aby sa každé povolené sledovanie realizovalo v súlade so základnými právami a podmienkami stanovenými Súdnym dvorom, Európskym súdom pre ľudské pr</w:t>
      </w:r>
      <w:r>
        <w:t>áva (ďalej len „ESĽP“) a Benátskou komisiou; trvá na tom, aby jednotlivci, u ktorých bol použitý špionážny softvér, mali prístup k skutočnému a zmysluplnému právnemu prostriedku nápravy;</w:t>
      </w:r>
    </w:p>
    <w:p w:rsidR="006F19E3" w:rsidRDefault="00F03E12">
      <w:pPr>
        <w:pStyle w:val="NormalHanging12a"/>
        <w:rPr>
          <w:szCs w:val="24"/>
        </w:rPr>
      </w:pPr>
      <w:r>
        <w:t>7.</w:t>
      </w:r>
      <w:r>
        <w:tab/>
        <w:t>zdôrazňuje, že korupcia je nezlučiteľná s hodnotami demokracie a p</w:t>
      </w:r>
      <w:r>
        <w:t xml:space="preserve">rávneho štátu, pretože prehlbuje nerovnosti a oslabuje dôveru občanov v dobrú správu vecí verejných; je hlboko znepokojený rastúcou mierou korupcie vo viacerých členských štátoch, najmä v prípadoch, ktoré sa týkajú vysokopostavených úradníkov a politikov; </w:t>
      </w:r>
      <w:r>
        <w:t>opätovne odsudzuje údajné prípady korupcie súčasných a bývalých poslancov Európskeho parlamentu; v tejto súvislosti víta prijatie návrhov na zmenu rokovacieho poriadku v záujme posilnenia jeho integrity, nezávislosti a zodpovednosti; je znepokojený nerovna</w:t>
      </w:r>
      <w:r>
        <w:t>kou mierou vykonávania protikorupčného rámca EÚ v členských štátoch; žiada, aby pravidlom bola nulová tolerancia voči korupcii; vyzýva na zriadenie nezávislého orgánu pre etiku; vyzýva členské štáty, aby zabezpečili úplné vykonávanie smernice o ochrane ozn</w:t>
      </w:r>
      <w:r>
        <w:t>amovateľov</w:t>
      </w:r>
      <w:r>
        <w:rPr>
          <w:rStyle w:val="FootnoteReference"/>
        </w:rPr>
        <w:footnoteReference w:id="47"/>
      </w:r>
      <w:r>
        <w:t>;</w:t>
      </w:r>
    </w:p>
    <w:p w:rsidR="006F19E3" w:rsidRDefault="00F03E12">
      <w:pPr>
        <w:pStyle w:val="NormalHanging12a"/>
      </w:pPr>
      <w:r>
        <w:t>8.</w:t>
      </w:r>
      <w:r>
        <w:tab/>
        <w:t>zdôrazňuje, že nezávislosť súdnictva a účinný systém bŕzd a protiváh, ktoré sa môžu v jednotlivých členských štátoch líšiť, sú kľúčovými prvkami právneho štátu; zdôrazňuje, že vo viacerých členských štátoch pretrvávajú vážne obavy, pokiaľ i</w:t>
      </w:r>
      <w:r>
        <w:t>de o právny štát a nezávislosť súdnictva; odsudzuje všetky pokusy vlád členských štátov priamo alebo organizačnými prostriedkami politicky ovplyvňovať alebo kontrolovať nezávislé rozhodovanie súdov;</w:t>
      </w:r>
    </w:p>
    <w:p w:rsidR="006F19E3" w:rsidRDefault="00F03E12">
      <w:pPr>
        <w:pStyle w:val="NormalHanging12a"/>
        <w:rPr>
          <w:szCs w:val="24"/>
        </w:rPr>
      </w:pPr>
      <w:r>
        <w:t>9.</w:t>
      </w:r>
      <w:r>
        <w:tab/>
        <w:t>podporuje vytvorenie stratégie EÚ na zabezpečenie konk</w:t>
      </w:r>
      <w:r>
        <w:t xml:space="preserve">rétnych a koordinovaných opatrení na úrovni EÚ, a to aj zriadením ochranného mechanizmu pre obhajcov ľudských práv v Európe na základe príkladov zahraničnej politiky EÚ, s cieľom </w:t>
      </w:r>
      <w:r>
        <w:lastRenderedPageBreak/>
        <w:t>zabezpečiť prevenciu, priamu pomoc a zodpovednosť;</w:t>
      </w:r>
    </w:p>
    <w:p w:rsidR="006F19E3" w:rsidRDefault="00F03E12">
      <w:pPr>
        <w:pStyle w:val="NormalHanging12a"/>
      </w:pPr>
      <w:r>
        <w:t>10.</w:t>
      </w:r>
      <w:r>
        <w:tab/>
        <w:t>podporuje využívanie M</w:t>
      </w:r>
      <w:r>
        <w:t>echanizmu na podporu obnovy a odolnosti a horizontálnych podmienok umožňujúcich zmrazenie finančných prostriedkov EÚ na boj proti korupcii a zaostávaniu v oblasti právneho štátu v členských štátoch; zdôrazňuje, že finančné prostriedky obmedzené rôznymi opa</w:t>
      </w:r>
      <w:r>
        <w:t xml:space="preserve">treniami podmienenosti sa môžu uvoľniť až po splnení kľúčových základných podmienok; naliehavo vyzýva členské štáty, aby dokončili vhodné opatrenia na dosiahnutie míľnikov stanovených v ich príslušných plánoch obnovy a odolnosti; vyzýva Európsku radu, aby </w:t>
      </w:r>
      <w:r>
        <w:t xml:space="preserve">prijala opatrenia a rozhodla, či sa Maďarsko dopustilo závažného a pretrvávajúceho porušovania hodnôt EÚ podľa článku 7 ods. 2 Zmluvy o EÚ; vyjadruje hlboké poľutovanie nad systematickým obviňovaním komunity LGBTQI+ maďarskými orgánmi; zdôrazňuje, že Rada </w:t>
      </w:r>
      <w:r>
        <w:t>nesie spoločnú zodpovednosť za ochranu hodnôt zakotvených v článku 2 Zmluvy o EÚ a ak by tak nečinila, malo by to dlhodobé a potenciálne škodlivé dôsledky; trvá na tom, aby sa rešpektovala úloha a právomoci Európskeho parlamentu;</w:t>
      </w:r>
    </w:p>
    <w:p w:rsidR="006F19E3" w:rsidRDefault="00F03E12">
      <w:pPr>
        <w:pStyle w:val="NormalHanging12a"/>
        <w:rPr>
          <w:szCs w:val="24"/>
        </w:rPr>
      </w:pPr>
      <w:r>
        <w:t>11.</w:t>
      </w:r>
      <w:r>
        <w:tab/>
        <w:t xml:space="preserve">vyjadruje poľutovanie </w:t>
      </w:r>
      <w:r>
        <w:t>nad tým, že niektoré členské štáty predlžujú núdzové opatrenia nad rámec toho, čo je nevyhnutné a primerané, a snažia sa urýchlene prijať právne predpisy bez riadnej konzultácie;</w:t>
      </w:r>
    </w:p>
    <w:p w:rsidR="006F19E3" w:rsidRDefault="00F03E12">
      <w:pPr>
        <w:pStyle w:val="NormalHanging12a"/>
        <w:rPr>
          <w:szCs w:val="24"/>
        </w:rPr>
      </w:pPr>
      <w:r>
        <w:t>12.</w:t>
      </w:r>
      <w:r>
        <w:tab/>
        <w:t>opätovne zdôrazňuje bezprostrednú potrebu vytvoriť mechanizmus EÚ pre dem</w:t>
      </w:r>
      <w:r>
        <w:t>okraciu, právny štát a základné práva a naliehavo vyzýva Komisiu a Radu, aby bezodkladne začali rokovania s Európskym parlamentom o takejto dohode;</w:t>
      </w:r>
    </w:p>
    <w:p w:rsidR="006F19E3" w:rsidRDefault="00F03E12">
      <w:pPr>
        <w:pStyle w:val="NormalHanging12a"/>
        <w:rPr>
          <w:szCs w:val="24"/>
        </w:rPr>
      </w:pPr>
      <w:r>
        <w:t>13.</w:t>
      </w:r>
      <w:r>
        <w:tab/>
        <w:t xml:space="preserve">víta zavedenie vysielania a priamych prenosov zo zasadnutí Súdneho dvora v roku 2022 s cieľom poskytnúť </w:t>
      </w:r>
      <w:r>
        <w:t>verejnosti čiastočný prístup k jeho súdnej činnosti;</w:t>
      </w:r>
    </w:p>
    <w:p w:rsidR="006F19E3" w:rsidRDefault="00F03E12">
      <w:pPr>
        <w:pStyle w:val="Normal12a24b"/>
        <w:rPr>
          <w:i/>
        </w:rPr>
      </w:pPr>
      <w:r>
        <w:rPr>
          <w:rStyle w:val="Bold"/>
          <w:i/>
        </w:rPr>
        <w:t>Slobody</w:t>
      </w:r>
    </w:p>
    <w:p w:rsidR="006F19E3" w:rsidRDefault="00F03E12">
      <w:pPr>
        <w:pStyle w:val="NormalHanging12a"/>
        <w:rPr>
          <w:szCs w:val="24"/>
        </w:rPr>
      </w:pPr>
      <w:r>
        <w:t>14.</w:t>
      </w:r>
      <w:r>
        <w:tab/>
        <w:t>vyjadruje hlboké znepokojenie nad čoraz väčším ohrozením slobody združovania, prejavu a zhromažďovania; pripomína, že právo na pokojné zhromažďovanie možno obmedziť len vtedy, ak sa to ustano</w:t>
      </w:r>
      <w:r>
        <w:t>vuje zákonom a je to nevyhnutné a primerané na ochranu všeobecného záujmu uznaného Úniou alebo práv a slobôd iných; odsudzuje v niektorých prípadoch použitie násilných a neprimeraných zásahov orgánov presadzovania práva počas pokojných protestov, ako aj pr</w:t>
      </w:r>
      <w:r>
        <w:t xml:space="preserve">ípady svojvoľného masového zatýkania potenciálnych demonštrantov; nabáda príslušné vnútroštátne orgány, aby zabezpečili transparentné, nestranné, nezávislé a účinné vyšetrovanie podozrení či obvinení z použitia neprimeranej sily; vyzýva členské štáty, aby </w:t>
      </w:r>
      <w:r>
        <w:t>využívali alternatívne postupy na zachovanie verejného poriadku, ktoré sa už v iných členských štátoch ukázali ako účinné;</w:t>
      </w:r>
    </w:p>
    <w:p w:rsidR="006F19E3" w:rsidRDefault="00F03E12">
      <w:pPr>
        <w:pStyle w:val="NormalHanging12a"/>
      </w:pPr>
      <w:r>
        <w:t>15.</w:t>
      </w:r>
      <w:r>
        <w:tab/>
        <w:t>zdôrazňuje, že na zabezpečenie slobody prejavu a práva na informácie, ktoré sú základom každej demokracie, musia byť informácie v</w:t>
      </w:r>
      <w:r>
        <w:t>šeobecne prístupné a rôznorodé; zdôrazňuje, že musí byť zaručená umelecká sloboda; zdôrazňuje, že dezinformácie môžu výrazne narušiť fungovanie demokratických spoločností, hospodárstiev a politických systémov; pripomína potrebu zahrnúť mediálnu a digitálnu</w:t>
      </w:r>
      <w:r>
        <w:t xml:space="preserve"> gramotnosť do občianskej výchovy s cieľom bojovať proti šíreniu dezinformácií; opakuje svoje odporúčania prijať účinné opatrenia na boj proti dezinformáciám šíreným zlomyseľnými zahraničných mocnosťami, najmä so zreteľom na nadchádzajúce voľby do Európske</w:t>
      </w:r>
      <w:r>
        <w:t xml:space="preserve">ho parlamentu; zdôrazňuje, že na účinný boj proti dezinformáciám a propagande je mimoriadne potrebné nezávislé a pluralitné mediálne prostredie online i </w:t>
      </w:r>
      <w:r>
        <w:lastRenderedPageBreak/>
        <w:t>offline, ktoré sa musí podporovať, a to aj účinnými opatreniami proti koncentrácii médií;</w:t>
      </w:r>
    </w:p>
    <w:p w:rsidR="006F19E3" w:rsidRDefault="00F03E12">
      <w:pPr>
        <w:pStyle w:val="NormalHanging12a"/>
        <w:rPr>
          <w:szCs w:val="24"/>
        </w:rPr>
      </w:pPr>
      <w:r>
        <w:t>16.</w:t>
      </w:r>
      <w:r>
        <w:tab/>
        <w:t>zdôrazňuj</w:t>
      </w:r>
      <w:r>
        <w:t>e, že podľa práva Únie musia byť národné regulačné orgány a/alebo inštitúcie funkčne nezávislé od svojej vlády a nesmú žiadať ani prijímať žiadne pokyny od žiadneho iného orgánu; konštatuje, že mimoriadne dôležitá je politická nezávislosť regulácie médií a</w:t>
      </w:r>
      <w:r>
        <w:t xml:space="preserve"> dohľadu členských štátov a Komisie, ochrana redakčnej nezávislosti v celej EÚ, ako aj ochrana novinárov pred sledovaním a ochrana novinárskych zdrojov; naliehavo v tejto súvislosti vyzýva na prijatie účinného európskeho aktu o slobode médií s cieľom zaruč</w:t>
      </w:r>
      <w:r>
        <w:t>iť nezávislosť, pluralitu a slobodu médií v celej EÚ a zabezpečiť transparentnosť vlastníctva a financovania;</w:t>
      </w:r>
    </w:p>
    <w:p w:rsidR="006F19E3" w:rsidRDefault="00F03E12">
      <w:pPr>
        <w:pStyle w:val="NormalHanging12a"/>
        <w:rPr>
          <w:szCs w:val="24"/>
        </w:rPr>
      </w:pPr>
      <w:r>
        <w:t>17.</w:t>
      </w:r>
      <w:r>
        <w:tab/>
        <w:t>zdôrazňuje kľúčovú úlohu organizácií občianskej spoločnosti pri podpore aktívneho občianstva, základných práv a demokratickej účasti v Európe;</w:t>
      </w:r>
      <w:r>
        <w:t xml:space="preserve"> naliehavo vyzýva Komisiu, aby predložila stratégiu a zaviedla minimálne normy na ochranu organizácií občianskej spoločnosti vo všetkých členských štátoch s cieľom podporiť regulačné a politické prostredie bez odstrašujúcich účinkov, hrozieb a útokov a pos</w:t>
      </w:r>
      <w:r>
        <w:t>kytnúť organizáciám občianskej spoločnosti udržateľný a nediskriminačný prístup k zdrojom a podporiť ich zapojenie do občianskeho dialógu a účasť na tvorbe politík; odsudzuje, že situácia obhajcov ľudských práv v EÚ sa v posledných rokoch alarmujúco zhorši</w:t>
      </w:r>
      <w:r>
        <w:t>la; naliehavo vyzýva Komisiu a členské štáty, aby prijali potrebné opatrenia, aby obhajcovia ľudských práv mohli pracovať bez prekážok a neistoty;</w:t>
      </w:r>
    </w:p>
    <w:p w:rsidR="006F19E3" w:rsidRDefault="00F03E12">
      <w:pPr>
        <w:pStyle w:val="NormalHanging12a"/>
        <w:rPr>
          <w:szCs w:val="24"/>
        </w:rPr>
      </w:pPr>
      <w:r>
        <w:t>18.</w:t>
      </w:r>
      <w:r>
        <w:tab/>
        <w:t xml:space="preserve">pripomína, že podľa článku 6 charty má každý právo na slobodu a bezpečnosť, čo znamená, že každý v EÚ by </w:t>
      </w:r>
      <w:r>
        <w:t>mal byť chránený pred nezákonným a svojvoľným zatknutím; vyzýva členské štáty, aby sa riadili odporúčaním Komisie o procesných právach podozrivých a obvinených osôb s cieľom zlepšiť podmienky zadržiavania, a tým zabezpečiť vyššiu ochranu práva na slobodu a</w:t>
      </w:r>
      <w:r>
        <w:t xml:space="preserve"> bezpečnosť;</w:t>
      </w:r>
    </w:p>
    <w:p w:rsidR="006F19E3" w:rsidRDefault="00F03E12">
      <w:pPr>
        <w:pStyle w:val="NormalHanging12a"/>
      </w:pPr>
      <w:r>
        <w:t>19.</w:t>
      </w:r>
      <w:r>
        <w:tab/>
      </w:r>
      <w:r>
        <w:t xml:space="preserve">odsudzuje nárast diskriminácie na základe náboženstva a viery a rasistických incidentov v EÚ; vyzýva Komisiu a členské štáty, aby v tejto súvislosti prijali rozhodné opatrenia, a to aj na medzinárodnej úrovni; pripomína, že podľa článku 10 charty má každý </w:t>
      </w:r>
      <w:r>
        <w:t>právo na slobodu myslenia, svedomia a náboženského vyznania; vyjadruje poľutovanie nad tým, že prípady diskriminácie a rasistických a xenofóbnych trestných činov sa často neoznamujú úradom, čo vedie de facto k beztrestnosti; vyjadruje ľútosť, že nie všetky</w:t>
      </w:r>
      <w:r>
        <w:t xml:space="preserve"> členské štáty plne transponovali rámcové rozhodnutie o boji proti niektorým formám a prejavom rasizmu a xenofóbie prostredníctvom trestného práva;</w:t>
      </w:r>
    </w:p>
    <w:p w:rsidR="006F19E3" w:rsidRDefault="00F03E12">
      <w:pPr>
        <w:pStyle w:val="NormalHanging12a"/>
        <w:rPr>
          <w:szCs w:val="24"/>
        </w:rPr>
      </w:pPr>
      <w:r>
        <w:t>20.</w:t>
      </w:r>
      <w:r>
        <w:tab/>
        <w:t>je znepokojený rastúcim počtom prípadov policajného násilia voči rómskemu obyvateľstvu; vyzýva členské š</w:t>
      </w:r>
      <w:r>
        <w:t>táty, aby tieto incidenty dôkladne vyšetrili a zabezpečili, aby nedochádzalo k beztrestnému zavádzaniu a/alebo vykonávaniu represívnych a násilných opatrení voči rómskym jednotlivcom alebo komunitám; ďalej vyzýva členské štáty, aby sa zamerali na problém n</w:t>
      </w:r>
      <w:r>
        <w:t>eobjektívnych policajných záznamov, podávania správ, trestných stíhaní a súdnych rozsudkov a nedostatočný prístup Rómov k spravodlivosti;</w:t>
      </w:r>
    </w:p>
    <w:p w:rsidR="006F19E3" w:rsidRDefault="00F03E12">
      <w:pPr>
        <w:pStyle w:val="NormalHanging12a"/>
        <w:rPr>
          <w:szCs w:val="24"/>
        </w:rPr>
      </w:pPr>
      <w:r>
        <w:t>21.</w:t>
      </w:r>
      <w:r>
        <w:tab/>
        <w:t>poukazuje na to, že v dôsledku datafikácie každodenného života a škandálov v súvislosti s údajmi rastie význam prá</w:t>
      </w:r>
      <w:r>
        <w:t>va na ochranu osobných údajov; opätovne vyjadruje obavy z nerovnomerného uplatňovania všeobecného nariadenia o ochrane údajov; podporuje iniciatívy na posilnenie legislatívneho procesu v oblasti regulačného rámca EÚ pre umelú inteligenciu, ktorý by poskyto</w:t>
      </w:r>
      <w:r>
        <w:t xml:space="preserve">val účinné záruky v oblasti </w:t>
      </w:r>
      <w:r>
        <w:lastRenderedPageBreak/>
        <w:t>základných práv;</w:t>
      </w:r>
    </w:p>
    <w:p w:rsidR="006F19E3" w:rsidRDefault="00F03E12">
      <w:pPr>
        <w:pStyle w:val="NormalHanging12a"/>
      </w:pPr>
      <w:r>
        <w:t>22.</w:t>
      </w:r>
      <w:r>
        <w:tab/>
        <w:t>dôrazne odsudzuje rozsiahle porušovanie základných práv migrantov vrátane utečencov a používanie neprimeraného násilia voči nim na hraniciach EÚ vrátane svojvoľného zadržiavania, neľudských životných podmien</w:t>
      </w:r>
      <w:r>
        <w:t>ok a nedostatočného prístupu k zdravotnej starostlivosti, nezákonných návratov a násilného zavracania migrantov; je veľmi znepokojený tým, že členské štáty vo svojich vnútroštátnych právnych predpisoch ustanovujú využívanie postupov zavracania; odsudzuje v</w:t>
      </w:r>
      <w:r>
        <w:t>šetky zákony v členských štátoch, ktoré podkopávajú účinnú ochranu ľudských práv utečencov, žiadateľov o azyl a migrantov na pevnine a na mori, ako aj kriminalizáciu humanitárnych pracovníkov a aktivistov; zdôrazňuje, že takmer tretina žiadateľov o azyl sú</w:t>
      </w:r>
      <w:r>
        <w:t xml:space="preserve"> deti, a opakuje, že zadržiavanie detí pri imigrácii by nemalo byť povolené;</w:t>
      </w:r>
    </w:p>
    <w:p w:rsidR="006F19E3" w:rsidRDefault="00F03E12">
      <w:pPr>
        <w:pStyle w:val="NormalHanging12a"/>
        <w:rPr>
          <w:szCs w:val="24"/>
        </w:rPr>
      </w:pPr>
      <w:r>
        <w:t>23.</w:t>
      </w:r>
      <w:r>
        <w:tab/>
        <w:t>vyzýva EÚ a členské štáty, aby zabezpečili zavedenie účinných mechanizmov dohľadu s cieľom zaistiť dodržiavanie základných práv na vonkajších hraniciach, čo by malo zahŕňať aj</w:t>
      </w:r>
      <w:r>
        <w:t xml:space="preserve"> monitorovanie činností hraničného dozoru; ďalej vyzýva Komisiu a členské štáty, aby zabezpečili, že jednotlivci, ktorých údaje sú uložené v databázach rozsiahlych informačných systémov EÚ, budú informovaní o svojich právach a budú mať prístup k dostupným </w:t>
      </w:r>
      <w:r>
        <w:t>prostriedkom nápravy;</w:t>
      </w:r>
    </w:p>
    <w:p w:rsidR="006F19E3" w:rsidRDefault="00F03E12">
      <w:pPr>
        <w:pStyle w:val="NormalHanging12a"/>
        <w:rPr>
          <w:szCs w:val="24"/>
        </w:rPr>
      </w:pPr>
      <w:r>
        <w:t>24.</w:t>
      </w:r>
      <w:r>
        <w:tab/>
        <w:t>dôrazne odsudzuje početné úmrtia utečencov a migrantov na mori, ktorí sú často obeťami obchodovania s ľuďmi a čelia neľudskému a ponižujúcemu zaobchádzaniu bez toho, aby sa bral akýkoľvek ohľad na ich bezpečnosť; opätovne zdôrazňu</w:t>
      </w:r>
      <w:r>
        <w:t>je povinnosť podľa medzinárodného morského práva pomáhať osobám v núdzi a naliehavo vyzýva na vykonávanie kontinuálnych koordinovaných pátracích a záchranných operácie s rýchlym vylodením a vyzýva členské štáty, aby prijali všetky možné opatrenia na záchra</w:t>
      </w:r>
      <w:r>
        <w:t>nu životov ľudí ohrozených na mori; žiada, aby sa rešpektovalo právo na azyl všetkých osôb zachránených na mori, a to posudzovaním individuálnych okolností od prípadu k prípadu;</w:t>
      </w:r>
    </w:p>
    <w:p w:rsidR="006F19E3" w:rsidRDefault="00F03E12">
      <w:pPr>
        <w:pStyle w:val="NormalHanging12a"/>
        <w:rPr>
          <w:szCs w:val="24"/>
        </w:rPr>
      </w:pPr>
      <w:r>
        <w:t>25.</w:t>
      </w:r>
      <w:r>
        <w:tab/>
        <w:t>konštatuje, že viaceré členské štáty využívajú národnú bezpečnosť ako urču</w:t>
      </w:r>
      <w:r>
        <w:t>júci faktor vnútornej politiky, ako je migrácia; zdôrazňuje, že všetky opatrenia prijaté na základe národnej bezpečnosti musia byť nevyhnutné a primerané a nesmú byť v rozpore s právami zaručenými chartou; pripomína, že v článku 19 charty sa stanovuje ochr</w:t>
      </w:r>
      <w:r>
        <w:t>ana v prípade vysťahovania, vyhostenia alebo extradície s tým, že hromadné vyhostenie je zakázané, a preto sa vyžaduje individuálne posudzovanie a zakazuje sa zamietnutie žiadostí o medzinárodnú ochranu výlučne na základe konkrétnej štátnej príslušnosti;</w:t>
      </w:r>
    </w:p>
    <w:p w:rsidR="006F19E3" w:rsidRDefault="00F03E12">
      <w:pPr>
        <w:pStyle w:val="NormalHanging12a"/>
        <w:rPr>
          <w:szCs w:val="24"/>
        </w:rPr>
      </w:pPr>
      <w:r>
        <w:t>2</w:t>
      </w:r>
      <w:r>
        <w:t>6.</w:t>
      </w:r>
      <w:r>
        <w:tab/>
        <w:t>víta aktiváciu smernice EÚ o dočasnej ochrane</w:t>
      </w:r>
      <w:r>
        <w:rPr>
          <w:rStyle w:val="FootnoteReference"/>
        </w:rPr>
        <w:footnoteReference w:id="48"/>
      </w:r>
      <w:r>
        <w:t xml:space="preserve"> po vojne na Ukrajine, ktorej cieľom je zabezpečiť utečencom a žiadateľom o azyl akéhokoľvek pôvodu prístup k ochrane; pripomína, že pri zabezpečovaní prístupu k ubytovaniu, zamestnaniu, vzdelávaniu, zdravot</w:t>
      </w:r>
      <w:r>
        <w:t>nej starostlivosti a službám sociálneho zabezpečenia podľa smernice o dočasnej ochrane sa musí zohľadňovať rodový prístup; vyjadruje poľutovanie nad nerovným zaobchádzaním, rasovou diskrimináciou a násilím, ktorým čelia osoby utekajúce pred konfliktmi, kto</w:t>
      </w:r>
      <w:r>
        <w:t xml:space="preserve">ré nie sú ukrajinskými občanmi, najmä osoby inej farby pleti a </w:t>
      </w:r>
      <w:r>
        <w:lastRenderedPageBreak/>
        <w:t>LGBTIQ+ osoby; vyjadruje poľutovanie nad dvojakými normami uplatňovanými na migrantov a utečencov v EÚ a naliehavo vyzýva na ukončenie tejto situácie;</w:t>
      </w:r>
    </w:p>
    <w:p w:rsidR="006F19E3" w:rsidRDefault="00F03E12">
      <w:pPr>
        <w:pStyle w:val="NormalHanging12a"/>
        <w:rPr>
          <w:szCs w:val="24"/>
        </w:rPr>
      </w:pPr>
      <w:r>
        <w:t>27.</w:t>
      </w:r>
      <w:r>
        <w:tab/>
        <w:t>víta odporúčanie Výboru ministrov Rady</w:t>
      </w:r>
      <w:r>
        <w:t xml:space="preserve"> Európy o ochrane práv migrantiek, utečeniek a dievčat žiadajúcich o azyl, v ktorom vyzýva členské štáty, aby prijali opatrenia na predchádzanie diskriminácii týchto žien, a to aj podporou prístupu k zamestnaniu, sexuálnej a reprodukčnej zdravotnej starost</w:t>
      </w:r>
      <w:r>
        <w:t>livosti a uľahčením prístupu k službám a spravodlivosti pre osoby, ktoré zažili rodovo motivované násilie</w:t>
      </w:r>
      <w:r>
        <w:rPr>
          <w:vertAlign w:val="superscript"/>
        </w:rPr>
        <w:footnoteReference w:id="49"/>
      </w:r>
      <w:r>
        <w:t>;</w:t>
      </w:r>
    </w:p>
    <w:p w:rsidR="006F19E3" w:rsidRDefault="00F03E12">
      <w:pPr>
        <w:pStyle w:val="NormalHanging12a"/>
        <w:rPr>
          <w:szCs w:val="24"/>
        </w:rPr>
      </w:pPr>
      <w:r>
        <w:t>28.</w:t>
      </w:r>
      <w:r>
        <w:tab/>
        <w:t xml:space="preserve">so znepokojením berie na vedomie veľký počet osôb bez štátnej príslušnosti v EÚ, najmä detí, ktoré sa bez štátnej príslušnosti narodili; vyzýva </w:t>
      </w:r>
      <w:r>
        <w:t>Komisiu, aby vypracovala komplexnú stratégiu a akčný plán na riešenie stavu osôb bez štátnej príslušnosti v EÚ a na ich ochranu pred vyhostením; vyzýva členské štáty, aby riadne identifikovali, uznali a chránili osoby bez štátnej príslušnosti a zamerali sa</w:t>
      </w:r>
      <w:r>
        <w:t xml:space="preserve"> na riešenie špecifických problémov, ktoré ich robia zraniteľnými;</w:t>
      </w:r>
    </w:p>
    <w:p w:rsidR="006F19E3" w:rsidRDefault="00F03E12">
      <w:pPr>
        <w:pStyle w:val="Normal12a24b"/>
        <w:rPr>
          <w:i/>
        </w:rPr>
      </w:pPr>
      <w:r>
        <w:rPr>
          <w:rStyle w:val="Bold"/>
          <w:i/>
        </w:rPr>
        <w:t>Rovnosť a dôstojnosť</w:t>
      </w:r>
    </w:p>
    <w:p w:rsidR="006F19E3" w:rsidRDefault="00F03E12">
      <w:pPr>
        <w:pStyle w:val="NormalHanging12a"/>
      </w:pPr>
      <w:r>
        <w:t>29.</w:t>
      </w:r>
      <w:r>
        <w:tab/>
        <w:t>vyzýva Komisiu, aby zabezpečila dodržiavanie práva na nediskrimináciu a rovnaké zaobchádzanie v celej EÚ; vyjadruje poľutovanie nad tým, že Rada už od roku 2008 blo</w:t>
      </w:r>
      <w:r>
        <w:t>kuje návrh horizontálnej antidiskriminačnej smernice; domnieva sa, že akákoľvek aktualizácia tohto návrhu Komisiou musí vychádzať z pozície Európskeho parlamentu, zameriavať sa na prierezovú diskrimináciu a výslovne zakazovať diskrimináciu na základe akejk</w:t>
      </w:r>
      <w:r>
        <w:t>oľvek kombinácie dôvodov uvedených v charte; vyjadruje poľutovanie nad tým, že Rada tieto požiadavky ignorovala, a naliehavo ju vyzýva, aby ich začlenila do svojho mandátu a aby prijala všetky primerané opatrenia na boj proti diskriminácii v EÚ;</w:t>
      </w:r>
    </w:p>
    <w:p w:rsidR="006F19E3" w:rsidRDefault="00F03E12">
      <w:pPr>
        <w:pStyle w:val="NormalHanging12a"/>
        <w:rPr>
          <w:szCs w:val="24"/>
        </w:rPr>
      </w:pPr>
      <w:r>
        <w:t>30.</w:t>
      </w:r>
      <w:r>
        <w:tab/>
        <w:t>vyzýva</w:t>
      </w:r>
      <w:r>
        <w:t xml:space="preserve"> Komisiu, aby monitorovala vykonávanie národných akčných plánov proti rasizmu členskými štátmi a akčného plánu EÚ proti rasizmu a zabezpečila v tej súvislosti náležité následné opatrenia; ďalej naliehavo vyzýva Komisiu, aby začlenila boj proti rasizmu a di</w:t>
      </w:r>
      <w:r>
        <w:t>skriminácii do všetkých politík EÚ; vyzýva nadchádzajúce predsedníctva Rady, aby sa vážne zaoberali vytvorením Rady pre rodovú a inú rovnosť;</w:t>
      </w:r>
    </w:p>
    <w:p w:rsidR="006F19E3" w:rsidRDefault="00F03E12">
      <w:pPr>
        <w:pStyle w:val="NormalHanging12a"/>
        <w:rPr>
          <w:szCs w:val="24"/>
        </w:rPr>
      </w:pPr>
      <w:r>
        <w:t>31.</w:t>
      </w:r>
      <w:r>
        <w:tab/>
        <w:t>vyzýva Komisiu a členské štáty, aby účinnými legislatívnymi a politickými opatreniami v členských štátoch i kr</w:t>
      </w:r>
      <w:r>
        <w:t>ajinách zapojených do procesu rozširovania bojovali proti rasovej diskriminácii vo všetkých oblastiach spoločnosti s osobitným zameraním na vzdelávanie a prevenciu segregácie v školách;</w:t>
      </w:r>
    </w:p>
    <w:p w:rsidR="006F19E3" w:rsidRDefault="00F03E12">
      <w:pPr>
        <w:pStyle w:val="NormalHanging12a"/>
        <w:rPr>
          <w:szCs w:val="24"/>
        </w:rPr>
      </w:pPr>
      <w:r>
        <w:t>32.</w:t>
      </w:r>
      <w:r>
        <w:tab/>
        <w:t>pripomína, že v oblasti digitalizácie treba veľkú pozornosť venova</w:t>
      </w:r>
      <w:r>
        <w:t xml:space="preserve">ť diskriminačným predsudkom zavádzaným do nových technológií a od vývojárov a nasadzujúcich subjektov vyžadovať verejne prístupné informácie o tom, ako sú tieto systémy nastavené; vyzýva Komisiu a členské štáty, aby zaviedli opatrenia, ktorými sa zabráni, </w:t>
      </w:r>
      <w:r>
        <w:t>aby nové technológie vrátane umelej inteligencie prehlbovali diskrimináciu, existujúce nerovnosti a chudobu; vyzýva Komisiu a členské štáty, aby zabezpečili, že systémy umelej inteligencie sa budú riadiť zásadami transparentnosti, vysvetliteľnosti, spravod</w:t>
      </w:r>
      <w:r>
        <w:t xml:space="preserve">livosti a zodpovednosti, ako aj zavedenie posúdení vplyvu na základné práva; ďalej vyzýva Komisiu a členské štáty, aby sa zaoberali medzerami v rodovej oblasti a v </w:t>
      </w:r>
      <w:r>
        <w:lastRenderedPageBreak/>
        <w:t>oblasti rozmanitosti v odvetviach informačných a komunikačných technológií (IKT) a v oblasti</w:t>
      </w:r>
      <w:r>
        <w:t xml:space="preserve"> vedy, technológií, inžinierstva a matematiky (STEM), najmä pri vývoji nových technológií a predovšetkým v rozhodovacích pozíciách; </w:t>
      </w:r>
    </w:p>
    <w:p w:rsidR="006F19E3" w:rsidRDefault="00F03E12">
      <w:pPr>
        <w:pStyle w:val="NormalHanging12a"/>
        <w:rPr>
          <w:szCs w:val="24"/>
        </w:rPr>
      </w:pPr>
      <w:r>
        <w:t>33.</w:t>
      </w:r>
      <w:r>
        <w:tab/>
        <w:t>pripomína, že je dôležité, aby boli pre deti z národnostných menšín k dispozícii špecializované školy ponúkajúce vzdelá</w:t>
      </w:r>
      <w:r>
        <w:t>vanie v ich jazyku; nabáda na začlenenie zástupcov národnostných menšín do rozhodovacích procesov, ktoré majú vplyv na ich vzdelávacie systémy;</w:t>
      </w:r>
    </w:p>
    <w:p w:rsidR="006F19E3" w:rsidRDefault="00F03E12">
      <w:pPr>
        <w:pStyle w:val="NormalHanging12a"/>
      </w:pPr>
      <w:r>
        <w:t>34.</w:t>
      </w:r>
      <w:r>
        <w:tab/>
        <w:t>pripomína, že rodovo motivované násilie je veľmi rozšírené vo všetkých členských štátoch EÚ; dôrazne odsudzu</w:t>
      </w:r>
      <w:r>
        <w:t>je rýchle zhoršovanie situácie v oblasti práv žien a LGBTIQ+ osôb vo viacerých členských štátoch; dôrazne odsudzuje odopieranie prístupu k službám bezpečného a legálneho umelého prerušenia tehotenstva, keďže ide o formu rodovo motivovaného násilia; zdôrazň</w:t>
      </w:r>
      <w:r>
        <w:t>uje, že Európsky súd pre ľudské práv rozhodol, že reštriktívne zákony týkajúce sa umelého prerušenia tehotenstva a nedostatočné vykonávanie porušujú právo žien na telesnú autonómiu a integritu; opätovne odsudzuje poľský zákon, ktorý ukladá takmer úplný zák</w:t>
      </w:r>
      <w:r>
        <w:t>az umelého prerušenia tehotenstva; pripomína, že občania, ktorí ženám pomáhajú získať prístup k službám umelého prerušenia tehotenstva, ak nie sú voľne alebo legálne prístupné, by nemali byť stíhaní; opakuje svoju výzvu na zahrnutie práva na umelé prerušen</w:t>
      </w:r>
      <w:r>
        <w:t>ie tehotenstva do charty;</w:t>
      </w:r>
    </w:p>
    <w:p w:rsidR="006F19E3" w:rsidRDefault="00F03E12">
      <w:pPr>
        <w:pStyle w:val="NormalHanging12a"/>
        <w:rPr>
          <w:szCs w:val="24"/>
        </w:rPr>
      </w:pPr>
      <w:r>
        <w:t>35.</w:t>
      </w:r>
      <w:r>
        <w:tab/>
        <w:t>víta návrh Komisie na smernicu o boji proti násiliu páchanému na ženách a domácemu násiliu a vyzýva na urýchlené ukončenie rokovaní a zahrnutie rodovo motivovaného násilia do zoznamu trestných činov EÚ; zdôrazňuje, že takáto s</w:t>
      </w:r>
      <w:r>
        <w:t>mernica by mala ako minimálnu normu garantovať záväzky stanovené v Istanbulskom dohovore a jej cieľom by malo byť posilnenie týchto noriem s cieľom zvýšiť úroveň ochrany; víta ratifikáciu Istanbulského dohovoru Európskou úniou s účinnosťou od 1. októbra 20</w:t>
      </w:r>
      <w:r>
        <w:t>23; vyzýva zostávajúce členské štáty, aby dohovor urýchlene ratifikovali s cieľom chrániť ženy pred násilím;</w:t>
      </w:r>
    </w:p>
    <w:p w:rsidR="006F19E3" w:rsidRDefault="00F03E12">
      <w:pPr>
        <w:pStyle w:val="NormalHanging12a"/>
        <w:rPr>
          <w:szCs w:val="24"/>
        </w:rPr>
      </w:pPr>
      <w:r>
        <w:t>36.</w:t>
      </w:r>
      <w:r>
        <w:tab/>
        <w:t>podčiarkuje, že osoby so zdravotným postihnutím, najmä ženy, aj naďalej čelia viacnásobnej a prierezovej diskriminácii na základe svojho zdravo</w:t>
      </w:r>
      <w:r>
        <w:t>tného postihnutia a pohlavia, rasy, etnického pôvodu, veku, náboženstva, viery, sexuálnej orientácie, migračného postavenia alebo sociálno-ekonomickej situácie, v ktorej sa nachádzajú; zdôrazňuje, že ženy a dievčatá so zdravotným postihnutím sú obzvlášť vy</w:t>
      </w:r>
      <w:r>
        <w:t>stavené rodovo motivovanému násiliu vrátane fyzického, sexuálneho, psychologického a ekonomického násilia; vyzýva Komisiu a členské štáty, aby zabezpečili zavedenie a prístupnosť mechanizmov na oznamovanie násilia páchaného na osobách so zdravotným postihn</w:t>
      </w:r>
      <w:r>
        <w:t>utím, ako aj služieb poskytovania podpory obetiam;</w:t>
      </w:r>
    </w:p>
    <w:p w:rsidR="006F19E3" w:rsidRDefault="00F03E12">
      <w:pPr>
        <w:pStyle w:val="NormalHanging12a"/>
        <w:rPr>
          <w:szCs w:val="24"/>
        </w:rPr>
      </w:pPr>
      <w:r>
        <w:t>37.</w:t>
      </w:r>
      <w:r>
        <w:tab/>
        <w:t>zdôrazňuje, že práva dieťaťa sú univerzálne a že každé dieťa by malo mať rovnaké práva bez diskriminácie, napríklad právo na uznanie rodičovstva, a to aj pre páry rovnakého pohlavia; víta návrh Komisie</w:t>
      </w:r>
      <w:r>
        <w:t xml:space="preserve"> na nariadenie o právomoci, rozhodnom práve, uznávaní rozhodnutí a prijímaní verejných listín vo veciach rodičovstva a o zavedení európskeho osvedčenia o rodičovstve s cieľom chrániť práva všetkých detí tým, že sa zabezpečí, aby sa ich rodičovské väzby vrá</w:t>
      </w:r>
      <w:r>
        <w:t>tane, najmä, rodičov rovnakého pohlavia, vytvorené v jednom členskom štáte, uznávali vo všetkých členských štátoch EÚ;</w:t>
      </w:r>
    </w:p>
    <w:p w:rsidR="006F19E3" w:rsidRDefault="00F03E12">
      <w:pPr>
        <w:pStyle w:val="NormalHanging12a"/>
        <w:rPr>
          <w:szCs w:val="24"/>
        </w:rPr>
      </w:pPr>
      <w:r>
        <w:t>38.</w:t>
      </w:r>
      <w:r>
        <w:tab/>
        <w:t>vyzýva členské štáty, aby násilnú sterilizáciu trestali ako trestný čin; opakuje svoju pozíciu, že smernica o boji proti násiliu na ž</w:t>
      </w:r>
      <w:r>
        <w:t xml:space="preserve">enách a domácemu násiliu by mala zahŕňať </w:t>
      </w:r>
      <w:r>
        <w:lastRenderedPageBreak/>
        <w:t>násilnú sterilizáciu ako trestný čin podľa článku 83 ods. 1 ZFEÚ;</w:t>
      </w:r>
    </w:p>
    <w:p w:rsidR="006F19E3" w:rsidRDefault="00F03E12">
      <w:pPr>
        <w:pStyle w:val="NormalHanging12a"/>
        <w:rPr>
          <w:szCs w:val="24"/>
        </w:rPr>
      </w:pPr>
      <w:r>
        <w:t>39.</w:t>
      </w:r>
      <w:r>
        <w:tab/>
        <w:t xml:space="preserve">pripomína, že trestné činy z nenávisti a nenávistné prejavy motivované rasizmom, xenofóbiou alebo náboženskou neznášanlivosťou či nepriateľstvom </w:t>
      </w:r>
      <w:r>
        <w:t>alebo predsudkami voči zdravotnému postihnutiu, sexuálnej orientácii, rodovej identite, rodovým prejavom alebo pohlavným znakom sú extrémnymi príkladmi diskriminácie; konštatuje, že členské štáty majú povinnosť bojovať proti trestným činom z nenávisti a vy</w:t>
      </w:r>
      <w:r>
        <w:t>šetrovať ich, trestať páchateľov a prijímať preventívne opatrenia; zdôrazňuje potrebu primeraného zaznamenávania trestných činov z nenávisti orgánmi presadzovania práva s cieľom lepšie pochopiť povahu a výskyt tohto javu a jeho vplyv na obete, ako aj potre</w:t>
      </w:r>
      <w:r>
        <w:t>bu zameriavať sa na ich základné príčiny;</w:t>
      </w:r>
    </w:p>
    <w:p w:rsidR="006F19E3" w:rsidRDefault="00F03E12">
      <w:pPr>
        <w:pStyle w:val="NormalHanging12a"/>
      </w:pPr>
      <w:r>
        <w:t>40.</w:t>
      </w:r>
      <w:r>
        <w:tab/>
        <w:t>víta iniciatívu Komisie rozšíriť zoznam trestných činov EÚ v článku 83 ods. 1 ZFEÚ o nenávistné prejavy a trestné činy z nenávisti a zdôrazňuje potrebu zabezpečiť dôslednú trestnoprávnu reakciu EÚ na nenávistné</w:t>
      </w:r>
      <w:r>
        <w:t xml:space="preserve"> prejavy a trestné činy z nenávisti; vyjadruje veľké poľutovanie nad oneskoreným schválením iniciatívy a opakuje svoju výzvu Rade, aby dôsledne pracovala na dosiahnutí konsenzu;</w:t>
      </w:r>
    </w:p>
    <w:p w:rsidR="006F19E3" w:rsidRDefault="00F03E12">
      <w:pPr>
        <w:pStyle w:val="NormalHanging12a"/>
        <w:rPr>
          <w:szCs w:val="24"/>
        </w:rPr>
      </w:pPr>
      <w:r>
        <w:t>41.</w:t>
      </w:r>
      <w:r>
        <w:tab/>
        <w:t>pripomína, že právnymi predpismi EÚ o nenávistných prejavoch a trestných č</w:t>
      </w:r>
      <w:r>
        <w:t>inoch z nenávisti by sa mala všeobecne chrániť ľudská dôstojnosť a malo by sa bojovať proti nenávisti a neznášanlivosti bez ohľadu na motiváciu týchto prejavov a činov a s osobitným zameraním na cieľové osoby, skupiny a komunity; dôrazne odsudzuje všetky f</w:t>
      </w:r>
      <w:r>
        <w:t>ormy nenávistných prejavov a očierňujúcich kampaní vo verejných médiách proti novinárom, politikom, verejným činiteľom, aktivistom a ďalším osobám;</w:t>
      </w:r>
    </w:p>
    <w:p w:rsidR="006F19E3" w:rsidRDefault="00F03E12">
      <w:pPr>
        <w:pStyle w:val="NormalHanging12a"/>
        <w:rPr>
          <w:szCs w:val="24"/>
        </w:rPr>
      </w:pPr>
      <w:r>
        <w:t>42.</w:t>
      </w:r>
      <w:r>
        <w:tab/>
        <w:t>vyzýva Komisiu, aby účinne monitorovala vykonávanie opatrení obsiahnutých v rôznych stratégiách v oblast</w:t>
      </w:r>
      <w:r>
        <w:t>i rovnosti, ako sú stratégia EÚ pre rovnosť LGBTIQ+ osôb na roky 2020 – 2025, stratégia EÚ pre rodovú rovnosť na roky 2020 – 2025, stratégia pre rovnosť a začlenenie Rómov a akčný plán EÚ proti rasizmu na roky 2020 – 2025; naliehavo vyzýva členské štáty, a</w:t>
      </w:r>
      <w:r>
        <w:t>by urýchlene vypracovali a vykonali národné akčné plány proti rasizmu;</w:t>
      </w:r>
    </w:p>
    <w:p w:rsidR="006F19E3" w:rsidRDefault="00F03E12">
      <w:pPr>
        <w:pStyle w:val="NormalHanging12a"/>
      </w:pPr>
      <w:r>
        <w:t>43.</w:t>
      </w:r>
      <w:r>
        <w:tab/>
        <w:t>víta, že sa Komisia po prvýkrát uplatnila samostatné porušenie článku 2 Zmluvy o EÚ, keď Súdnemu dvoru postúpila maďarský „zákon o ochrane detí“, ktorý bol použitý na zamaskovanie i</w:t>
      </w:r>
      <w:r>
        <w:t>ných cieľov;</w:t>
      </w:r>
    </w:p>
    <w:p w:rsidR="006F19E3" w:rsidRDefault="00F03E12">
      <w:pPr>
        <w:pStyle w:val="Normal12a24b"/>
        <w:rPr>
          <w:b/>
          <w:i/>
        </w:rPr>
      </w:pPr>
      <w:r>
        <w:rPr>
          <w:rStyle w:val="Bold"/>
          <w:i/>
        </w:rPr>
        <w:t>Spoločenské, hospodárske a environmentálne práva</w:t>
      </w:r>
    </w:p>
    <w:p w:rsidR="006F19E3" w:rsidRDefault="00F03E12">
      <w:pPr>
        <w:pStyle w:val="NormalHanging12a"/>
      </w:pPr>
      <w:r>
        <w:t>44.</w:t>
      </w:r>
      <w:r>
        <w:tab/>
        <w:t>uznáva, že chudoba je ďalšou formou diskriminácie, ktorá vedie k porušovaniu základných práv a k nerovnému prístupu k výrobkom a službám; zdôrazňuje osobitnú zraniteľnosť detí a vplyv, ktorý</w:t>
      </w:r>
      <w:r>
        <w:t xml:space="preserve"> má chudoba na ne a na ich fyzický a psychický vývoj; vyzýva Komisiu, Radu a členské štáty, aby vypracovali prierezové politiky na zníženie chudoby a sociálneho vylúčenia a aby pritom osobitnú pozornosť venovali jednotlivcom v ohrození; víta schválenie Eur</w:t>
      </w:r>
      <w:r>
        <w:t>ópskej záruky pre deti, domnieva sa však, že treba vyvinúť väčšie úsilie, najmä v oblasti sociálnej ochrany; vyzýva členské štáty, aby zaručili rovnaký prístup a príležitosti pre kvalitné vzdelávanie a zamestnanie, keďže zohrávajú kľúčovú úlohu pri zmierňo</w:t>
      </w:r>
      <w:r>
        <w:t>vaní nerovnosti a vymanení ľudí z chudoby;</w:t>
      </w:r>
    </w:p>
    <w:p w:rsidR="006F19E3" w:rsidRDefault="00F03E12">
      <w:pPr>
        <w:pStyle w:val="NormalHanging12a"/>
        <w:rPr>
          <w:szCs w:val="24"/>
        </w:rPr>
      </w:pPr>
      <w:r>
        <w:t>45.</w:t>
      </w:r>
      <w:r>
        <w:tab/>
        <w:t>je hlboko znepokojený nárastom chudoby, nerovností a sociálneho vylúčenia v EÚ; vyzýva členské štáty, aby bojovali proti tzv. menštruačnej chudobe a zrušili DPH na výrobky osobnej hygieny; zdôrazňuje, že dlhod</w:t>
      </w:r>
      <w:r>
        <w:t xml:space="preserve">obé hospodárske dôsledky pandémie </w:t>
      </w:r>
      <w:r>
        <w:lastRenderedPageBreak/>
        <w:t>ochorenia COVID-19 a zvýšenie cien potravín a energií závažne ovplyvnili práva ľudí s nízkymi príjmami alebo žijúcimi v chudobe vrátane práva na primeranú životnú úroveň, potraviny, zdravie, bývanie a sociálne zabezpečenie</w:t>
      </w:r>
      <w:r>
        <w:t>; vyzýva Komisiu a Radu, aby vypracovali makroekonomické politiky, ktoré sa budú riadiť nielen hospodárskym rastom, ale aj sociálnymi normami, a pripomína význam sociálnych noriem v rámci európskeho semestra;</w:t>
      </w:r>
    </w:p>
    <w:p w:rsidR="006F19E3" w:rsidRDefault="00F03E12">
      <w:pPr>
        <w:pStyle w:val="NormalHanging12a"/>
        <w:rPr>
          <w:szCs w:val="24"/>
        </w:rPr>
      </w:pPr>
      <w:r>
        <w:t>46.</w:t>
      </w:r>
      <w:r>
        <w:tab/>
        <w:t xml:space="preserve">víta odporúčanie Rady z 30. januára 2023 o </w:t>
      </w:r>
      <w:r>
        <w:t>primeranom minimálnom príjme</w:t>
      </w:r>
      <w:r>
        <w:rPr>
          <w:vertAlign w:val="superscript"/>
        </w:rPr>
        <w:footnoteReference w:id="50"/>
      </w:r>
      <w:r>
        <w:t>, ktorým sa zabezpečuje aktívne začleňovanie ako krok vpred pri vykonávaní zásady 14 Európskeho piliera sociálnych práv; vyjadruje však poľutovanie nad chýbajúcimi konkrétnymi opatreniami na prekonanie štrukturálnej diskriminác</w:t>
      </w:r>
      <w:r>
        <w:t>ie voči zraniteľným skupinám; vyzýva členské štáty, aby zbierali údaje o minimálnom príjme rozčlenenom podľa týchto skupín;</w:t>
      </w:r>
    </w:p>
    <w:p w:rsidR="006F19E3" w:rsidRDefault="00F03E12">
      <w:pPr>
        <w:pStyle w:val="NormalHanging12a"/>
        <w:rPr>
          <w:szCs w:val="24"/>
        </w:rPr>
      </w:pPr>
      <w:r>
        <w:t>47.</w:t>
      </w:r>
      <w:r>
        <w:tab/>
        <w:t>zdôrazňuje, že digitalizácia je prierezový proces, ktorý ovplyvňuje prístup ku všetkým službám, najmä k zdravotnej starostlivost</w:t>
      </w:r>
      <w:r>
        <w:t>i, a uplatňovanie základných práv; podčiarkuje, že digitálna chudoba v EÚ by sa mala monitorovať a posudzovať vo vzťahu k prístupu k základným službám a základným právam, a to aj pre starších ľudí, ľudí žijúcich v odľahlých oblastiach, ľudí bez domova a Ró</w:t>
      </w:r>
      <w:r>
        <w:t>mov; pripomína, že podľa Dohovoru o právach osôb so zdravotným postihnutím sú členské štáty povinné zabezpečiť, aby osoby so zdravotným postihnutím mali plný prístup k spoločnosti; pripomína, že technologické závislosti predstavujú problém verejného zdravi</w:t>
      </w:r>
      <w:r>
        <w:t>a, ktorý postihuje najmä maloleté osoby a ich telesnú a duševnú integritu;</w:t>
      </w:r>
    </w:p>
    <w:p w:rsidR="006F19E3" w:rsidRDefault="00F03E12">
      <w:pPr>
        <w:pStyle w:val="NormalHanging12a"/>
        <w:rPr>
          <w:szCs w:val="24"/>
        </w:rPr>
      </w:pPr>
      <w:r>
        <w:t>48.</w:t>
      </w:r>
      <w:r>
        <w:tab/>
        <w:t>konštatuje, že bývanie nie je komodita, ale nevyhnutnosť, ktorá je predpokladom plnohodnotného zapojenia sa do spoločnosti; vyzýva členské štáty, aby zvýšili investície do sociá</w:t>
      </w:r>
      <w:r>
        <w:t>lneho a cenovo dostupného bývania s cieľom odstrániť záťaž vysokých nákladov na bývanie, najmä medzi znevýhodnenými a zraniteľnými skupinami, a zabrániť súpereniu medzi týmito skupinami;</w:t>
      </w:r>
    </w:p>
    <w:p w:rsidR="006F19E3" w:rsidRDefault="00F03E12">
      <w:pPr>
        <w:pStyle w:val="NormalHanging12a"/>
        <w:rPr>
          <w:szCs w:val="24"/>
        </w:rPr>
      </w:pPr>
      <w:r>
        <w:t>49.</w:t>
      </w:r>
      <w:r>
        <w:tab/>
        <w:t>víta, že Rada OSN pre ľudské práva uznala 8. októbra 2021 univerz</w:t>
      </w:r>
      <w:r>
        <w:t>álne právo na prístup k zdravému a udržateľnému životnému prostrediu; zdôrazňuje, že znehodnocovanie životného prostredia a neschopnosť niektorých verejných orgánov poskytovať informácie o závažných environmentálnych rizikách, ktorým sú jednotlivci vystave</w:t>
      </w:r>
      <w:r>
        <w:t>ní, môžu mať pre jednotlivcov veľmi škodlivé dôsledky; pripomína potrebu plného zosúladenia noriem EÚ v oblasti kvality okolitého ovzdušia s najnovšími usmerneniami Svetovej zdravotníckej organizácie do roku 2030;</w:t>
      </w:r>
    </w:p>
    <w:p w:rsidR="006F19E3" w:rsidRDefault="00F03E12">
      <w:pPr>
        <w:pStyle w:val="Normal12a24b"/>
        <w:rPr>
          <w:i/>
        </w:rPr>
      </w:pPr>
      <w:r>
        <w:rPr>
          <w:rStyle w:val="Bold"/>
          <w:i/>
        </w:rPr>
        <w:t>Inštitucionálne záruky základných práv</w:t>
      </w:r>
    </w:p>
    <w:p w:rsidR="006F19E3" w:rsidRDefault="00F03E12">
      <w:pPr>
        <w:pStyle w:val="NormalHanging12a"/>
        <w:rPr>
          <w:szCs w:val="24"/>
        </w:rPr>
      </w:pPr>
      <w:r>
        <w:t>50.</w:t>
      </w:r>
      <w:r>
        <w:tab/>
        <w:t>víta pokrok, ktorý sa dosiahol od obnovenia rokovaní o pristúpení EÚ k EDĽP v júni 2020, a predbežnú dohodu o návrhu revidovaných prístupových nástrojov dosiahnutú v marci 2023; vyzýva Komisiu a Radu, aby čo najskôr vyriešili zostávajúcu otázku týkajúcu s</w:t>
      </w:r>
      <w:r>
        <w:t>a aktov EÚ v oblasti spoločnej zahraničnej a bezpečnostnej politiky s cieľom dokončiť prístupový proces;</w:t>
      </w:r>
    </w:p>
    <w:p w:rsidR="006F19E3" w:rsidRDefault="00F03E12">
      <w:pPr>
        <w:pStyle w:val="NormalHanging12a"/>
      </w:pPr>
      <w:r>
        <w:t>51.</w:t>
      </w:r>
      <w:r>
        <w:tab/>
        <w:t xml:space="preserve">podporuje prácu agentúry FRA v oblasti analýzy údajov s cieľom zdokumentovať diskrimináciu a víta ďalší vývoj v tejto oblasti; víta návrhy Komisie </w:t>
      </w:r>
      <w:r>
        <w:t xml:space="preserve">týkajúce sa dvoch </w:t>
      </w:r>
      <w:r>
        <w:lastRenderedPageBreak/>
        <w:t>smerníc o normách pre orgány pre rovnosť, ktorých cieľom je zabezpečiť vykonávanie a presadzovanie antidiskriminačných pravidiel EÚ; vyzýva vnútroštátne orgány spolupracujúce s agentúrou FRA, aby poskytovali nestranné údaje; vyzýva agentú</w:t>
      </w:r>
      <w:r>
        <w:t>ru FRA, aby nahliadla do ďalších zdrojov, ak pretrvávajú vážne pochybnosti o kvalite údajov;</w:t>
      </w:r>
    </w:p>
    <w:p w:rsidR="006F19E3" w:rsidRDefault="00F03E12">
      <w:pPr>
        <w:pStyle w:val="NormalHanging12a"/>
        <w:rPr>
          <w:szCs w:val="24"/>
        </w:rPr>
      </w:pPr>
      <w:r>
        <w:t>52.</w:t>
      </w:r>
      <w:r>
        <w:tab/>
        <w:t>zdôrazňuje význam podpory a posilňovania spolupráce medzi inštitúciami EÚ, členskými štátmi, úradom OLAF a Európskou prokuratúrou; vyzýva Komisiu, aby predloži</w:t>
      </w:r>
      <w:r>
        <w:t xml:space="preserve">la správu, v ktorej posúdi možnosti a spôsoby rozšírenia mandátu Európskej prokuratúry, ako sa stanovuje v článku 86 ZFEÚ, aby zahŕňal závažné trestné činy proti životnému prostrediu, ktoré poškodzujú záujmy Únie alebo ovplyvňujú konzistentné uplatňovanie </w:t>
      </w:r>
      <w:r>
        <w:t>politík EÚ týkajúcich sa ochrany životného prostredia;</w:t>
      </w:r>
    </w:p>
    <w:p w:rsidR="006F19E3" w:rsidRDefault="00F03E12">
      <w:pPr>
        <w:pStyle w:val="NormalHanging12a"/>
        <w:rPr>
          <w:szCs w:val="24"/>
        </w:rPr>
      </w:pPr>
      <w:r>
        <w:t>53.</w:t>
      </w:r>
      <w:r>
        <w:tab/>
        <w:t>vyzýva na zriadenie agentúry FRA ako nezávislého orgánu pre ľudské práva, podobného vnútroštátnym inštitúciám pre ľudské práva a v súlade s parížskymi zásadami Valného zhromaždenia OSN z roku 1993,</w:t>
      </w:r>
      <w:r>
        <w:t xml:space="preserve"> s cieľom chrániť a podporovať politiky a postupy charty inštitúciami, orgánmi, úradmi a agentúrami Únie a členských štátov pri vykonávaní práva Únie; domnieva sa, že si to vyžaduje právny základ v zmluvách na zriadenie orgánu EÚ pre základné práva, zakotv</w:t>
      </w:r>
      <w:r>
        <w:t>enie jeho nezávislosti a zavedenie riadneho legislatívneho postupu na prijímanie a zmenu jeho mandátu; žiada, aby bol tento nový orgán oprávnený podávať žaloby podľa článku 263 ZFEÚ z dôvodu porušenia charty; požaduje, aby sa do jeho mandátu začlenila práv</w:t>
      </w:r>
      <w:r>
        <w:t>omoc riešiť sťažnosti, ako aj povinné konzultácie Komisie s agentúrou FRA pri príprave návrhov legislatívnych aktov alebo odporúčaní, ktoré majú vplyv na základné práva;</w:t>
      </w:r>
    </w:p>
    <w:p w:rsidR="006F19E3" w:rsidRDefault="00F03E12">
      <w:pPr>
        <w:pStyle w:val="NormalHanging12a"/>
      </w:pPr>
      <w:r>
        <w:t>54.</w:t>
      </w:r>
      <w:r>
        <w:tab/>
        <w:t>pripomína význam príslušnej judikatúry Súdneho dvora, ktorá podporuje dodržiavanie</w:t>
      </w:r>
      <w:r>
        <w:t xml:space="preserve"> základných práv a bližšie vymedzuje právny štát; je znepokojený neustálym odmietaním niektorých členských štátov vykonávať rozsudky domácich súdov, Súdneho dvora a ESĽP, čo prispieva k narúšaniu právneho štátu; zdôrazňuje, že nevykonanie rozsudkov môže vi</w:t>
      </w:r>
      <w:r>
        <w:t>esť k tomu, že porušovanie ľudských práv zostane bez nápravy; zdôrazňuje, že prednosť práva EÚ je základom právneho poriadku EÚ; vyzýva Komisiu, aby zabezpečila primerané následné opatrenia v prípade nevykonávania tejto zásady;</w:t>
      </w:r>
    </w:p>
    <w:p w:rsidR="006F19E3" w:rsidRDefault="00F03E12">
      <w:pPr>
        <w:pStyle w:val="NormalHanging12a"/>
      </w:pPr>
      <w:r>
        <w:t>55.</w:t>
      </w:r>
      <w:r>
        <w:tab/>
        <w:t xml:space="preserve">zdôrazňuje úlohu </w:t>
      </w:r>
      <w:r>
        <w:t>vnútroštátnych a miestnych správnych orgánov a parlamentov a orgánov presadzovania práva členských štátov pri presadzovaní a ochrane práv stanovených v charte;</w:t>
      </w:r>
    </w:p>
    <w:p w:rsidR="006F19E3" w:rsidRDefault="00F03E12">
      <w:pPr>
        <w:pStyle w:val="NormalHanging12a"/>
      </w:pPr>
      <w:r>
        <w:t>56.</w:t>
      </w:r>
      <w:r>
        <w:tab/>
        <w:t>berie na vedomie pripomienku agentúry FRA, že sa zdá, že členské štáty sa nezapájajú štruktú</w:t>
      </w:r>
      <w:r>
        <w:t>rovaným spôsobom do vykonávania stratégie Komisie na posilnenie vykonávania charty, napríklad vymedzením jasných cieľov, míľnikov a harmonogramov; vyzýva členské štáty, aby stratégiu v plnej miere vykonávali;</w:t>
      </w:r>
    </w:p>
    <w:p w:rsidR="006F19E3" w:rsidRDefault="00F03E12">
      <w:pPr>
        <w:pStyle w:val="NormalHanging12a"/>
        <w:rPr>
          <w:szCs w:val="24"/>
        </w:rPr>
      </w:pPr>
      <w:r>
        <w:t>57.</w:t>
      </w:r>
      <w:r>
        <w:tab/>
        <w:t>pripomína, že právo zúčastňovať sa na demok</w:t>
      </w:r>
      <w:r>
        <w:t>ratickom živote a povinnosť zabezpečiť, aby sa rozhodnutia prijímali čo najotvorenejšie a čo najbližšie k občanom, je chránené zmluvami a konkrétne článkom 10 Zmluvy o EÚ; vyzýva inštitúcie EÚ a členské štáty, aby poskytli dostatočný čas na verejné konzult</w:t>
      </w:r>
      <w:r>
        <w:t>ácie a transparentnosť a aktívne zverejňovali verejné dokumenty;</w:t>
      </w:r>
    </w:p>
    <w:p w:rsidR="006F19E3" w:rsidRDefault="00F03E12">
      <w:pPr>
        <w:pStyle w:val="NormalHanging12a"/>
        <w:widowControl/>
        <w:ind w:left="0" w:firstLine="0"/>
        <w:jc w:val="center"/>
      </w:pPr>
      <w:r>
        <w:t>°</w:t>
      </w:r>
    </w:p>
    <w:p w:rsidR="006F19E3" w:rsidRDefault="00F03E12">
      <w:pPr>
        <w:pStyle w:val="NormalHanging12a"/>
        <w:jc w:val="center"/>
      </w:pPr>
      <w:r>
        <w:lastRenderedPageBreak/>
        <w:t>°     °</w:t>
      </w:r>
    </w:p>
    <w:p w:rsidR="006F19E3" w:rsidRDefault="00F03E12">
      <w:pPr>
        <w:pStyle w:val="NormalHanging12a"/>
      </w:pPr>
      <w:r>
        <w:t>58.</w:t>
      </w:r>
      <w:r>
        <w:tab/>
        <w:t>poveruje svoju predsedníčku, aby postúpila toto uznesenie Rade a Komisii.</w:t>
      </w:r>
    </w:p>
    <w:p w:rsidR="006F19E3" w:rsidRDefault="006F19E3"/>
    <w:p w:rsidR="006F19E3" w:rsidRDefault="006F19E3">
      <w:bookmarkStart w:id="9" w:name="TextBodyEnd"/>
      <w:bookmarkEnd w:id="9"/>
    </w:p>
    <w:sectPr w:rsidR="006F19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19E3" w:rsidRDefault="00F03E12">
      <w:r>
        <w:separator/>
      </w:r>
    </w:p>
  </w:endnote>
  <w:endnote w:type="continuationSeparator" w:id="0">
    <w:p w:rsidR="006F19E3" w:rsidRDefault="00F03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E3" w:rsidRDefault="006F19E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E3" w:rsidRDefault="006F19E3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E3" w:rsidRDefault="006F19E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19E3" w:rsidRDefault="00F03E12">
      <w:r>
        <w:separator/>
      </w:r>
    </w:p>
  </w:footnote>
  <w:footnote w:type="continuationSeparator" w:id="0">
    <w:p w:rsidR="006F19E3" w:rsidRDefault="00F03E12">
      <w:r>
        <w:continuationSeparator/>
      </w:r>
    </w:p>
  </w:footnote>
  <w:footnote w:id="1">
    <w:p w:rsidR="006F19E3" w:rsidRDefault="00F03E12">
      <w:pPr>
        <w:pStyle w:val="FootnoteText"/>
        <w:ind w:left="567" w:hanging="567"/>
        <w:rPr>
          <w:sz w:val="24"/>
          <w:vertAlign w:val="superscript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Okrem iného: </w:t>
      </w:r>
      <w:r>
        <w:rPr>
          <w:sz w:val="24"/>
          <w:lang w:val="sk-SK"/>
        </w:rPr>
        <w:t>Komisia/ Maďarsko (Transparentnosť združení), vec C-78/18, ECLI:EU:C:2020:476.</w:t>
      </w:r>
    </w:p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Rozsudok súdu (druhá komora) zo 6. októbra 2022. I. L. /Politsei- ja Piirivalveamet, vec C-241/21, ECLI:EU:C:2022:753.</w:t>
      </w:r>
    </w:p>
  </w:footnote>
  <w:footnote w:id="2">
    <w:p w:rsidR="006F19E3" w:rsidRDefault="00F03E12">
      <w:pPr>
        <w:pStyle w:val="FootnoteText"/>
        <w:ind w:left="567" w:hanging="567"/>
        <w:rPr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L 433 I, 22.12.2020, s. 1.</w:t>
      </w:r>
    </w:p>
  </w:footnote>
  <w:footnote w:id="3">
    <w:p w:rsidR="006F19E3" w:rsidRDefault="00F03E12">
      <w:pPr>
        <w:pStyle w:val="FootnoteText"/>
        <w:ind w:left="567" w:hanging="567"/>
        <w:rPr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L 156</w:t>
      </w:r>
      <w:r>
        <w:rPr>
          <w:sz w:val="24"/>
          <w:lang w:val="sk-SK"/>
        </w:rPr>
        <w:t>, 5.5.2021, s. 1.</w:t>
      </w:r>
    </w:p>
  </w:footnote>
  <w:footnote w:id="4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283, 31.10.2017, s. 1.</w:t>
      </w:r>
    </w:p>
  </w:footnote>
  <w:footnote w:id="5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119, 4.5.2016, s. 1.</w:t>
      </w:r>
    </w:p>
  </w:footnote>
  <w:footnote w:id="6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198, 28.7.2017, s. 29.</w:t>
      </w:r>
    </w:p>
  </w:footnote>
  <w:footnote w:id="7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328, 6.12.2008, s. 55.</w:t>
      </w:r>
    </w:p>
  </w:footnote>
  <w:footnote w:id="8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ES L 180, 19.7.2000, s. 22.</w:t>
      </w:r>
    </w:p>
  </w:footnote>
  <w:footnote w:id="9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93, 19.3.2021, s. 1.</w:t>
      </w:r>
    </w:p>
  </w:footnote>
  <w:footnote w:id="10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331, 2</w:t>
      </w:r>
      <w:r>
        <w:rPr>
          <w:sz w:val="24"/>
          <w:lang w:val="sk-SK"/>
        </w:rPr>
        <w:t>0.9.2021, s. 8.</w:t>
      </w:r>
    </w:p>
  </w:footnote>
  <w:footnote w:id="11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86, 24.3.2023, s. 44.</w:t>
      </w:r>
    </w:p>
  </w:footnote>
  <w:footnote w:id="12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245, 22.9.2022, s. 56.</w:t>
      </w:r>
    </w:p>
  </w:footnote>
  <w:footnote w:id="13">
    <w:p w:rsidR="006F19E3" w:rsidRDefault="00F03E12">
      <w:pPr>
        <w:pStyle w:val="FootnoteText"/>
        <w:ind w:left="567" w:hanging="567"/>
        <w:rPr>
          <w:sz w:val="24"/>
          <w:u w:val="single" w:color="0000FF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Rada Európy, </w:t>
      </w:r>
      <w:r>
        <w:fldChar w:fldCharType="begin"/>
      </w:r>
      <w:r w:rsidRPr="00F03E12">
        <w:rPr>
          <w:lang w:val="sk-SK"/>
        </w:rPr>
        <w:instrText xml:space="preserve"> HYPERLINK "https://rm.coe.int/report-on-the-round-table-human-rights-defenders-in-the-council-of-eur/1680aaa813." </w:instrText>
      </w:r>
      <w:r>
        <w:fldChar w:fldCharType="separate"/>
      </w:r>
      <w:r>
        <w:rPr>
          <w:rStyle w:val="Hyperlink"/>
          <w:sz w:val="24"/>
          <w:lang w:val="sk-SK"/>
        </w:rPr>
        <w:t>Obhajcovia ľudských práv v priest</w:t>
      </w:r>
      <w:r>
        <w:rPr>
          <w:rStyle w:val="Hyperlink"/>
          <w:sz w:val="24"/>
          <w:lang w:val="sk-SK"/>
        </w:rPr>
        <w:t>ore Rady Európy v čase krízy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, 23. marca 2023</w:t>
      </w:r>
      <w:hyperlink r:id="rId1" w:history="1">
        <w:r>
          <w:rPr>
            <w:rStyle w:val="Hyperlink"/>
            <w:color w:val="auto"/>
            <w:sz w:val="24"/>
            <w:lang w:val="sk-SK"/>
          </w:rPr>
          <w:t>.</w:t>
        </w:r>
      </w:hyperlink>
    </w:p>
  </w:footnote>
  <w:footnote w:id="14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 363, 28.10.2020, s. 13.</w:t>
      </w:r>
    </w:p>
  </w:footnote>
  <w:footnote w:id="15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411, 27.11.2020, s. 38.</w:t>
      </w:r>
    </w:p>
  </w:footnote>
  <w:footnote w:id="16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205, 20.5.2022, s. 2.</w:t>
      </w:r>
    </w:p>
  </w:footnote>
  <w:footnote w:id="17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Ú. v. EÚ C 251, 30.6.2022, s. 48.</w:t>
      </w:r>
    </w:p>
  </w:footnote>
  <w:footnote w:id="18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 342, 6.9.2022, s. 225.</w:t>
      </w:r>
    </w:p>
  </w:footnote>
  <w:footnote w:id="19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347, 9.9.2022, s. 2.</w:t>
      </w:r>
    </w:p>
  </w:footnote>
  <w:footnote w:id="20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347, 9.9.2022, s. 168.</w:t>
      </w:r>
    </w:p>
  </w:footnote>
  <w:footnote w:id="21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 EÚ C 493, 27.12.2022, s. 108.</w:t>
      </w:r>
    </w:p>
  </w:footnote>
  <w:footnote w:id="22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47, 7.2.2023, s. 184.</w:t>
      </w:r>
    </w:p>
  </w:footnote>
  <w:footnote w:id="23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 C 125, 5.4.2023, s. 463.</w:t>
      </w:r>
    </w:p>
  </w:footnote>
  <w:footnote w:id="24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132, 14.4.2023, s. 29.</w:t>
      </w:r>
    </w:p>
  </w:footnote>
  <w:footnote w:id="25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177, 17.5.2023, s. 109.</w:t>
      </w:r>
    </w:p>
  </w:footnote>
  <w:footnote w:id="26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 v. EÚ C 47, 7.2.2023, s. 268.</w:t>
      </w:r>
    </w:p>
  </w:footnote>
  <w:footnote w:id="27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465, 6.12.2022, s. 33.</w:t>
      </w:r>
    </w:p>
  </w:footnote>
  <w:footnote w:id="28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465, 6.12.2022, s. 147.</w:t>
      </w:r>
    </w:p>
  </w:footnote>
  <w:footnote w:id="29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L 45, 14.2.2023, s. 13.</w:t>
      </w:r>
      <w:r>
        <w:rPr>
          <w:b/>
          <w:i/>
          <w:sz w:val="24"/>
          <w:lang w:val="sk-SK"/>
        </w:rPr>
        <w:t xml:space="preserve"> </w:t>
      </w:r>
    </w:p>
  </w:footnote>
  <w:footnote w:id="30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149, 28.4.2023, s. 2</w:t>
      </w:r>
      <w:r>
        <w:rPr>
          <w:sz w:val="24"/>
          <w:lang w:val="sk-SK"/>
        </w:rPr>
        <w:t>2.</w:t>
      </w:r>
      <w:r>
        <w:rPr>
          <w:b/>
          <w:i/>
          <w:sz w:val="24"/>
          <w:lang w:val="sk-SK"/>
        </w:rPr>
        <w:t xml:space="preserve"> </w:t>
      </w:r>
    </w:p>
  </w:footnote>
  <w:footnote w:id="31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161, 5.5.2023, s. 10.</w:t>
      </w:r>
    </w:p>
  </w:footnote>
  <w:footnote w:id="32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Ú. v. EÚ C 177, 17.5.2023, s. 13.</w:t>
      </w:r>
      <w:r>
        <w:rPr>
          <w:b/>
          <w:i/>
          <w:sz w:val="24"/>
          <w:lang w:val="sk-SK"/>
        </w:rPr>
        <w:t xml:space="preserve"> </w:t>
      </w:r>
    </w:p>
  </w:footnote>
  <w:footnote w:id="33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P9_TA(2023)0111.</w:t>
      </w:r>
    </w:p>
  </w:footnote>
  <w:footnote w:id="34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P9_TA(2023)0196.</w:t>
      </w:r>
    </w:p>
  </w:footnote>
  <w:footnote w:id="35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P9_TA(2023)0204.</w:t>
      </w:r>
    </w:p>
  </w:footnote>
  <w:footnote w:id="36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P9_TA(2023)0216.</w:t>
      </w:r>
    </w:p>
  </w:footnote>
  <w:footnote w:id="37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Prijaté texty, P9_TA(2023)0295.</w:t>
      </w:r>
    </w:p>
  </w:footnote>
  <w:footnote w:id="38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Prijaté texty, P9_TA(2023)0342.</w:t>
      </w:r>
    </w:p>
  </w:footnote>
  <w:footnote w:id="39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Európska komisia / Maďarsko (Transparentnosť združení), vec C-78/18, ECLI:EU:C:2020:476.</w:t>
      </w:r>
    </w:p>
  </w:footnote>
  <w:footnote w:id="40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Poskytovanie pomoci osobám v núdzi na mori je právnou povinnosťou krajín EÚ stanovenou v medzinárodnom obyčajovom a konvenčnom pr</w:t>
      </w:r>
      <w:r>
        <w:rPr>
          <w:sz w:val="24"/>
          <w:lang w:val="sk-SK"/>
        </w:rPr>
        <w:t>áve (Medzinárodný dohovor o bezpečnosti ľudského života na mori – dohovor SOLAS z roku 1974; Dohovor Organizácie Spojených národov o morskom práve – UNCLOS, 1982; Medzinárodný dohovor o pátraní a záchrane na mori – Dohovor SAR, 1979), ako aj právo EÚ.</w:t>
      </w:r>
    </w:p>
  </w:footnote>
  <w:footnote w:id="41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</w:r>
      <w:r>
        <w:rPr>
          <w:sz w:val="24"/>
          <w:lang w:val="sk-SK"/>
        </w:rPr>
        <w:t>Rozsudok Súdneho dvora (druhá komora) zo 6. októbra 2022, I. L./ Politsei- ja Piirivalveamet, Vec C-241/21, ECLI:EU:C:2022:753.</w:t>
      </w:r>
    </w:p>
  </w:footnote>
  <w:footnote w:id="42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Agentúra Európskej únie pre základné práva, Správa o základných právach za rok 2023, s. 148, 8. júna 2023.</w:t>
      </w:r>
    </w:p>
  </w:footnote>
  <w:footnote w:id="43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Agentúra Európs</w:t>
      </w:r>
      <w:r>
        <w:rPr>
          <w:sz w:val="24"/>
          <w:lang w:val="sk-SK"/>
        </w:rPr>
        <w:t>kej únie pre základné práva, Správa o základných právach za rok 2023, s. 148, 8. júna 2023.</w:t>
      </w:r>
    </w:p>
  </w:footnote>
  <w:footnote w:id="44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Pojem „Rómovia“ zahŕňa rôzne skupiny, medzi ktoré patria Rómovia, Kaleovia, Manuši, Aškalovia, Travelleri, Lovári, Rissende, Bojaša, Domare, Kalderaši, Romaničal</w:t>
      </w:r>
      <w:r>
        <w:rPr>
          <w:sz w:val="24"/>
          <w:lang w:val="sk-SK"/>
        </w:rPr>
        <w:t xml:space="preserve"> a Sinti. Neexistuje žiadna spoločne dohodnutá terminológia, keďže niektoré komunity uprednostňujú pojem „Rómovia“.</w:t>
      </w:r>
    </w:p>
  </w:footnote>
  <w:footnote w:id="45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Európska parlamentná výskumná služba, stručný prehľad: Boj proti nenávistným prejavom a trestným činom z nenávisti v EÚ, jún 2022.</w:t>
      </w:r>
    </w:p>
  </w:footnote>
  <w:footnote w:id="46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Eur</w:t>
      </w:r>
      <w:r>
        <w:rPr>
          <w:sz w:val="24"/>
          <w:lang w:val="sk-SK"/>
        </w:rPr>
        <w:t xml:space="preserve">ópska ombudsmanka </w:t>
      </w:r>
      <w:r>
        <w:fldChar w:fldCharType="begin"/>
      </w:r>
      <w:r w:rsidRPr="00F03E12">
        <w:rPr>
          <w:lang w:val="sk-SK"/>
        </w:rPr>
        <w:instrText xml:space="preserve"> HYPERLINK "https://www.ombudsman.europa.eu/en/recommendation/sk/151678" </w:instrText>
      </w:r>
      <w:r>
        <w:fldChar w:fldCharType="separate"/>
      </w:r>
      <w:r>
        <w:rPr>
          <w:rStyle w:val="Hyperlink"/>
          <w:sz w:val="24"/>
          <w:lang w:val="sk-SK"/>
        </w:rPr>
        <w:t>Odporúčanie k zamietnutiu Európskej komisie poskytnúť prístup verejnosti k textovým správam medzi predsedníčkou Komisie a výkonným riaditeľom farmaceutickej spolo</w:t>
      </w:r>
      <w:r>
        <w:rPr>
          <w:rStyle w:val="Hyperlink"/>
          <w:sz w:val="24"/>
          <w:lang w:val="sk-SK"/>
        </w:rPr>
        <w:t>čnosti o nákupe očkovacej látky proti ochoreniu COVID-19 (vec 1316/2021/MIG)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.</w:t>
      </w:r>
    </w:p>
  </w:footnote>
  <w:footnote w:id="47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Smernica Európskeho parlamentu a Rady (EÚ) 2019/1937 z 23. októbra 2019 o ochrane osôb, ktoré nahlasujú porušenia práva Únie (Ú. v. EÚ L 305, 26.11.2019, s. 17).</w:t>
      </w:r>
    </w:p>
  </w:footnote>
  <w:footnote w:id="48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Smernica </w:t>
      </w:r>
      <w:r>
        <w:rPr>
          <w:sz w:val="24"/>
          <w:lang w:val="sk-SK"/>
        </w:rPr>
        <w:t>Rady 2001/55/ES z 20. júla 2001 o minimálnych štandardoch na poskytovanie dočasnej ochrany v prípade hromadného prílevu vysídlených osôb a o opatreniach na podporu rovnováhy úsilia medzi členskými štátmi pri prijímaní takýchto osôb a znášaní z toho vyplýva</w:t>
      </w:r>
      <w:r>
        <w:rPr>
          <w:sz w:val="24"/>
          <w:lang w:val="sk-SK"/>
        </w:rPr>
        <w:t>júcich dôsledkov (Ú. v. ES L 212, 7.8.2001, s. 12).</w:t>
      </w:r>
    </w:p>
  </w:footnote>
  <w:footnote w:id="49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 xml:space="preserve">Rada Európy, </w:t>
      </w:r>
      <w:r>
        <w:fldChar w:fldCharType="begin"/>
      </w:r>
      <w:r w:rsidRPr="00F03E12">
        <w:rPr>
          <w:lang w:val="sk-SK"/>
        </w:rPr>
        <w:instrText xml:space="preserve"> HYPERLINK "https://search.coe.int/cm/Pages/result_details.aspx?ObjectId=0900001680a69407" </w:instrText>
      </w:r>
      <w:r>
        <w:fldChar w:fldCharType="separate"/>
      </w:r>
      <w:r>
        <w:rPr>
          <w:rStyle w:val="Hyperlink"/>
          <w:sz w:val="24"/>
          <w:lang w:val="sk-SK"/>
        </w:rPr>
        <w:t>odporúčanie Výboru ministrov Rady Európy CM/Rec(2022)17 o ochrane práv migrantiek, utečeniek a</w:t>
      </w:r>
      <w:r>
        <w:rPr>
          <w:rStyle w:val="Hyperlink"/>
          <w:sz w:val="24"/>
          <w:lang w:val="sk-SK"/>
        </w:rPr>
        <w:t xml:space="preserve"> dievčat žiadajúcich o azyl</w:t>
      </w:r>
      <w:r>
        <w:rPr>
          <w:rStyle w:val="Hyperlink"/>
          <w:sz w:val="24"/>
          <w:lang w:val="sk-SK"/>
        </w:rPr>
        <w:fldChar w:fldCharType="end"/>
      </w:r>
      <w:r>
        <w:rPr>
          <w:sz w:val="24"/>
          <w:lang w:val="sk-SK"/>
        </w:rPr>
        <w:t>, 20. mája 2022.</w:t>
      </w:r>
    </w:p>
  </w:footnote>
  <w:footnote w:id="50">
    <w:p w:rsidR="006F19E3" w:rsidRDefault="00F03E12">
      <w:pPr>
        <w:pStyle w:val="FootnoteText"/>
        <w:ind w:left="567" w:hanging="567"/>
        <w:rPr>
          <w:sz w:val="24"/>
          <w:lang w:val="sk-SK"/>
        </w:rPr>
      </w:pPr>
      <w:r>
        <w:rPr>
          <w:rStyle w:val="FootnoteReference"/>
          <w:sz w:val="24"/>
          <w:lang w:val="sk-SK"/>
        </w:rPr>
        <w:footnoteRef/>
      </w:r>
      <w:r>
        <w:rPr>
          <w:sz w:val="24"/>
          <w:lang w:val="sk-SK"/>
        </w:rPr>
        <w:t xml:space="preserve"> </w:t>
      </w:r>
      <w:r>
        <w:rPr>
          <w:sz w:val="24"/>
          <w:lang w:val="sk-SK"/>
        </w:rPr>
        <w:tab/>
        <w:t>Odporúčanie Rady z 30. januára 2023 o primeranom minimálnom príjme zaručujúcom aktívne začleňovanie (Ú. v. EÚ C 41, 3.2.2023, s.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E3" w:rsidRDefault="006F19E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E3" w:rsidRDefault="006F19E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19E3" w:rsidRDefault="006F19E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6/2023"/>
    <w:docVar w:name="dvlangue" w:val="SK"/>
    <w:docVar w:name="dvnumam" w:val="0"/>
    <w:docVar w:name="dvpe" w:val="749.923"/>
    <w:docVar w:name="dvrapporteur" w:val="Spravodajkyňa: "/>
    <w:docVar w:name="dvtitre" w:val="Uznesenie Európskeho parlamentu zo 17. januára 2024 o situácii v oblasti základných práv v Európskej únii – výročná správa za roky 2022 a 2023(2023/2028(INI))"/>
  </w:docVars>
  <w:rsids>
    <w:rsidRoot w:val="006F19E3"/>
    <w:rsid w:val="006F19E3"/>
    <w:rsid w:val="00F03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09FE62"/>
  <w15:chartTrackingRefBased/>
  <w15:docId w15:val="{E470B3B8-267E-4BDF-A59D-7F0D806BF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NormalHanging12a">
    <w:name w:val="NormalHanging12a"/>
    <w:basedOn w:val="Normal"/>
    <w:link w:val="NormalHanging12aChar"/>
    <w:pPr>
      <w:spacing w:after="240"/>
      <w:ind w:left="567" w:hanging="567"/>
    </w:pPr>
  </w:style>
  <w:style w:type="paragraph" w:customStyle="1" w:styleId="EPComma">
    <w:name w:val="EPComma"/>
    <w:basedOn w:val="Normal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customStyle="1" w:styleId="Normal12a24b">
    <w:name w:val="Normal12a24b"/>
    <w:basedOn w:val="Normal"/>
    <w:pPr>
      <w:snapToGrid w:val="0"/>
      <w:spacing w:before="360" w:after="240"/>
    </w:pPr>
    <w:rPr>
      <w:lang w:eastAsia="en-US"/>
    </w:rPr>
  </w:style>
  <w:style w:type="character" w:customStyle="1" w:styleId="Bold">
    <w:name w:val="Bold"/>
    <w:uiPriority w:val="1"/>
    <w:rPr>
      <w:b/>
      <w:bCs w:val="0"/>
    </w:rPr>
  </w:style>
  <w:style w:type="character" w:customStyle="1" w:styleId="Italic">
    <w:name w:val="Italic"/>
    <w:uiPriority w:val="1"/>
    <w:rPr>
      <w:i/>
      <w:iCs w:val="0"/>
    </w:rPr>
  </w:style>
  <w:style w:type="character" w:customStyle="1" w:styleId="NormalHanging12aChar">
    <w:name w:val="NormalHanging12a Char"/>
    <w:basedOn w:val="DefaultParagraphFont"/>
    <w:link w:val="NormalHanging12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file:///\\ipolbrusncf01\userdocs$\Jnwokekilly\Documents\DocEP\TEMP\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EF19-819E-4B50-B664-778C684D00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8428</Words>
  <Characters>51603</Characters>
  <Application>Microsoft Office Word</Application>
  <DocSecurity>0</DocSecurity>
  <Lines>1517</Lines>
  <Paragraphs>822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59209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VILEM Jan</cp:lastModifiedBy>
  <cp:revision>2</cp:revision>
  <cp:lastPrinted>2004-11-19T15:42:00Z</cp:lastPrinted>
  <dcterms:created xsi:type="dcterms:W3CDTF">2024-02-26T10:43:00Z</dcterms:created>
  <dcterms:modified xsi:type="dcterms:W3CDTF">2024-02-26T10:43:00Z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A9-0376/2023</vt:lpwstr>
  </property>
  <property fmtid="{D5CDD505-2E9C-101B-9397-08002B2CF9AE}" pid="4" name="&lt;Type&gt;">
    <vt:lpwstr>RR</vt:lpwstr>
  </property>
</Properties>
</file>