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5D2F" w:rsidTr="0010095E">
        <w:trPr>
          <w:trHeight w:hRule="exact" w:val="1418"/>
        </w:trPr>
        <w:tc>
          <w:tcPr>
            <w:tcW w:w="6804" w:type="dxa"/>
            <w:shd w:val="clear" w:color="auto" w:fill="auto"/>
            <w:vAlign w:val="center"/>
          </w:tcPr>
          <w:p w:rsidR="00751A4A" w:rsidRPr="000B5D2F" w:rsidRDefault="00711127" w:rsidP="0010095E">
            <w:pPr>
              <w:pStyle w:val="EPName"/>
            </w:pPr>
            <w:r w:rsidRPr="000B5D2F">
              <w:t>Evropski parlament</w:t>
            </w:r>
          </w:p>
          <w:p w:rsidR="00751A4A" w:rsidRPr="000B5D2F" w:rsidRDefault="00817416" w:rsidP="00756632">
            <w:pPr>
              <w:pStyle w:val="EPTerm"/>
              <w:rPr>
                <w:rStyle w:val="HideTWBExt"/>
                <w:noProof w:val="0"/>
                <w:vanish w:val="0"/>
                <w:color w:val="auto"/>
              </w:rPr>
            </w:pPr>
            <w:r w:rsidRPr="000B5D2F">
              <w:t>2019-2024</w:t>
            </w:r>
          </w:p>
        </w:tc>
        <w:tc>
          <w:tcPr>
            <w:tcW w:w="2268" w:type="dxa"/>
            <w:shd w:val="clear" w:color="auto" w:fill="auto"/>
          </w:tcPr>
          <w:p w:rsidR="00751A4A" w:rsidRPr="000B5D2F" w:rsidRDefault="00187494" w:rsidP="0010095E">
            <w:pPr>
              <w:pStyle w:val="EPLogo"/>
            </w:pPr>
            <w:r w:rsidRPr="000B5D2F">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5D2F" w:rsidRDefault="00D058B8" w:rsidP="004C5D52">
      <w:pPr>
        <w:pStyle w:val="LineTop"/>
      </w:pPr>
    </w:p>
    <w:p w:rsidR="00680577" w:rsidRPr="000B5D2F" w:rsidRDefault="00711127" w:rsidP="00680577">
      <w:pPr>
        <w:pStyle w:val="EPBodyTA1"/>
      </w:pPr>
      <w:r w:rsidRPr="000B5D2F">
        <w:t>SPREJETA BESEDILA</w:t>
      </w:r>
    </w:p>
    <w:p w:rsidR="00D058B8" w:rsidRPr="000B5D2F" w:rsidRDefault="00D058B8" w:rsidP="00D058B8">
      <w:pPr>
        <w:pStyle w:val="LineBottom"/>
      </w:pPr>
    </w:p>
    <w:p w:rsidR="00711127" w:rsidRPr="000B5D2F" w:rsidRDefault="00711127" w:rsidP="00D7767F">
      <w:pPr>
        <w:pStyle w:val="ATHeading1"/>
      </w:pPr>
      <w:bookmarkStart w:id="0" w:name="TANumber"/>
      <w:r w:rsidRPr="000B5D2F">
        <w:t>P9_TA(2024)00</w:t>
      </w:r>
      <w:r w:rsidR="00D7767F">
        <w:t>50</w:t>
      </w:r>
      <w:bookmarkEnd w:id="0"/>
    </w:p>
    <w:p w:rsidR="00711127" w:rsidRPr="000B5D2F" w:rsidRDefault="00711127" w:rsidP="00711127">
      <w:pPr>
        <w:pStyle w:val="ATHeading2"/>
      </w:pPr>
      <w:bookmarkStart w:id="1" w:name="title"/>
      <w:r w:rsidRPr="000B5D2F">
        <w:t>Razmere na področju temeljnih pravic v Evropski uniji v letih 2022 in 2023</w:t>
      </w:r>
      <w:bookmarkEnd w:id="1"/>
    </w:p>
    <w:p w:rsidR="00711127" w:rsidRPr="000B5D2F" w:rsidRDefault="00711127" w:rsidP="00711127">
      <w:pPr>
        <w:rPr>
          <w:i/>
          <w:vanish/>
        </w:rPr>
      </w:pPr>
      <w:r w:rsidRPr="000B5D2F">
        <w:rPr>
          <w:i/>
        </w:rPr>
        <w:fldChar w:fldCharType="begin"/>
      </w:r>
      <w:r w:rsidRPr="000B5D2F">
        <w:rPr>
          <w:i/>
        </w:rPr>
        <w:instrText xml:space="preserve"> TC"(</w:instrText>
      </w:r>
      <w:bookmarkStart w:id="2" w:name="DocNumber"/>
      <w:r w:rsidRPr="000B5D2F">
        <w:rPr>
          <w:i/>
        </w:rPr>
        <w:instrText>A9-0376/2023</w:instrText>
      </w:r>
      <w:bookmarkEnd w:id="2"/>
      <w:r w:rsidRPr="000B5D2F">
        <w:rPr>
          <w:i/>
        </w:rPr>
        <w:instrText xml:space="preserve"> - Poročevalka: Katarina Barley)"\l3 \n&gt; \* MERGEFORMAT </w:instrText>
      </w:r>
      <w:r w:rsidRPr="000B5D2F">
        <w:rPr>
          <w:i/>
        </w:rPr>
        <w:fldChar w:fldCharType="end"/>
      </w:r>
    </w:p>
    <w:p w:rsidR="00711127" w:rsidRPr="000B5D2F" w:rsidRDefault="00711127" w:rsidP="00711127">
      <w:pPr>
        <w:rPr>
          <w:vanish/>
        </w:rPr>
      </w:pPr>
      <w:bookmarkStart w:id="3" w:name="Commission"/>
      <w:r w:rsidRPr="000B5D2F">
        <w:rPr>
          <w:vanish/>
        </w:rPr>
        <w:t>Odbor za državljanske svoboščine, pravosodje in notranje zadeve</w:t>
      </w:r>
      <w:bookmarkEnd w:id="3"/>
    </w:p>
    <w:p w:rsidR="00711127" w:rsidRPr="000B5D2F" w:rsidRDefault="00711127" w:rsidP="00711127">
      <w:pPr>
        <w:rPr>
          <w:vanish/>
        </w:rPr>
      </w:pPr>
      <w:bookmarkStart w:id="4" w:name="PE"/>
      <w:r w:rsidRPr="000B5D2F">
        <w:rPr>
          <w:vanish/>
        </w:rPr>
        <w:t>PE749.923</w:t>
      </w:r>
      <w:bookmarkEnd w:id="4"/>
    </w:p>
    <w:p w:rsidR="00711127" w:rsidRPr="000B5D2F" w:rsidRDefault="00711127" w:rsidP="00D7767F">
      <w:pPr>
        <w:pStyle w:val="ATHeading3"/>
      </w:pPr>
      <w:bookmarkStart w:id="5" w:name="Sujet"/>
      <w:r w:rsidRPr="000B5D2F">
        <w:t xml:space="preserve">Resolucija Evropskega parlamenta z dne </w:t>
      </w:r>
      <w:r w:rsidR="00D7767F">
        <w:t>18</w:t>
      </w:r>
      <w:r w:rsidRPr="000B5D2F">
        <w:t>. januarja 2024 o razmerah na področju temeljnih pravic v Evropski uniji – letno poročilo za leti 2022 in 2023</w:t>
      </w:r>
      <w:bookmarkEnd w:id="5"/>
      <w:r w:rsidRPr="000B5D2F">
        <w:t xml:space="preserve"> </w:t>
      </w:r>
      <w:bookmarkStart w:id="6" w:name="References"/>
      <w:r w:rsidRPr="000B5D2F">
        <w:t>(2023/2028(INI))</w:t>
      </w:r>
      <w:bookmarkEnd w:id="6"/>
    </w:p>
    <w:p w:rsidR="000B4485" w:rsidRPr="000B5D2F" w:rsidRDefault="000B4485" w:rsidP="000B4485">
      <w:pPr>
        <w:pStyle w:val="EPComma"/>
      </w:pPr>
      <w:bookmarkStart w:id="7" w:name="TextBodyBegin"/>
      <w:bookmarkEnd w:id="7"/>
      <w:r w:rsidRPr="000B5D2F">
        <w:rPr>
          <w:rStyle w:val="Italic"/>
        </w:rPr>
        <w:t>Evropski parlament</w:t>
      </w:r>
      <w:r w:rsidRPr="000B5D2F">
        <w:t>,</w:t>
      </w:r>
    </w:p>
    <w:p w:rsidR="000B4485" w:rsidRPr="000B5D2F" w:rsidRDefault="000B4485" w:rsidP="000B4485">
      <w:pPr>
        <w:pStyle w:val="NormalHanging12a"/>
      </w:pPr>
      <w:r w:rsidRPr="000B5D2F">
        <w:t>–</w:t>
      </w:r>
      <w:r w:rsidRPr="000B5D2F">
        <w:tab/>
        <w:t>ob upoštevanju Pogodbe o Evropski uniji (PEU) in Pogodbe o delovanju Evropske unije (PDEU),</w:t>
      </w:r>
    </w:p>
    <w:p w:rsidR="000B4485" w:rsidRPr="000B5D2F" w:rsidRDefault="000B4485" w:rsidP="000B4485">
      <w:pPr>
        <w:pStyle w:val="NormalHanging12a"/>
      </w:pPr>
      <w:r w:rsidRPr="000B5D2F">
        <w:t>–</w:t>
      </w:r>
      <w:r w:rsidRPr="000B5D2F">
        <w:tab/>
        <w:t>ob upoštevanju Listine Evropske unije o temeljnih pravicah (v nadaljnjem besedilu: Listina),</w:t>
      </w:r>
    </w:p>
    <w:p w:rsidR="000B4485" w:rsidRPr="000B5D2F" w:rsidRDefault="000B4485" w:rsidP="000B4485">
      <w:pPr>
        <w:pStyle w:val="NormalHanging12a"/>
      </w:pPr>
      <w:r w:rsidRPr="000B5D2F">
        <w:t>–</w:t>
      </w:r>
      <w:r w:rsidRPr="000B5D2F">
        <w:tab/>
        <w:t>ob upoštevanju sodne prakse Sodišča Evropske unije</w:t>
      </w:r>
      <w:r w:rsidRPr="000B5D2F">
        <w:rPr>
          <w:rStyle w:val="FootnoteReference"/>
        </w:rPr>
        <w:footnoteReference w:id="1"/>
      </w:r>
      <w:r w:rsidRPr="000B5D2F">
        <w:t>,</w:t>
      </w:r>
    </w:p>
    <w:p w:rsidR="000B4485" w:rsidRPr="000B5D2F" w:rsidRDefault="000B4485" w:rsidP="000B4485">
      <w:pPr>
        <w:pStyle w:val="NormalHanging12a"/>
      </w:pPr>
      <w:r w:rsidRPr="000B5D2F">
        <w:t>–</w:t>
      </w:r>
      <w:r w:rsidRPr="000B5D2F">
        <w:tab/>
        <w:t>ob upoštevanju Uredbe (EU, Euratom) 2020/2092 Evropskega parlamenta in Sveta z dne 16. decembra 2020 o splošnem režimu pogojenosti za zaščito proračuna Unije</w:t>
      </w:r>
      <w:r w:rsidRPr="000B5D2F">
        <w:rPr>
          <w:rStyle w:val="FootnoteReference"/>
        </w:rPr>
        <w:footnoteReference w:id="2"/>
      </w:r>
      <w:r w:rsidRPr="000B5D2F">
        <w:t xml:space="preserve"> (v nadaljnjem besedilu: uredba o pogojenosti s pravno državo),</w:t>
      </w:r>
    </w:p>
    <w:p w:rsidR="000B4485" w:rsidRPr="000B5D2F" w:rsidRDefault="000B4485" w:rsidP="000B4485">
      <w:pPr>
        <w:pStyle w:val="NormalHanging12a"/>
      </w:pPr>
      <w:r w:rsidRPr="000B5D2F">
        <w:t>–</w:t>
      </w:r>
      <w:r w:rsidRPr="000B5D2F">
        <w:tab/>
        <w:t>ob upoštevanju Uredbe (EU) 2021/692 Evropskega parlamenta in Sveta z dne 28. aprila 2021 o vzpostavitvi programa Državljani, enakost, pravice in vrednote ter razveljavitvi Uredbe (EU) št. 1381/2013 Evropskega parlamenta in Sveta in Uredbe Sveta (EU) št. 390/2014</w:t>
      </w:r>
      <w:r w:rsidRPr="000B5D2F">
        <w:rPr>
          <w:rStyle w:val="FootnoteReference"/>
        </w:rPr>
        <w:footnoteReference w:id="3"/>
      </w:r>
      <w:r w:rsidRPr="000B5D2F">
        <w:t>,</w:t>
      </w:r>
    </w:p>
    <w:p w:rsidR="000B4485" w:rsidRPr="000B5D2F" w:rsidRDefault="000B4485" w:rsidP="000B4485">
      <w:pPr>
        <w:pStyle w:val="NormalHanging12a"/>
      </w:pPr>
      <w:r w:rsidRPr="000B5D2F">
        <w:t>–</w:t>
      </w:r>
      <w:r w:rsidRPr="000B5D2F">
        <w:tab/>
        <w:t>ob upoštevanju Uredbe Sveta (EU) 2017/1939 z dne 12. oktobra 2017 o izvajanju okrepljenega sodelovanja v zvezi z ustanovitvijo Evropskega javnega tožilstva (EJT)</w:t>
      </w:r>
      <w:r w:rsidRPr="000B5D2F">
        <w:rPr>
          <w:rStyle w:val="FootnoteReference"/>
        </w:rPr>
        <w:footnoteReference w:id="4"/>
      </w:r>
      <w:r w:rsidRPr="000B5D2F">
        <w:t>,</w:t>
      </w:r>
    </w:p>
    <w:p w:rsidR="000B4485" w:rsidRPr="000B5D2F" w:rsidRDefault="000B4485" w:rsidP="000B4485">
      <w:pPr>
        <w:pStyle w:val="NormalHanging12a"/>
      </w:pPr>
      <w:r w:rsidRPr="000B5D2F">
        <w:t>–</w:t>
      </w:r>
      <w:r w:rsidRPr="000B5D2F">
        <w:tab/>
        <w:t xml:space="preserve">ob upoštevanju Uredbe (EU) 2016/679 Evropskega parlamenta in Sveta z dne 27. aprila 2016 o varstvu posameznikov pri obdelavi osebnih podatkov in o prostem pretoku takih </w:t>
      </w:r>
      <w:r w:rsidRPr="000B5D2F">
        <w:lastRenderedPageBreak/>
        <w:t>podatkov ter o razveljavitvi Direktive 95/46/ES (Splošna uredba o varstvu podatkov)</w:t>
      </w:r>
      <w:r w:rsidRPr="000B5D2F">
        <w:rPr>
          <w:rStyle w:val="FootnoteReference"/>
        </w:rPr>
        <w:footnoteReference w:id="5"/>
      </w:r>
      <w:r w:rsidRPr="000B5D2F">
        <w:t>,</w:t>
      </w:r>
    </w:p>
    <w:p w:rsidR="000B4485" w:rsidRPr="000B5D2F" w:rsidRDefault="000B4485" w:rsidP="000B4485">
      <w:pPr>
        <w:pStyle w:val="NormalHanging12a"/>
      </w:pPr>
      <w:r w:rsidRPr="000B5D2F">
        <w:t>–</w:t>
      </w:r>
      <w:r w:rsidRPr="000B5D2F">
        <w:tab/>
        <w:t>ob upoštevanju Direktive (EU) 2017/1371 Evropskega parlamenta in Sveta z dne 5. julija 2017 o boju proti goljufijam, ki škodijo finančnim interesom Unije, z uporabo kazenskega prava</w:t>
      </w:r>
      <w:r w:rsidRPr="000B5D2F">
        <w:rPr>
          <w:rStyle w:val="FootnoteReference"/>
        </w:rPr>
        <w:footnoteReference w:id="6"/>
      </w:r>
      <w:r w:rsidRPr="000B5D2F">
        <w:t>,</w:t>
      </w:r>
    </w:p>
    <w:p w:rsidR="000B4485" w:rsidRPr="000B5D2F" w:rsidRDefault="000B4485" w:rsidP="000B4485">
      <w:pPr>
        <w:pStyle w:val="NormalHanging12a"/>
      </w:pPr>
      <w:r w:rsidRPr="000B5D2F">
        <w:t>–</w:t>
      </w:r>
      <w:r w:rsidRPr="000B5D2F">
        <w:tab/>
        <w:t>ob upoštevanju Okvirnega sklepa Sveta 2008/913/PNZ z dne 28. novembra 2008 o boju proti nekaterim oblikam in izrazom rasizma in ksenofobije s kazensko-pravnimi sredstvi</w:t>
      </w:r>
      <w:r w:rsidRPr="000B5D2F">
        <w:rPr>
          <w:rStyle w:val="FootnoteReference"/>
        </w:rPr>
        <w:footnoteReference w:id="7"/>
      </w:r>
      <w:r w:rsidRPr="000B5D2F">
        <w:t xml:space="preserve">, </w:t>
      </w:r>
    </w:p>
    <w:p w:rsidR="000B4485" w:rsidRPr="000B5D2F" w:rsidRDefault="000B4485" w:rsidP="000B4485">
      <w:pPr>
        <w:pStyle w:val="NormalHanging12a"/>
        <w:rPr>
          <w:szCs w:val="24"/>
        </w:rPr>
      </w:pPr>
      <w:r w:rsidRPr="000B5D2F">
        <w:t>–</w:t>
      </w:r>
      <w:r w:rsidRPr="000B5D2F">
        <w:tab/>
        <w:t>ob upoštevanju Direktive Sveta 2000/43/ES z dne 29. junija 2000 o izvajanju načela enakega obravnavanja oseb ne glede na raso ali narodnost</w:t>
      </w:r>
      <w:r w:rsidRPr="000B5D2F">
        <w:rPr>
          <w:rStyle w:val="FootnoteReference"/>
        </w:rPr>
        <w:footnoteReference w:id="8"/>
      </w:r>
      <w:r w:rsidRPr="000B5D2F">
        <w:t xml:space="preserve"> in tekočih postopkov za ugotavljanje kršitev, ki jih je Komisija na podlagi te direktive začela proti več državam članicam in od katerih je Komisija enega predložila Sodišču,</w:t>
      </w:r>
    </w:p>
    <w:p w:rsidR="000B4485" w:rsidRPr="000B5D2F" w:rsidRDefault="000B4485" w:rsidP="000B4485">
      <w:pPr>
        <w:pStyle w:val="NormalHanging12a"/>
        <w:rPr>
          <w:szCs w:val="24"/>
        </w:rPr>
      </w:pPr>
      <w:r w:rsidRPr="000B5D2F">
        <w:t>–</w:t>
      </w:r>
      <w:r w:rsidRPr="000B5D2F">
        <w:tab/>
        <w:t>ob upoštevanju priporočila Sveta z dne 12. marca 2021 o enakosti, vključevanju in udeležbi Romov (2021/C 93/01)</w:t>
      </w:r>
      <w:r w:rsidRPr="000B5D2F">
        <w:rPr>
          <w:rStyle w:val="FootnoteReference"/>
        </w:rPr>
        <w:footnoteReference w:id="9"/>
      </w:r>
      <w:r w:rsidRPr="000B5D2F">
        <w:t xml:space="preserve">, </w:t>
      </w:r>
    </w:p>
    <w:p w:rsidR="000B4485" w:rsidRPr="000B5D2F" w:rsidRDefault="000B4485" w:rsidP="000B4485">
      <w:pPr>
        <w:pStyle w:val="NormalHanging12a"/>
        <w:rPr>
          <w:szCs w:val="24"/>
        </w:rPr>
      </w:pPr>
      <w:r w:rsidRPr="000B5D2F">
        <w:t>–</w:t>
      </w:r>
      <w:r w:rsidRPr="000B5D2F">
        <w:tab/>
        <w:t>ob upoštevanju sporočila Komisije z dne 9. januarja 2023 z naslovom Poročilo o oceni nacionalnih strateških okvirov držav članic za Rome (COM(2023)</w:t>
      </w:r>
      <w:r w:rsidR="00BD64A0">
        <w:t>0</w:t>
      </w:r>
      <w:r w:rsidRPr="000B5D2F">
        <w:t>007),</w:t>
      </w:r>
    </w:p>
    <w:p w:rsidR="000B4485" w:rsidRPr="000B5D2F" w:rsidRDefault="000B4485" w:rsidP="000B4485">
      <w:pPr>
        <w:pStyle w:val="NormalHanging12a"/>
      </w:pPr>
      <w:r w:rsidRPr="000B5D2F">
        <w:t>–</w:t>
      </w:r>
      <w:r w:rsidRPr="000B5D2F">
        <w:tab/>
        <w:t>ob upoštevanju Priporočila Komisije (EU) 2021/1534 z dne 16. septembra 2021 o zagotavljanju zaščite, varnosti in opolnomočenja novinarjev in drugih medijskih delavcev v Evropski uniji</w:t>
      </w:r>
      <w:r w:rsidRPr="000B5D2F">
        <w:rPr>
          <w:rStyle w:val="FootnoteReference"/>
        </w:rPr>
        <w:footnoteReference w:id="10"/>
      </w:r>
      <w:r w:rsidRPr="000B5D2F">
        <w:t>,</w:t>
      </w:r>
    </w:p>
    <w:p w:rsidR="000B4485" w:rsidRPr="000B5D2F" w:rsidRDefault="000B4485" w:rsidP="000B4485">
      <w:pPr>
        <w:pStyle w:val="NormalHanging12a"/>
      </w:pPr>
      <w:r w:rsidRPr="000B5D2F">
        <w:t>–</w:t>
      </w:r>
      <w:r w:rsidRPr="000B5D2F">
        <w:tab/>
        <w:t>ob upoštevanju sporočila Komisije z dne 9. decembra 2021 z naslovom Bolj vključujoča in zaščitniška Evropa: vključitev sovražnega govora in kaznivih dejanj iz sovraštva v seznam kaznivih dejanj EU (COM(2021)0777),</w:t>
      </w:r>
    </w:p>
    <w:p w:rsidR="000B4485" w:rsidRPr="000B5D2F" w:rsidRDefault="000B4485" w:rsidP="000B4485">
      <w:pPr>
        <w:pStyle w:val="NormalHanging12a"/>
      </w:pPr>
      <w:r w:rsidRPr="000B5D2F">
        <w:t>–</w:t>
      </w:r>
      <w:r w:rsidRPr="000B5D2F">
        <w:tab/>
        <w:t>ob upoštevanju sporočila Komisije z dne 5. marca 2020 z naslovom Unija enakosti: strategija za enakost spolov za obdobje 2020–2025 (COM(2020)0152),</w:t>
      </w:r>
    </w:p>
    <w:p w:rsidR="000B4485" w:rsidRPr="000B5D2F" w:rsidRDefault="000B4485" w:rsidP="000B4485">
      <w:pPr>
        <w:pStyle w:val="NormalHanging12a"/>
      </w:pPr>
      <w:r w:rsidRPr="000B5D2F">
        <w:t>–</w:t>
      </w:r>
      <w:r w:rsidRPr="000B5D2F">
        <w:tab/>
        <w:t>ob upoštevanju sporočila Komisije z dne 24. junija 2020 z naslovom Strategija EU o pravicah žrtev (2020–2025) (COM(2020)0258),</w:t>
      </w:r>
    </w:p>
    <w:p w:rsidR="000B4485" w:rsidRPr="000B5D2F" w:rsidRDefault="000B4485" w:rsidP="000B4485">
      <w:pPr>
        <w:pStyle w:val="NormalHanging12a"/>
      </w:pPr>
      <w:r w:rsidRPr="000B5D2F">
        <w:t>–</w:t>
      </w:r>
      <w:r w:rsidRPr="000B5D2F">
        <w:tab/>
        <w:t>ob upoštevanju sporočila Komisije z dne 12. novembra 2020 z naslovom Unija enakosti: strategija za enakost LGBTIQ oseb za obdobje 2020–2025 (COM(2020)0698),</w:t>
      </w:r>
    </w:p>
    <w:p w:rsidR="000B4485" w:rsidRPr="000B5D2F" w:rsidRDefault="000B4485" w:rsidP="000B4485">
      <w:pPr>
        <w:pStyle w:val="NormalHanging12a"/>
      </w:pPr>
      <w:r w:rsidRPr="000B5D2F">
        <w:t>–</w:t>
      </w:r>
      <w:r w:rsidRPr="000B5D2F">
        <w:tab/>
        <w:t>ob upoštevanju sklepov Sveta z dne 2. marca 2022 o boju proti rasizmu in antisemitizmu,</w:t>
      </w:r>
    </w:p>
    <w:p w:rsidR="000B4485" w:rsidRPr="000B5D2F" w:rsidRDefault="000B4485" w:rsidP="000B4485">
      <w:pPr>
        <w:pStyle w:val="NormalHanging12a"/>
      </w:pPr>
      <w:r w:rsidRPr="000B5D2F">
        <w:t>–</w:t>
      </w:r>
      <w:r w:rsidRPr="000B5D2F">
        <w:tab/>
        <w:t>ob upoštevanju sporočila Komisije z dne 2. decembra 2020 z naslovom Strategija za okrepitev uporabe Listine o temeljnih pravicah v EU (COM</w:t>
      </w:r>
      <w:proofErr w:type="gramStart"/>
      <w:r w:rsidRPr="000B5D2F">
        <w:t>(</w:t>
      </w:r>
      <w:proofErr w:type="gramEnd"/>
      <w:r w:rsidRPr="000B5D2F">
        <w:t>20</w:t>
      </w:r>
      <w:r w:rsidR="0061266C">
        <w:t>2</w:t>
      </w:r>
      <w:r w:rsidRPr="000B5D2F">
        <w:t>0)0711),</w:t>
      </w:r>
    </w:p>
    <w:p w:rsidR="000B4485" w:rsidRPr="000B5D2F" w:rsidRDefault="000B4485" w:rsidP="000B4485">
      <w:pPr>
        <w:pStyle w:val="NormalHanging12a"/>
      </w:pPr>
      <w:r w:rsidRPr="000B5D2F">
        <w:lastRenderedPageBreak/>
        <w:t>–</w:t>
      </w:r>
      <w:r w:rsidRPr="000B5D2F">
        <w:tab/>
        <w:t>ob upoštevanju poročila Komisije z dne 6. decembra 2022 z naslovom Cvetoč državljanski prostor za ohranjanje temeljnih pravic v EU – letno poročilo o uporabi Listine EU o temeljnih pravicah za leto 2022 (COM(2022)0716),</w:t>
      </w:r>
    </w:p>
    <w:p w:rsidR="000B4485" w:rsidRPr="000B5D2F" w:rsidRDefault="000B4485" w:rsidP="000B4485">
      <w:pPr>
        <w:pStyle w:val="NormalHanging12a"/>
      </w:pPr>
      <w:r w:rsidRPr="000B5D2F">
        <w:t>–</w:t>
      </w:r>
      <w:r w:rsidRPr="000B5D2F">
        <w:tab/>
        <w:t>ob upoštevanju priporočila Komisije (EU) 2023/681 z dne 8. decembra 2022 o procesnih pravicah osumljencev in obdolžencev, ki jim je bil odrejen preiskovalni pripor, ter materialnih pogojih pripora</w:t>
      </w:r>
      <w:r w:rsidRPr="000B5D2F">
        <w:rPr>
          <w:rStyle w:val="FootnoteReference"/>
        </w:rPr>
        <w:footnoteReference w:id="11"/>
      </w:r>
      <w:r w:rsidRPr="000B5D2F">
        <w:t>,</w:t>
      </w:r>
    </w:p>
    <w:p w:rsidR="000B4485" w:rsidRPr="000B5D2F" w:rsidRDefault="000B4485" w:rsidP="000B4485">
      <w:pPr>
        <w:pStyle w:val="NormalHanging12a"/>
        <w:rPr>
          <w:szCs w:val="24"/>
        </w:rPr>
      </w:pPr>
      <w:r w:rsidRPr="000B5D2F">
        <w:t>–</w:t>
      </w:r>
      <w:r w:rsidRPr="000B5D2F">
        <w:tab/>
        <w:t xml:space="preserve">ob upoštevanju sporočila Komisije z dne 5. julija 2023 z naslovom Poročilo o stanju pravne države za leto 2023 – Stanje pravne države v Evropski uniji (COM(2023)0800), 27 poglavij o državah in priloženih priporočil državam članicam, </w:t>
      </w:r>
    </w:p>
    <w:p w:rsidR="000B4485" w:rsidRPr="000B5D2F" w:rsidRDefault="000B4485" w:rsidP="000B4485">
      <w:pPr>
        <w:pStyle w:val="NormalHanging12a"/>
        <w:rPr>
          <w:szCs w:val="24"/>
        </w:rPr>
      </w:pPr>
      <w:r w:rsidRPr="000B5D2F">
        <w:t>–</w:t>
      </w:r>
      <w:r w:rsidRPr="000B5D2F">
        <w:tab/>
        <w:t>ob upoštevanju evropskega stebra socialnih pravic, vključno z njegovim tretjim načelom o enakih možnostih, in sporočila Komisije z dne 4. marca 2021 z naslovom Akcijski načrt za evropski steber socialnih pravic (COM(2021)0102),</w:t>
      </w:r>
    </w:p>
    <w:p w:rsidR="000B4485" w:rsidRPr="000B5D2F" w:rsidRDefault="000B4485" w:rsidP="000B4485">
      <w:pPr>
        <w:pStyle w:val="NormalHanging12a"/>
      </w:pPr>
      <w:r w:rsidRPr="000B5D2F">
        <w:t>–</w:t>
      </w:r>
      <w:r w:rsidRPr="000B5D2F">
        <w:tab/>
        <w:t>ob upoštevanju predloga Komisije za direktivo Evropskega parlamenta in Sveta z dne 27. aprila 2022 o zaščiti oseb, ki se udejstvujejo pri udeležbi javnosti, pred očitno neutemeljenimi ali zlorabljenimi sodnimi postopki (strateške tožbe za onemogočanje udeležbe javnosti) (COM(2022)0177) (direktiva proti strateškim tožbam za onemogočanje udeležbe javnosti), in priloženih priporočil,</w:t>
      </w:r>
    </w:p>
    <w:p w:rsidR="000B4485" w:rsidRPr="000B5D2F" w:rsidRDefault="000B4485" w:rsidP="000B4485">
      <w:pPr>
        <w:pStyle w:val="NormalHanging12a"/>
        <w:rPr>
          <w:szCs w:val="24"/>
        </w:rPr>
      </w:pPr>
      <w:r w:rsidRPr="000B5D2F">
        <w:t>–</w:t>
      </w:r>
      <w:r w:rsidRPr="000B5D2F">
        <w:tab/>
        <w:t>ob upoštevanju predloga Komisije za uredbo Evropskega parlamenta in Sveta z dne 16. septembra 2022 o vzpostavitvi skupnega okvira za medijske storitve na notranjem trgu (evropski akt o svobodi medijev) in spremembi Direktive 2010/13/EU (COM(2022)0457) (akt o svobodi medijev) ter priloženega priporočila o notranjih zaščitnih ukrepih in preglednosti lastništva v medijskem sektorju</w:t>
      </w:r>
      <w:r w:rsidRPr="000B5D2F">
        <w:rPr>
          <w:rStyle w:val="FootnoteReference"/>
        </w:rPr>
        <w:footnoteReference w:id="12"/>
      </w:r>
      <w:r w:rsidRPr="000B5D2F">
        <w:t>,</w:t>
      </w:r>
    </w:p>
    <w:p w:rsidR="000B4485" w:rsidRPr="000B5D2F" w:rsidRDefault="000B4485" w:rsidP="000B4485">
      <w:pPr>
        <w:pStyle w:val="NormalHanging12a"/>
      </w:pPr>
      <w:r w:rsidRPr="000B5D2F">
        <w:t>–</w:t>
      </w:r>
      <w:r w:rsidRPr="000B5D2F">
        <w:tab/>
        <w:t>ob upoštevanju predloga Komisije za direktivo Sveta z dne 7. decembra 2022 o standardih za organe za enakost na področju enakega obravnavanja oseb ne glede na raso ali narodnost, enakega obravnavanja oseb pri zaposlovanju in poklicu ne glede na vero ali prepričanje, invalidnost, starost ali spolno usmerjenost, enakega obravnavanja žensk in moških v zadevah socialne varnosti ter pri dostopu do blaga in storitev in oskrbi z njimi ter o črtanju člena 13 Direktive 2000/43/ES in člena 12 Direktive 2004/113/ES (COM(2022)0689),</w:t>
      </w:r>
    </w:p>
    <w:p w:rsidR="000B4485" w:rsidRPr="000B5D2F" w:rsidRDefault="000B4485" w:rsidP="000B4485">
      <w:pPr>
        <w:pStyle w:val="NormalHanging12a"/>
        <w:rPr>
          <w:szCs w:val="24"/>
        </w:rPr>
      </w:pPr>
      <w:r w:rsidRPr="000B5D2F">
        <w:t>–</w:t>
      </w:r>
      <w:r w:rsidRPr="000B5D2F">
        <w:tab/>
        <w:t>ob upoštevanju predloga Komisije za uredbo Sveta z dne 7. decembra 2022 o pristojnosti, pravu, ki se uporablja, priznavanju odločb in sprejemanju javnih listin v zadevah v zvezi s starševstvom ter uvedbi evropskega potrdila o starševstvu (COM(2022)0695),</w:t>
      </w:r>
    </w:p>
    <w:p w:rsidR="000B4485" w:rsidRPr="000B5D2F" w:rsidRDefault="000B4485" w:rsidP="000B4485">
      <w:pPr>
        <w:pStyle w:val="NormalHanging12a"/>
      </w:pPr>
      <w:r w:rsidRPr="000B5D2F">
        <w:t>–</w:t>
      </w:r>
      <w:r w:rsidRPr="000B5D2F">
        <w:tab/>
        <w:t>ob upoštevanju predloga Komisije za direktivo Evropskega parlamenta in Sveta z dne 7. decembra 2022 o standardih za organe za enakost na področju enakega obravnavanja in enakih možnosti žensk in moških pri zaposlovanju in poklicu ter o črtanju člena 20 Direktive 2006/54/ES in člena 11 Direktive 2010/41/EU (COM(2022)0688),</w:t>
      </w:r>
    </w:p>
    <w:p w:rsidR="000B4485" w:rsidRPr="000B5D2F" w:rsidRDefault="000B4485" w:rsidP="000B4485">
      <w:pPr>
        <w:pStyle w:val="NormalHanging12a"/>
      </w:pPr>
      <w:r w:rsidRPr="000B5D2F">
        <w:t>–</w:t>
      </w:r>
      <w:r w:rsidRPr="000B5D2F">
        <w:tab/>
        <w:t>ob upoštevanju poročil Agencije EU za temeljne pravice (FRA), zlasti poročil o temeljnih pravicah za leti 2022 in 2023, vključno s poročili mreže FRANET o državah,</w:t>
      </w:r>
    </w:p>
    <w:p w:rsidR="000B4485" w:rsidRPr="000B5D2F" w:rsidRDefault="000B4485" w:rsidP="000B4485">
      <w:pPr>
        <w:pStyle w:val="NormalHanging12a"/>
      </w:pPr>
      <w:r w:rsidRPr="000B5D2F">
        <w:lastRenderedPageBreak/>
        <w:t>–</w:t>
      </w:r>
      <w:r w:rsidRPr="000B5D2F">
        <w:tab/>
        <w:t>ob upoštevanju Splošne deklaracije o človekovih pravicah,</w:t>
      </w:r>
    </w:p>
    <w:p w:rsidR="000B4485" w:rsidRPr="000B5D2F" w:rsidRDefault="000B4485" w:rsidP="000B4485">
      <w:pPr>
        <w:pStyle w:val="NormalHanging12a"/>
      </w:pPr>
      <w:r w:rsidRPr="000B5D2F">
        <w:t>–</w:t>
      </w:r>
      <w:r w:rsidRPr="000B5D2F">
        <w:tab/>
        <w:t>ob upoštevanju instrumentov Organizacije združenih narodov (OZN) o varstvu človekovih pravic in temeljnih svoboščin, vključno z Mednarodnim paktom o državljanskih in političnih pravicah, Mednarodno konvencijo o odpravi vseh oblik rasne diskriminacije, Konvencijo o odpravi vseh oblik diskriminacije žensk in Konvencijo o pravicah invalidov, ter priporočil in poročil splošnega rednega pregleda OZN, pa tudi sodne prakse organov OZN za spremljanje pogodb in posebnih postopkov Sveta za človekove pravice,</w:t>
      </w:r>
    </w:p>
    <w:p w:rsidR="000B4485" w:rsidRPr="000B5D2F" w:rsidRDefault="000B4485" w:rsidP="000B4485">
      <w:pPr>
        <w:pStyle w:val="NormalHanging12a"/>
      </w:pPr>
      <w:r w:rsidRPr="000B5D2F">
        <w:t>–</w:t>
      </w:r>
      <w:r w:rsidRPr="000B5D2F">
        <w:tab/>
        <w:t xml:space="preserve">ob upoštevanju agende OZN za trajnostni razvoj do leta 2030, </w:t>
      </w:r>
    </w:p>
    <w:p w:rsidR="000B4485" w:rsidRPr="000B5D2F" w:rsidRDefault="000B4485" w:rsidP="000B4485">
      <w:pPr>
        <w:pStyle w:val="NormalHanging12a"/>
        <w:rPr>
          <w:szCs w:val="24"/>
        </w:rPr>
      </w:pPr>
      <w:r w:rsidRPr="000B5D2F">
        <w:t>–</w:t>
      </w:r>
      <w:r w:rsidRPr="000B5D2F">
        <w:tab/>
        <w:t xml:space="preserve">ob upoštevanju Evropske konvencije o človekovih pravicah (EKČP) in sodne prakse Evropskega sodišča za človekove pravice (ESČP), </w:t>
      </w:r>
    </w:p>
    <w:p w:rsidR="000B4485" w:rsidRPr="000B5D2F" w:rsidRDefault="000B4485" w:rsidP="000B4485">
      <w:pPr>
        <w:pStyle w:val="NormalHanging12a"/>
      </w:pPr>
      <w:r w:rsidRPr="000B5D2F">
        <w:t>–</w:t>
      </w:r>
      <w:r w:rsidRPr="000B5D2F">
        <w:tab/>
        <w:t xml:space="preserve">ob upoštevanju Konvencije Sveta Evrope o preprečevanju nasilja nad ženskami in nasilja v družini ter o boju proti njima, ki je bila dana na voljo za podpis od 11. maja 2011 v Istanbulu (v nadaljnjem besedilu: Istanbulska konvencija) in jo je Evropska unija ratificirala 28. junija 2023, </w:t>
      </w:r>
    </w:p>
    <w:p w:rsidR="000B4485" w:rsidRPr="000B5D2F" w:rsidRDefault="000B4485" w:rsidP="000B4485">
      <w:pPr>
        <w:pStyle w:val="NormalHanging12a"/>
        <w:rPr>
          <w:szCs w:val="24"/>
        </w:rPr>
      </w:pPr>
      <w:r w:rsidRPr="000B5D2F">
        <w:t>–</w:t>
      </w:r>
      <w:r w:rsidRPr="000B5D2F">
        <w:tab/>
        <w:t>ob upoštevanju priporočil in poročil Urada za demokratične institucije in človekove pravice, visokega komisarja za narodnostne manjšine in drugih organov Organizacije za varnost in sodelovanje v Evropi (OVSE),</w:t>
      </w:r>
    </w:p>
    <w:p w:rsidR="000B4485" w:rsidRPr="000B5D2F" w:rsidRDefault="000B4485" w:rsidP="000B4485">
      <w:pPr>
        <w:pStyle w:val="NormalHanging12a"/>
      </w:pPr>
      <w:r w:rsidRPr="000B5D2F">
        <w:t>–</w:t>
      </w:r>
      <w:r w:rsidRPr="000B5D2F">
        <w:tab/>
        <w:t>ob upoštevanju poročila Sveta Evrope z dne 23. marca 2023 z naslovom Zagovorniki človekovih pravic na območju Sveta Evrope v času kriz, ki je sledilo okrogli mizi z zagovorniki človekovih pravic, ki jo je organiziral urad komisarke za človekove pravice Sveta Evrope v Dublinu 24. in 25. oktobra 2022</w:t>
      </w:r>
      <w:r w:rsidRPr="000B5D2F">
        <w:rPr>
          <w:rStyle w:val="FootnoteReference"/>
        </w:rPr>
        <w:footnoteReference w:id="13"/>
      </w:r>
      <w:r w:rsidRPr="000B5D2F">
        <w:t>,</w:t>
      </w:r>
    </w:p>
    <w:p w:rsidR="000B4485" w:rsidRPr="000B5D2F" w:rsidRDefault="000B4485" w:rsidP="000B4485">
      <w:pPr>
        <w:pStyle w:val="NormalHanging12a"/>
        <w:rPr>
          <w:szCs w:val="24"/>
        </w:rPr>
      </w:pPr>
      <w:r w:rsidRPr="000B5D2F">
        <w:t>–</w:t>
      </w:r>
      <w:r w:rsidRPr="000B5D2F">
        <w:tab/>
        <w:t xml:space="preserve">ob upoštevanju Okvirne konvencije Sveta Evrope za varstvo narodnih manjšin in Evropske listine o regionalnih ali manjšinskih jezikih, </w:t>
      </w:r>
    </w:p>
    <w:p w:rsidR="000B4485" w:rsidRPr="000B5D2F" w:rsidRDefault="000B4485" w:rsidP="000B4485">
      <w:pPr>
        <w:pStyle w:val="NormalHanging12a"/>
        <w:rPr>
          <w:szCs w:val="24"/>
        </w:rPr>
      </w:pPr>
      <w:r w:rsidRPr="000B5D2F">
        <w:t>–</w:t>
      </w:r>
      <w:r w:rsidRPr="000B5D2F">
        <w:tab/>
        <w:t>ob upoštevanju Evropske socialne listine Sveta Evrope,</w:t>
      </w:r>
    </w:p>
    <w:p w:rsidR="000B4485" w:rsidRPr="000B5D2F" w:rsidRDefault="000B4485" w:rsidP="000B4485">
      <w:pPr>
        <w:pStyle w:val="NormalHanging12a"/>
        <w:rPr>
          <w:szCs w:val="24"/>
        </w:rPr>
      </w:pPr>
      <w:r w:rsidRPr="000B5D2F">
        <w:t>–</w:t>
      </w:r>
      <w:r w:rsidRPr="000B5D2F">
        <w:tab/>
        <w:t>ob upoštevanju izjav, priporočil in poročil komisarke Sveta Evrope za človekove pravice,</w:t>
      </w:r>
    </w:p>
    <w:p w:rsidR="000B4485" w:rsidRPr="000B5D2F" w:rsidRDefault="000B4485" w:rsidP="000B4485">
      <w:pPr>
        <w:pStyle w:val="NormalHanging12a"/>
        <w:rPr>
          <w:szCs w:val="24"/>
        </w:rPr>
      </w:pPr>
      <w:r w:rsidRPr="000B5D2F">
        <w:t>–</w:t>
      </w:r>
      <w:r w:rsidRPr="000B5D2F">
        <w:tab/>
        <w:t>ob upoštevanju priporočil in poročil Sveta Evrope, zlasti Beneške komisije, Evropske komisije proti rasizmu in nestrpnosti (ECRI), skupine GREVIO in skupine GRECO,</w:t>
      </w:r>
    </w:p>
    <w:p w:rsidR="000B4485" w:rsidRPr="000B5D2F" w:rsidRDefault="000B4485" w:rsidP="000B4485">
      <w:pPr>
        <w:pStyle w:val="NormalHanging12a"/>
        <w:rPr>
          <w:szCs w:val="24"/>
        </w:rPr>
      </w:pPr>
      <w:r w:rsidRPr="000B5D2F">
        <w:t>–</w:t>
      </w:r>
      <w:r w:rsidRPr="000B5D2F">
        <w:tab/>
        <w:t>ob upoštevanju svoje resolucije z dne 13. novembra 2018 o minimalnih standardih za manjšine v EU</w:t>
      </w:r>
      <w:r w:rsidRPr="000B5D2F">
        <w:rPr>
          <w:rStyle w:val="FootnoteReference"/>
        </w:rPr>
        <w:footnoteReference w:id="14"/>
      </w:r>
      <w:r w:rsidRPr="000B5D2F">
        <w:t>,</w:t>
      </w:r>
    </w:p>
    <w:p w:rsidR="000B4485" w:rsidRPr="000B5D2F" w:rsidRDefault="000B4485" w:rsidP="000B4485">
      <w:pPr>
        <w:pStyle w:val="NormalHanging12a"/>
        <w:rPr>
          <w:szCs w:val="24"/>
        </w:rPr>
      </w:pPr>
      <w:r w:rsidRPr="000B5D2F">
        <w:t>–</w:t>
      </w:r>
      <w:r w:rsidRPr="000B5D2F">
        <w:tab/>
        <w:t>ob upoštevanju svoje resolucije z dne 15. januarja 2019 o enakosti spolov in davčnih politikah v EU</w:t>
      </w:r>
      <w:r w:rsidRPr="000B5D2F">
        <w:rPr>
          <w:rStyle w:val="FootnoteReference"/>
        </w:rPr>
        <w:footnoteReference w:id="15"/>
      </w:r>
      <w:r w:rsidRPr="000B5D2F">
        <w:t>,</w:t>
      </w:r>
    </w:p>
    <w:p w:rsidR="000B4485" w:rsidRPr="000B5D2F" w:rsidRDefault="000B4485" w:rsidP="000B4485">
      <w:pPr>
        <w:pStyle w:val="NormalHanging12a"/>
      </w:pPr>
      <w:r w:rsidRPr="000B5D2F">
        <w:t>–</w:t>
      </w:r>
      <w:r w:rsidRPr="000B5D2F">
        <w:tab/>
        <w:t xml:space="preserve">ob upoštevanju svoje resolucije z dne 11. novembra 2021 o krepitvi demokracije ter </w:t>
      </w:r>
      <w:r w:rsidRPr="000B5D2F">
        <w:lastRenderedPageBreak/>
        <w:t>svobode in pluralnosti medijev v EU: zloraba civilnopravnih in kazenskopravnih ukrepov za utišanje novinarjev, nevladnih organizacij in civilne družbe</w:t>
      </w:r>
      <w:r w:rsidRPr="000B5D2F">
        <w:rPr>
          <w:rStyle w:val="FootnoteReference"/>
        </w:rPr>
        <w:footnoteReference w:id="16"/>
      </w:r>
      <w:r w:rsidRPr="000B5D2F">
        <w:t>,</w:t>
      </w:r>
    </w:p>
    <w:p w:rsidR="000B4485" w:rsidRPr="000B5D2F" w:rsidRDefault="000B4485" w:rsidP="000B4485">
      <w:pPr>
        <w:pStyle w:val="NormalHanging12a"/>
      </w:pPr>
      <w:r w:rsidRPr="000B5D2F">
        <w:t>–</w:t>
      </w:r>
      <w:r w:rsidRPr="000B5D2F">
        <w:tab/>
        <w:t>ob upoštevanju svoje resolucije z dne 15. decembra 2021 o ovrednotenju ukrepov za preprečevanje korupcije, nepravilne porabe ter poneverbe evropskih in nacionalnih javnih sredstev v primeru skladov za izredne razmere in na področjih porabe, povezanih s kriznimi razmerami</w:t>
      </w:r>
      <w:r w:rsidRPr="000B5D2F">
        <w:rPr>
          <w:rStyle w:val="FootnoteReference"/>
        </w:rPr>
        <w:footnoteReference w:id="17"/>
      </w:r>
      <w:r w:rsidRPr="000B5D2F">
        <w:t>,</w:t>
      </w:r>
    </w:p>
    <w:p w:rsidR="000B4485" w:rsidRPr="000B5D2F" w:rsidRDefault="000B4485" w:rsidP="000B4485">
      <w:pPr>
        <w:pStyle w:val="NormalHanging12a"/>
      </w:pPr>
      <w:r w:rsidRPr="000B5D2F">
        <w:t>–</w:t>
      </w:r>
      <w:r w:rsidRPr="000B5D2F">
        <w:tab/>
        <w:t>ob upoštevanju svoje resolucije z dne 17. februarja 2022 s priporočili Komisiji o statutu za evropska čezmejna združenja in neprofitne organizacije</w:t>
      </w:r>
      <w:r w:rsidRPr="000B5D2F">
        <w:rPr>
          <w:rStyle w:val="FootnoteReference"/>
        </w:rPr>
        <w:footnoteReference w:id="18"/>
      </w:r>
      <w:r w:rsidRPr="000B5D2F">
        <w:t>,</w:t>
      </w:r>
    </w:p>
    <w:p w:rsidR="000B4485" w:rsidRPr="000B5D2F" w:rsidRDefault="000B4485" w:rsidP="000B4485">
      <w:pPr>
        <w:pStyle w:val="NormalHanging12a"/>
      </w:pPr>
      <w:r w:rsidRPr="000B5D2F">
        <w:t>–</w:t>
      </w:r>
      <w:r w:rsidRPr="000B5D2F">
        <w:tab/>
        <w:t>ob upoštevanju svoje resolucije z dne 8. marca 2022 o krčenju prostora za civilno družbo v Evropi</w:t>
      </w:r>
      <w:r w:rsidRPr="000B5D2F">
        <w:rPr>
          <w:rStyle w:val="FootnoteReference"/>
        </w:rPr>
        <w:footnoteReference w:id="19"/>
      </w:r>
      <w:r w:rsidRPr="000B5D2F">
        <w:t>,</w:t>
      </w:r>
    </w:p>
    <w:p w:rsidR="000B4485" w:rsidRPr="000B5D2F" w:rsidRDefault="000B4485" w:rsidP="000B4485">
      <w:pPr>
        <w:pStyle w:val="NormalHanging12a"/>
      </w:pPr>
      <w:r w:rsidRPr="000B5D2F">
        <w:t>–</w:t>
      </w:r>
      <w:r w:rsidRPr="000B5D2F">
        <w:tab/>
        <w:t>ob upoštevanju svoje resolucije z dne 10. marca 2022 o pravni državi in posledicah sodbe Sodišča Evropske unije</w:t>
      </w:r>
      <w:r w:rsidRPr="000B5D2F">
        <w:rPr>
          <w:rStyle w:val="FootnoteReference"/>
        </w:rPr>
        <w:footnoteReference w:id="20"/>
      </w:r>
      <w:r w:rsidRPr="000B5D2F">
        <w:t>,</w:t>
      </w:r>
    </w:p>
    <w:p w:rsidR="000B4485" w:rsidRPr="000B5D2F" w:rsidRDefault="000B4485" w:rsidP="000B4485">
      <w:pPr>
        <w:pStyle w:val="NormalHanging12a"/>
      </w:pPr>
      <w:r w:rsidRPr="000B5D2F">
        <w:t>–</w:t>
      </w:r>
      <w:r w:rsidRPr="000B5D2F">
        <w:tab/>
        <w:t>ob upoštevanju svoje resolucije z dne 9. junija 2022 o pravni državi in morebitni odobritvi poljskega načrta za okrevanje in odpornost (v okviru Mehanizma za okrevanje in odpornost)</w:t>
      </w:r>
      <w:r w:rsidRPr="000B5D2F">
        <w:rPr>
          <w:rStyle w:val="FootnoteReference"/>
        </w:rPr>
        <w:footnoteReference w:id="21"/>
      </w:r>
      <w:r w:rsidRPr="000B5D2F">
        <w:t>,</w:t>
      </w:r>
    </w:p>
    <w:p w:rsidR="000B4485" w:rsidRPr="000B5D2F" w:rsidRDefault="000B4485" w:rsidP="000B4485">
      <w:pPr>
        <w:pStyle w:val="NormalHanging12a"/>
      </w:pPr>
      <w:r w:rsidRPr="000B5D2F">
        <w:t>–</w:t>
      </w:r>
      <w:r w:rsidRPr="000B5D2F">
        <w:tab/>
        <w:t>ob upoštevanju svoje resolucije z dne 6. julija 2022 o presečni diskriminaciji v Evropski uniji: socialno-ekonomski položaj žensk afriškega, bližnjevzhodnega, latinskoameriškega in azijskega porekla</w:t>
      </w:r>
      <w:r w:rsidRPr="000B5D2F">
        <w:rPr>
          <w:rStyle w:val="FootnoteReference"/>
        </w:rPr>
        <w:footnoteReference w:id="22"/>
      </w:r>
      <w:r w:rsidRPr="000B5D2F">
        <w:t>,</w:t>
      </w:r>
    </w:p>
    <w:p w:rsidR="000B4485" w:rsidRPr="000B5D2F" w:rsidRDefault="000B4485" w:rsidP="000B4485">
      <w:pPr>
        <w:pStyle w:val="NormalHanging12a"/>
      </w:pPr>
      <w:r w:rsidRPr="000B5D2F">
        <w:t>–</w:t>
      </w:r>
      <w:r w:rsidRPr="000B5D2F">
        <w:tab/>
        <w:t>ob upoštevanju svoje resolucije z dne 15. septembra 2022 o predlogu sklepa Sveta o ugotavljanju obstoja očitnega tveganja v skladu s členom 7(1) Pogodbe o Evropski uniji, da bi Madžarska lahko huje kršila temeljne vrednote Unije</w:t>
      </w:r>
      <w:r w:rsidRPr="000B5D2F">
        <w:rPr>
          <w:rStyle w:val="FootnoteReference"/>
        </w:rPr>
        <w:footnoteReference w:id="23"/>
      </w:r>
      <w:r w:rsidRPr="000B5D2F">
        <w:t>,</w:t>
      </w:r>
    </w:p>
    <w:p w:rsidR="000B4485" w:rsidRPr="000B5D2F" w:rsidRDefault="000B4485" w:rsidP="000B4485">
      <w:pPr>
        <w:pStyle w:val="NormalHanging12a"/>
      </w:pPr>
      <w:r w:rsidRPr="000B5D2F">
        <w:t>–</w:t>
      </w:r>
      <w:r w:rsidRPr="000B5D2F">
        <w:tab/>
        <w:t>ob upoštevanju svoje resolucije z dne 5. oktobra 2022 o položaju Romov, ki živijo v naselbinah v EU</w:t>
      </w:r>
      <w:r w:rsidRPr="000B5D2F">
        <w:rPr>
          <w:rStyle w:val="FootnoteReference"/>
        </w:rPr>
        <w:footnoteReference w:id="24"/>
      </w:r>
      <w:r w:rsidRPr="000B5D2F">
        <w:t>,</w:t>
      </w:r>
    </w:p>
    <w:p w:rsidR="000B4485" w:rsidRPr="000B5D2F" w:rsidRDefault="000B4485" w:rsidP="000B4485">
      <w:pPr>
        <w:pStyle w:val="NormalHanging12a"/>
      </w:pPr>
      <w:r w:rsidRPr="000B5D2F">
        <w:t>–</w:t>
      </w:r>
      <w:r w:rsidRPr="000B5D2F">
        <w:tab/>
        <w:t>ob upoštevanju svoje resolucije z dne 15. decembra 2022 o sumu korupcije z izvorom iz Katarja in širši potrebi po preglednosti in odgovornosti v evropskih institucijah</w:t>
      </w:r>
      <w:r w:rsidRPr="000B5D2F">
        <w:rPr>
          <w:rStyle w:val="FootnoteReference"/>
        </w:rPr>
        <w:footnoteReference w:id="25"/>
      </w:r>
      <w:r w:rsidRPr="000B5D2F">
        <w:t>,</w:t>
      </w:r>
    </w:p>
    <w:p w:rsidR="000B4485" w:rsidRPr="000B5D2F" w:rsidRDefault="000B4485" w:rsidP="000B4485">
      <w:pPr>
        <w:pStyle w:val="NormalHanging12a"/>
      </w:pPr>
      <w:r w:rsidRPr="000B5D2F">
        <w:t>–</w:t>
      </w:r>
      <w:r w:rsidRPr="000B5D2F">
        <w:tab/>
        <w:t>ob upoštevanju svoje resolucije z dne 7. julija 2022 o odločitvi vrhovnega sodišča ZDA o odpravi pravice do splava v Združenih državah in potrebi po zaščiti pravice do splava in zdravja žensk, tudi v EU</w:t>
      </w:r>
      <w:r w:rsidRPr="000B5D2F">
        <w:rPr>
          <w:rStyle w:val="FootnoteReference"/>
        </w:rPr>
        <w:footnoteReference w:id="26"/>
      </w:r>
      <w:r w:rsidRPr="000B5D2F">
        <w:t>,</w:t>
      </w:r>
    </w:p>
    <w:p w:rsidR="000B4485" w:rsidRPr="000B5D2F" w:rsidRDefault="000B4485" w:rsidP="000B4485">
      <w:pPr>
        <w:pStyle w:val="NormalHanging12a"/>
      </w:pPr>
      <w:r w:rsidRPr="000B5D2F">
        <w:t>–</w:t>
      </w:r>
      <w:r w:rsidRPr="000B5D2F">
        <w:tab/>
        <w:t xml:space="preserve">ob upoštevanju svoje resolucije z dne 3. maja 2022 o preganjanju manjšin zaradi </w:t>
      </w:r>
      <w:r w:rsidRPr="000B5D2F">
        <w:lastRenderedPageBreak/>
        <w:t>njihovega prepričanja ali veroizpovedi</w:t>
      </w:r>
      <w:r w:rsidRPr="000B5D2F">
        <w:rPr>
          <w:rStyle w:val="FootnoteReference"/>
        </w:rPr>
        <w:footnoteReference w:id="27"/>
      </w:r>
      <w:r w:rsidRPr="000B5D2F">
        <w:t>,</w:t>
      </w:r>
    </w:p>
    <w:p w:rsidR="000B4485" w:rsidRPr="000B5D2F" w:rsidRDefault="000B4485" w:rsidP="000B4485">
      <w:pPr>
        <w:pStyle w:val="NormalHanging12a"/>
      </w:pPr>
      <w:r w:rsidRPr="000B5D2F">
        <w:t>–</w:t>
      </w:r>
      <w:r w:rsidRPr="000B5D2F">
        <w:tab/>
        <w:t>ob upoštevanju svoje resolucije z dne 5. maja 2022 o tekočih zaslišanjih v skladu s členom 7(1) PEU v primeru Poljske in Madžarske</w:t>
      </w:r>
      <w:r w:rsidRPr="000B5D2F">
        <w:rPr>
          <w:rStyle w:val="FootnoteReference"/>
        </w:rPr>
        <w:footnoteReference w:id="28"/>
      </w:r>
      <w:r w:rsidRPr="000B5D2F">
        <w:t>,</w:t>
      </w:r>
    </w:p>
    <w:p w:rsidR="000B4485" w:rsidRPr="000B5D2F" w:rsidRDefault="000B4485" w:rsidP="000B4485">
      <w:pPr>
        <w:pStyle w:val="NormalHanging12a"/>
        <w:rPr>
          <w:szCs w:val="24"/>
        </w:rPr>
      </w:pPr>
      <w:r w:rsidRPr="000B5D2F">
        <w:t>–</w:t>
      </w:r>
      <w:r w:rsidRPr="000B5D2F">
        <w:tab/>
        <w:t>ob upoštevanju svojega sklepa (EU) 2023/325 z dne 18. oktobra 2022 o razrešnici glede izvrševanja proračuna Evropske agencije za mejno in obalno stražo (Frontex) za proračunsko leto 2020</w:t>
      </w:r>
      <w:r w:rsidRPr="000B5D2F">
        <w:rPr>
          <w:vertAlign w:val="superscript"/>
        </w:rPr>
        <w:footnoteReference w:id="29"/>
      </w:r>
      <w:r w:rsidRPr="000B5D2F">
        <w:t>,</w:t>
      </w:r>
    </w:p>
    <w:p w:rsidR="000B4485" w:rsidRPr="000B5D2F" w:rsidRDefault="000B4485" w:rsidP="000B4485">
      <w:pPr>
        <w:pStyle w:val="NormalHanging12a"/>
        <w:rPr>
          <w:szCs w:val="24"/>
        </w:rPr>
      </w:pPr>
      <w:r w:rsidRPr="000B5D2F">
        <w:t>–</w:t>
      </w:r>
      <w:r w:rsidRPr="000B5D2F">
        <w:tab/>
        <w:t xml:space="preserve">ob upoštevanju resolucije z dne </w:t>
      </w:r>
      <w:r w:rsidR="0061266C">
        <w:t>20</w:t>
      </w:r>
      <w:r w:rsidRPr="000B5D2F">
        <w:t>. oktobra 2022 o povečanju kaznivih dejanj iz sovraštva proti osebam LGBTIQ+ v Evropi in nedavnem homofobnem umoru na Slovaškem</w:t>
      </w:r>
      <w:r w:rsidRPr="000B5D2F">
        <w:rPr>
          <w:vertAlign w:val="superscript"/>
        </w:rPr>
        <w:footnoteReference w:id="30"/>
      </w:r>
      <w:r w:rsidRPr="000B5D2F">
        <w:t>,</w:t>
      </w:r>
    </w:p>
    <w:p w:rsidR="000B4485" w:rsidRPr="000B5D2F" w:rsidRDefault="000B4485" w:rsidP="000B4485">
      <w:pPr>
        <w:pStyle w:val="NormalHanging12a"/>
        <w:rPr>
          <w:szCs w:val="24"/>
        </w:rPr>
      </w:pPr>
      <w:r w:rsidRPr="000B5D2F">
        <w:t>–</w:t>
      </w:r>
      <w:r w:rsidRPr="000B5D2F">
        <w:tab/>
        <w:t>ob upoštevanju svoje resolucije z dne 10. novembra 2022 o rasni pravičnosti, nediskriminaciji in boju proti rasizmu v EU</w:t>
      </w:r>
      <w:r w:rsidRPr="000B5D2F">
        <w:rPr>
          <w:rStyle w:val="FootnoteReference"/>
        </w:rPr>
        <w:footnoteReference w:id="31"/>
      </w:r>
      <w:r w:rsidRPr="000B5D2F">
        <w:t>,</w:t>
      </w:r>
    </w:p>
    <w:p w:rsidR="000B4485" w:rsidRPr="000B5D2F" w:rsidRDefault="000B4485" w:rsidP="000B4485">
      <w:pPr>
        <w:pStyle w:val="NormalHanging12a"/>
        <w:rPr>
          <w:szCs w:val="24"/>
        </w:rPr>
      </w:pPr>
      <w:r w:rsidRPr="000B5D2F">
        <w:t>–</w:t>
      </w:r>
      <w:r w:rsidRPr="000B5D2F">
        <w:tab/>
        <w:t>ob upoštevanju svoje resolucije z dne 13. decembra 2022 enakim pravicam za invalide naproti</w:t>
      </w:r>
      <w:r w:rsidRPr="000B5D2F">
        <w:rPr>
          <w:vertAlign w:val="superscript"/>
        </w:rPr>
        <w:footnoteReference w:id="32"/>
      </w:r>
      <w:r w:rsidRPr="000B5D2F">
        <w:t>,</w:t>
      </w:r>
    </w:p>
    <w:p w:rsidR="000B4485" w:rsidRPr="000B5D2F" w:rsidRDefault="000B4485" w:rsidP="000B4485">
      <w:pPr>
        <w:pStyle w:val="NormalHanging12a"/>
      </w:pPr>
      <w:r w:rsidRPr="000B5D2F">
        <w:t>–</w:t>
      </w:r>
      <w:r w:rsidRPr="000B5D2F">
        <w:tab/>
        <w:t>ob upoštevanju svoje resolucije z dne 19. aprila 2023 o boju proti diskriminaciji v EU – dolgo pričakovani horizontalni direktivi o preprečevanju diskriminacije</w:t>
      </w:r>
      <w:r w:rsidRPr="000B5D2F">
        <w:rPr>
          <w:rStyle w:val="FootnoteReference"/>
        </w:rPr>
        <w:footnoteReference w:id="33"/>
      </w:r>
      <w:r w:rsidRPr="000B5D2F">
        <w:t>,</w:t>
      </w:r>
    </w:p>
    <w:p w:rsidR="000B4485" w:rsidRPr="000B5D2F" w:rsidRDefault="000B4485" w:rsidP="000B4485">
      <w:pPr>
        <w:pStyle w:val="NormalHanging12a"/>
        <w:rPr>
          <w:szCs w:val="24"/>
        </w:rPr>
      </w:pPr>
      <w:r w:rsidRPr="000B5D2F">
        <w:t>–</w:t>
      </w:r>
      <w:r w:rsidRPr="000B5D2F">
        <w:tab/>
        <w:t>ob upoštevanju svojega stališča z dne 10. maja 2023 o osnutkih sklepov Sveta o sklenitvi, v imenu Evropske unije, Konvencije Sveta Evrope o preprečevanju nasilja nad ženskami in nasilja v družini ter o boju proti njima glede institucij in javne uprave Unije</w:t>
      </w:r>
      <w:r w:rsidRPr="000B5D2F">
        <w:rPr>
          <w:rStyle w:val="FootnoteReference"/>
        </w:rPr>
        <w:footnoteReference w:id="34"/>
      </w:r>
      <w:r w:rsidRPr="000B5D2F">
        <w:t xml:space="preserve"> ter glede zadev na področju pravosodnega sodelovanja v kazenskih zadevah ter azila in nevračanja,</w:t>
      </w:r>
    </w:p>
    <w:p w:rsidR="000B4485" w:rsidRPr="000B5D2F" w:rsidRDefault="000B4485" w:rsidP="000B4485">
      <w:pPr>
        <w:pStyle w:val="NormalHanging12a"/>
      </w:pPr>
      <w:r w:rsidRPr="000B5D2F">
        <w:t>–</w:t>
      </w:r>
      <w:r w:rsidRPr="000B5D2F">
        <w:tab/>
        <w:t>ob upoštevanju svoje resolucije z dne 11</w:t>
      </w:r>
      <w:r w:rsidR="00CA56CD">
        <w:t>.</w:t>
      </w:r>
      <w:bookmarkStart w:id="8" w:name="_GoBack"/>
      <w:bookmarkEnd w:id="8"/>
      <w:r w:rsidRPr="000B5D2F">
        <w:t xml:space="preserve"> maja 2023 o ustreznosti varstva, ki ga zagotavlja okvir EU–ZDA za varstvo zasebnosti podatkov</w:t>
      </w:r>
      <w:r w:rsidRPr="000B5D2F">
        <w:rPr>
          <w:rStyle w:val="FootnoteReference"/>
          <w:szCs w:val="24"/>
        </w:rPr>
        <w:footnoteReference w:id="35"/>
      </w:r>
      <w:r w:rsidRPr="000B5D2F">
        <w:t>,</w:t>
      </w:r>
    </w:p>
    <w:p w:rsidR="000B4485" w:rsidRPr="000B5D2F" w:rsidRDefault="000B4485" w:rsidP="000B4485">
      <w:pPr>
        <w:pStyle w:val="NormalHanging12a"/>
        <w:rPr>
          <w:szCs w:val="24"/>
        </w:rPr>
      </w:pPr>
      <w:r w:rsidRPr="000B5D2F">
        <w:t>–</w:t>
      </w:r>
      <w:r w:rsidRPr="000B5D2F">
        <w:tab/>
        <w:t xml:space="preserve">ob upoštevanju svojega poročila in priporočila z dne 22. maja 2023 o preiskavi domnevnih kršitev in nepravilnosti pri uporabi prava Unije, povezanih z uporabo programa Pegasus in podobne vohunske programske opreme za nadzor, </w:t>
      </w:r>
    </w:p>
    <w:p w:rsidR="000B4485" w:rsidRPr="000B5D2F" w:rsidRDefault="000B4485" w:rsidP="000B4485">
      <w:pPr>
        <w:pStyle w:val="NormalHanging12a"/>
        <w:rPr>
          <w:szCs w:val="24"/>
        </w:rPr>
      </w:pPr>
      <w:r w:rsidRPr="000B5D2F">
        <w:t>–</w:t>
      </w:r>
      <w:r w:rsidRPr="000B5D2F">
        <w:tab/>
        <w:t>ob upoštevanju svoje resolucije z dne 1. junija 2023 o kršitvah načela pravne države in temeljnih pravic na Madžarskem ter zamrznjenih sredstvih EU</w:t>
      </w:r>
      <w:r w:rsidRPr="000B5D2F">
        <w:rPr>
          <w:rStyle w:val="FootnoteReference"/>
        </w:rPr>
        <w:footnoteReference w:id="36"/>
      </w:r>
      <w:r w:rsidRPr="000B5D2F">
        <w:t>,</w:t>
      </w:r>
    </w:p>
    <w:p w:rsidR="000B4485" w:rsidRPr="000B5D2F" w:rsidRDefault="000B4485" w:rsidP="000B4485">
      <w:pPr>
        <w:pStyle w:val="NormalHanging12a"/>
        <w:rPr>
          <w:szCs w:val="24"/>
        </w:rPr>
      </w:pPr>
      <w:r w:rsidRPr="000B5D2F">
        <w:t>–</w:t>
      </w:r>
      <w:r w:rsidRPr="000B5D2F">
        <w:tab/>
        <w:t xml:space="preserve">ob upoštevanju svoje resolucije z dne 13. julija 2023 o dostopu javnosti do dokumentov </w:t>
      </w:r>
      <w:r w:rsidRPr="000B5D2F">
        <w:lastRenderedPageBreak/>
        <w:t>– letno poročilo za leta 2019–2021</w:t>
      </w:r>
      <w:r w:rsidRPr="000B5D2F">
        <w:rPr>
          <w:rStyle w:val="FootnoteReference"/>
        </w:rPr>
        <w:footnoteReference w:id="37"/>
      </w:r>
      <w:r w:rsidRPr="000B5D2F">
        <w:t xml:space="preserve">, </w:t>
      </w:r>
    </w:p>
    <w:p w:rsidR="000B4485" w:rsidRPr="000B5D2F" w:rsidRDefault="000B4485" w:rsidP="000B4485">
      <w:pPr>
        <w:pStyle w:val="NormalHanging12a"/>
        <w:rPr>
          <w:szCs w:val="24"/>
        </w:rPr>
      </w:pPr>
      <w:r w:rsidRPr="000B5D2F">
        <w:t>–</w:t>
      </w:r>
      <w:r w:rsidRPr="000B5D2F">
        <w:tab/>
        <w:t>ob upoštevanju svoje resolucije z dne 4. oktobra 2023 o segregaciji in diskriminaciji romskih otrok v izobraževanju</w:t>
      </w:r>
      <w:r w:rsidRPr="000B5D2F">
        <w:rPr>
          <w:rStyle w:val="FootnoteReference"/>
        </w:rPr>
        <w:footnoteReference w:id="38"/>
      </w:r>
      <w:r w:rsidRPr="000B5D2F">
        <w:t>,</w:t>
      </w:r>
    </w:p>
    <w:p w:rsidR="000B4485" w:rsidRPr="000B5D2F" w:rsidRDefault="000B4485" w:rsidP="000B4485">
      <w:pPr>
        <w:pStyle w:val="NormalHanging12a"/>
      </w:pPr>
      <w:r w:rsidRPr="000B5D2F">
        <w:t>–</w:t>
      </w:r>
      <w:r w:rsidRPr="000B5D2F">
        <w:tab/>
        <w:t>ob upoštevanju člena 54 Poslovnika</w:t>
      </w:r>
      <w:r w:rsidR="00BD64A0">
        <w:t>,</w:t>
      </w:r>
    </w:p>
    <w:p w:rsidR="000B4485" w:rsidRPr="000B5D2F" w:rsidRDefault="000B4485" w:rsidP="000B4485">
      <w:pPr>
        <w:pStyle w:val="NormalHanging12a"/>
      </w:pPr>
      <w:r w:rsidRPr="000B5D2F">
        <w:t>–</w:t>
      </w:r>
      <w:r w:rsidRPr="000B5D2F">
        <w:tab/>
        <w:t>ob upoštevanju mnenja Odbora za ustavne zadeve,</w:t>
      </w:r>
    </w:p>
    <w:p w:rsidR="000B4485" w:rsidRPr="000B5D2F" w:rsidRDefault="000B4485" w:rsidP="000B4485">
      <w:pPr>
        <w:pStyle w:val="NormalHanging12a"/>
      </w:pPr>
      <w:r w:rsidRPr="000B5D2F">
        <w:t>–</w:t>
      </w:r>
      <w:r w:rsidRPr="000B5D2F">
        <w:tab/>
        <w:t>ob upoštevanju poročila Odbora za državljanske svoboščine, pravosodje in notranje zadeve (A9-0376/2023),</w:t>
      </w:r>
    </w:p>
    <w:p w:rsidR="000B4485" w:rsidRPr="000B5D2F" w:rsidRDefault="000B4485" w:rsidP="000B4485">
      <w:pPr>
        <w:pStyle w:val="NormalHanging12a"/>
      </w:pPr>
      <w:r w:rsidRPr="000B5D2F">
        <w:t>A.</w:t>
      </w:r>
      <w:r w:rsidRPr="000B5D2F">
        <w:tab/>
        <w:t>ker Unija temelji na vrednotah spoštovanja človekovega dostojanstva, svobode, demokracije, enakosti, pravne države ter spoštovanja človekovih pravic, vključno s pravicami pripadnikov manjšin, kot je določeno v členu 2 PEU in v Listini ter vključeno v mednarodne pogodbe o človekovih pravicah; ker bi morale biti te vrednote skupne EU in državam članicam, ki bi jih morale ohranjati in dejavno spodbujati v svojem notranjem in zunanjem delovanju; ker se je v zadnjih letih v nekaterih državah članicah zaskrbljujoče zmanjšalo spoštovanje teh vrednot;</w:t>
      </w:r>
    </w:p>
    <w:p w:rsidR="000B4485" w:rsidRPr="000B5D2F" w:rsidRDefault="000B4485" w:rsidP="000B4485">
      <w:pPr>
        <w:pStyle w:val="NormalHanging12a"/>
        <w:rPr>
          <w:szCs w:val="24"/>
        </w:rPr>
      </w:pPr>
      <w:r w:rsidRPr="000B5D2F">
        <w:t>B.</w:t>
      </w:r>
      <w:r w:rsidRPr="000B5D2F">
        <w:tab/>
        <w:t>ker so demokracija, pravna država in temeljne pravice vrednote, ki se vzajemno krepijo in pomenijo, če so ogrožene, sistemsko grožnjo za Unijo ter pravice in svoboščine vseh ljudi v EU; ker spoštovanje pravne države na vseh ravneh upravljanja zavezuje Unijo in države članice kot celoto;</w:t>
      </w:r>
    </w:p>
    <w:p w:rsidR="000B4485" w:rsidRPr="000B5D2F" w:rsidRDefault="000B4485" w:rsidP="000B4485">
      <w:pPr>
        <w:pStyle w:val="NormalHanging12a"/>
        <w:rPr>
          <w:szCs w:val="24"/>
        </w:rPr>
      </w:pPr>
      <w:r w:rsidRPr="000B5D2F">
        <w:t>C.</w:t>
      </w:r>
      <w:r w:rsidRPr="000B5D2F">
        <w:tab/>
        <w:t>ker so svobodne, neodvisne in pregledne volitve steber demokracije;</w:t>
      </w:r>
    </w:p>
    <w:p w:rsidR="000B4485" w:rsidRPr="000B5D2F" w:rsidRDefault="000B4485" w:rsidP="000B4485">
      <w:pPr>
        <w:pStyle w:val="NormalHanging12a"/>
        <w:rPr>
          <w:szCs w:val="24"/>
        </w:rPr>
      </w:pPr>
      <w:r w:rsidRPr="000B5D2F">
        <w:t xml:space="preserve">D. </w:t>
      </w:r>
      <w:r w:rsidRPr="000B5D2F">
        <w:tab/>
        <w:t>ker vse večje širjenje dezinformacij ogroža demokratično delovanje Unije; ker je zmanjšanje manipuliranja z informacijami v javnem interesu; ker se zaradi dezinformacij zmanjšuje sposobnost državljanov in prebivalcev EU, da sprejemajo odločitve na podlagi informacij in svobodno sodelujejo v demokratičnih procesih; ker so neodvisni in pluralistični mediji močno orodje v boju proti dezinformacijam;</w:t>
      </w:r>
    </w:p>
    <w:p w:rsidR="000B4485" w:rsidRPr="000B5D2F" w:rsidRDefault="000B4485" w:rsidP="000B4485">
      <w:pPr>
        <w:pStyle w:val="NormalHanging12a"/>
      </w:pPr>
      <w:r w:rsidRPr="000B5D2F">
        <w:t>E.</w:t>
      </w:r>
      <w:r w:rsidRPr="000B5D2F">
        <w:tab/>
        <w:t>ker so svoboda, pluralnost ter neodvisnost in varnost novinarjev ključni sestavni deli pravice do svobode izražanja in obveščanja ter bistvene za demokratično delovanje EU in njenih držav članic; ker so v zadnjih letih novinarji in drugi medijski akterji v več državah članicah in tujini vse pogosteje izpostavljeni grožnjam, neupravičenemu pritisku, ustrahovanju, nasilju in drugim oblikam poseganja v njihovo delo, zlasti ko se osredotočajo na zlorabo moči, korupcijo, kršitve temeljnih pravic in kaznive dejavnosti; ker so strateške tožbe za onemogočanje udeležbe javnosti še vedno pereče vprašanje po vsej EU; ker zaskrbljujoče razmere v zvezi z grožnjami in napadi niso omejene izključno na poklicne novinarje in druge tradicionalne medijske akterje; ker se je opredelitev medijskih akterjev razširila zaradi novih oblik medijev v digitalni dobi in zato vključuje tudi druge, ki prispevajo k javni razpravi in opravljajo novinarske dejavnosti ali funkcije javnega čuvaja;</w:t>
      </w:r>
    </w:p>
    <w:p w:rsidR="000B4485" w:rsidRPr="000B5D2F" w:rsidRDefault="000B4485" w:rsidP="000B4485">
      <w:pPr>
        <w:ind w:left="567" w:hanging="567"/>
      </w:pPr>
      <w:r w:rsidRPr="000B5D2F">
        <w:t>F.</w:t>
      </w:r>
      <w:r w:rsidRPr="000B5D2F">
        <w:tab/>
        <w:t xml:space="preserve">ker vladni organi v nekaterih državah članicah in tretjih državah uporabljajo program Pegasus in drugo vohunsko programsko opremo za nadzor novinarjev, politikov, uslužbencev organov pregona, diplomatov, odvetnikov, poslovnežev, akterjev civilne </w:t>
      </w:r>
      <w:r w:rsidRPr="000B5D2F">
        <w:lastRenderedPageBreak/>
        <w:t xml:space="preserve">družbe in drugih akterjev v politične in celo kriminalne namene; ker so tovrstne prakse zelo skrb vzbujajoče in poudarjajo tveganje zlorab nadzornih tehnologij za spodkopavanje temeljnih človekovih pravic, demokracije in volilnih procesov; </w:t>
      </w:r>
    </w:p>
    <w:p w:rsidR="000B4485" w:rsidRPr="000B5D2F" w:rsidRDefault="000B4485" w:rsidP="000B4485">
      <w:pPr>
        <w:ind w:left="567" w:hanging="567"/>
        <w:rPr>
          <w:szCs w:val="24"/>
        </w:rPr>
      </w:pPr>
    </w:p>
    <w:p w:rsidR="000B4485" w:rsidRPr="000B5D2F" w:rsidRDefault="000B4485" w:rsidP="000B4485">
      <w:pPr>
        <w:pStyle w:val="NormalHanging12a"/>
      </w:pPr>
      <w:r w:rsidRPr="000B5D2F">
        <w:t>G.</w:t>
      </w:r>
      <w:r w:rsidRPr="000B5D2F">
        <w:tab/>
        <w:t>ker korupcija resno ogroža demokracijo in pravno državo; ker v nekaterih državah članicah obstajajo stalni in resni pomisleki glede boja proti korupciji; ker so mehanizmi za preprečevanje korupcije v več državah članicah šibki, žvižgači pa še vedno marsikje niso zaščiteni; ker je namen uredbe o pogojenosti s pravno državo zaščititi proračun Unije pred kršitvami načel pravne države;</w:t>
      </w:r>
    </w:p>
    <w:p w:rsidR="000B4485" w:rsidRPr="000B5D2F" w:rsidRDefault="000B4485" w:rsidP="000B4485">
      <w:pPr>
        <w:pStyle w:val="NormalHanging12a"/>
        <w:rPr>
          <w:szCs w:val="24"/>
        </w:rPr>
      </w:pPr>
      <w:r w:rsidRPr="000B5D2F">
        <w:t>H.</w:t>
      </w:r>
      <w:r w:rsidRPr="000B5D2F">
        <w:tab/>
        <w:t>ker so novinarji, mediji in blogerji, zagovorniki človekovih pravic, organizacije civilne družbe, aktivisti, sindikati, umetniki, raziskovalci, žvižgači in politiki zaradi svoje udeležbe v javnosti vse pogosteje izpostavljeni grožnjam, nadlegovanju in drugim oblikam ustrahovanja;</w:t>
      </w:r>
    </w:p>
    <w:p w:rsidR="000B4485" w:rsidRPr="000B5D2F" w:rsidRDefault="000B4485" w:rsidP="000B4485">
      <w:pPr>
        <w:pStyle w:val="NormalHanging12a"/>
      </w:pPr>
      <w:r w:rsidRPr="000B5D2F">
        <w:t>I.</w:t>
      </w:r>
      <w:r w:rsidRPr="000B5D2F">
        <w:tab/>
        <w:t>ker se neodvisnost sodstva, ki je bistvena zahteva demokratičnega načela delitve oblasti in je osrednjega pomena za zagotavljanje spoštovanja temeljnih pravic, sooča z resnimi grožnjami ali je v vse več državah članicah celo strukturno ogrožena;</w:t>
      </w:r>
    </w:p>
    <w:p w:rsidR="000B4485" w:rsidRPr="000B5D2F" w:rsidRDefault="000B4485" w:rsidP="000B4485">
      <w:pPr>
        <w:pStyle w:val="NormalHanging12a"/>
        <w:rPr>
          <w:szCs w:val="24"/>
        </w:rPr>
      </w:pPr>
      <w:r w:rsidRPr="000B5D2F">
        <w:t>J.</w:t>
      </w:r>
      <w:r w:rsidRPr="000B5D2F">
        <w:tab/>
        <w:t>ker je Sodišče opozorilo</w:t>
      </w:r>
      <w:r w:rsidRPr="000B5D2F">
        <w:rPr>
          <w:vertAlign w:val="superscript"/>
        </w:rPr>
        <w:footnoteReference w:id="39"/>
      </w:r>
      <w:r w:rsidRPr="000B5D2F">
        <w:t xml:space="preserve">, da je svoboda združevanja iz člena 12(1) Listine osnovna sestavina demokratične in pluralne družbe, saj ljudem v EU omogoča, da delujejo skupaj na področjih skupnega interesa in tako prispevajo k pravilnemu delovanju javnega življenja; ker se v nekaterih državah članicah poroča o vse pogostejših napadih na pravico do zbiranja in združevanja z nesorazmerno uporabo sile proti mirnim protestnikom, vključno s pretepanjem protestnikov; </w:t>
      </w:r>
    </w:p>
    <w:p w:rsidR="000B4485" w:rsidRPr="000B5D2F" w:rsidRDefault="000B4485" w:rsidP="000B4485">
      <w:pPr>
        <w:pStyle w:val="NormalHanging12a"/>
        <w:rPr>
          <w:szCs w:val="24"/>
        </w:rPr>
      </w:pPr>
      <w:r w:rsidRPr="000B5D2F">
        <w:t>K.</w:t>
      </w:r>
      <w:r w:rsidRPr="000B5D2F">
        <w:tab/>
        <w:t>ker so nekatere države članice uvedle omejitve z namernim ciljem skrčiti državljanski prostor; ker je državljanski prostor v številnih državah članicah izpostavljen pravnemu, upravnemu in davčnemu nadlegovanju, kriminalizaciji in negativni retoriki, katerih cilj je stigmatizacija in delegitimizacija organizacij civilne družbe, aktivistov in zagovornikov človekovih pravic ter zmanjševanje njihovih zmogljivosti za opravljanje dela;</w:t>
      </w:r>
    </w:p>
    <w:p w:rsidR="000B4485" w:rsidRPr="000B5D2F" w:rsidRDefault="000B4485" w:rsidP="000B4485">
      <w:pPr>
        <w:pStyle w:val="NormalHanging12a"/>
        <w:rPr>
          <w:szCs w:val="24"/>
        </w:rPr>
      </w:pPr>
      <w:r w:rsidRPr="000B5D2F">
        <w:t>L.</w:t>
      </w:r>
      <w:r w:rsidRPr="000B5D2F">
        <w:tab/>
        <w:t>ker je marca 2023 komisarka Sveta Evrope za človekove pravice ocenila, da se je položaj zagovornikov človekovih pravic v Evropi skrb vzbujajoče poslabšal ter da vlade vse bolj zanemarjajo svoje zaveze na področju človekovih pravic in dajejo prednost nacionalni varnosti in javni varnosti pred človekovimi pravicami; ker je komisarka poročala o vse večjem omejevanju njihove zmožnosti svobodnega in varnega dela ter o različnih oblikah povračilnih ukrepov, vključno s sodnim nadlegovanjem, pregonom, zlorabami kontrol in nadzora, kampanjami blatenja, grožnjami in ustrahovanjem v državah članicah in sosednjih državah; ker je še vedno zelo skrb vzbujajoče dejstvo, da ni učinkovitih preiskav kršitev, ki so jih storili državni in nedržavni akterji zoper zagovornike človekovih pravic; ker to spodkopava demokracijo in je del širšega problema polarizacije v družbi, za katero je značilno vse pogostejše izražanje sovraštva in nasilja nad različnimi družbenimi ali manjšinskimi skupinami;</w:t>
      </w:r>
    </w:p>
    <w:p w:rsidR="000B4485" w:rsidRPr="000B5D2F" w:rsidRDefault="000B4485" w:rsidP="000B4485">
      <w:pPr>
        <w:pStyle w:val="NormalHanging12a"/>
      </w:pPr>
      <w:r w:rsidRPr="000B5D2F">
        <w:t>M.</w:t>
      </w:r>
      <w:r w:rsidRPr="000B5D2F">
        <w:tab/>
        <w:t xml:space="preserve">ker je bilo zaradi neučinkovitega upravljanja in nesorazmerne uporabe sile s strani oblasti na evropskih mejah več primerov smrti migrantov in kršitev človekovih pravic; </w:t>
      </w:r>
      <w:r w:rsidRPr="000B5D2F">
        <w:lastRenderedPageBreak/>
        <w:t>ker se za spremljanje migrantov na zunanjih in notranjih mejah EU uporablja vse več tehnologije, vključno z umetno inteligenco; ker kriminalizacija nevladnih organizacij ali katerih koli drugih nedržavnih akterjev, ki izvajajo operacije iskanja in reševanja ob upoštevanju ustreznega pravnega okvira, pomeni kršitev mednarodnega prava</w:t>
      </w:r>
      <w:r w:rsidRPr="000B5D2F">
        <w:rPr>
          <w:vertAlign w:val="superscript"/>
        </w:rPr>
        <w:footnoteReference w:id="40"/>
      </w:r>
      <w:r w:rsidRPr="000B5D2F">
        <w:t xml:space="preserve"> in je zato pravo EU ne dovoljuje; ker je Sodišče opozorilo, da je državljane tretjih držav mogoče zapreti le, če obstaja posebna pravna podlaga za omejitev njihove pravice do svobode, in ne, če obstaja le splošno merilo</w:t>
      </w:r>
      <w:r w:rsidRPr="000B5D2F">
        <w:rPr>
          <w:vertAlign w:val="superscript"/>
        </w:rPr>
        <w:footnoteReference w:id="41"/>
      </w:r>
      <w:r w:rsidRPr="000B5D2F">
        <w:t>;</w:t>
      </w:r>
    </w:p>
    <w:p w:rsidR="000B4485" w:rsidRPr="000B5D2F" w:rsidRDefault="000B4485" w:rsidP="000B4485">
      <w:pPr>
        <w:pStyle w:val="NormalHanging12a"/>
        <w:rPr>
          <w:szCs w:val="24"/>
        </w:rPr>
      </w:pPr>
      <w:r w:rsidRPr="000B5D2F">
        <w:t>N.</w:t>
      </w:r>
      <w:r w:rsidRPr="000B5D2F">
        <w:tab/>
        <w:t>ker se je število smrtnih žrtev na evropskih morskih mejah leta 2022 v primerjavi z letom 2021 nekoliko zmanjšalo, vendar je bilo še vedno višje kot v treh letih pred letom 2021</w:t>
      </w:r>
      <w:r w:rsidRPr="000B5D2F">
        <w:rPr>
          <w:vertAlign w:val="superscript"/>
        </w:rPr>
        <w:footnoteReference w:id="42"/>
      </w:r>
      <w:r w:rsidRPr="000B5D2F">
        <w:t>; ker je največ ljudi umrlo v osrednjem Sredozemlju ob severnoafriških obalah</w:t>
      </w:r>
      <w:r w:rsidRPr="000B5D2F">
        <w:rPr>
          <w:vertAlign w:val="superscript"/>
        </w:rPr>
        <w:footnoteReference w:id="43"/>
      </w:r>
      <w:r w:rsidRPr="000B5D2F">
        <w:t xml:space="preserve">; </w:t>
      </w:r>
    </w:p>
    <w:p w:rsidR="000B4485" w:rsidRPr="000B5D2F" w:rsidRDefault="000B4485" w:rsidP="000B4485">
      <w:pPr>
        <w:pStyle w:val="NormalHanging12a"/>
        <w:rPr>
          <w:szCs w:val="24"/>
        </w:rPr>
      </w:pPr>
      <w:r w:rsidRPr="000B5D2F">
        <w:t>O.</w:t>
      </w:r>
      <w:r w:rsidRPr="000B5D2F">
        <w:tab/>
        <w:t>ker je bilo v zvezi z agencijo Frontex opravljenih več poročil in preiskav o vprašanjih, povezanih s temeljnimi pravicami, tudi s strani Evropskega urada za boj proti goljufijam (OLAF) in Evropskega varuha človekovih pravic; ker je nekdanji direktor agencije Frontex aprila 2022 odstopil s položaja; ker morajo vse agencije EU spoštovati temeljne pravice in odgovarjati za morebitne kršitve temeljnih pravic;</w:t>
      </w:r>
    </w:p>
    <w:p w:rsidR="000B4485" w:rsidRPr="000B5D2F" w:rsidRDefault="000B4485" w:rsidP="000B4485">
      <w:pPr>
        <w:pStyle w:val="NormalHanging12a"/>
      </w:pPr>
      <w:r w:rsidRPr="000B5D2F">
        <w:t>P.</w:t>
      </w:r>
      <w:r w:rsidRPr="000B5D2F">
        <w:tab/>
        <w:t>ker je v zadnjih letih prišlo do organiziranega nasprotovanja pravicam žensk in deklet; ker je v nekaterih državah članicah prišlo do poskusov nadaljnjega zmanjševanja obsega spolnega in reproduktivnega zdravja in pravic, na primer v zvezi z obstoječim pravnim varstvom za dostop žensk do splava; ker je v nekaterih državah članicah zaradi odrekanja varnega in zakonitega splava v zadnjih letih umrlo več žensk; ker je razširjenost nasilja na podlagi spola, vključno s spolnim nasiljem in posilstvi, še vedno visoka po vsej EU; ker nekatere države članice še vedno niso ratificirale Konvencije Sveta Evrope o preprečevanju nasilja nad ženskami in nasilja v družini ter o boju proti njima (Istanbulska konvencija); ker je v EU vse več gibanj proti spodbujanju in zagotavljanju spolne vzgoje;</w:t>
      </w:r>
    </w:p>
    <w:p w:rsidR="000B4485" w:rsidRPr="000B5D2F" w:rsidRDefault="000B4485" w:rsidP="000B4485">
      <w:pPr>
        <w:pStyle w:val="NormalHanging12a"/>
        <w:rPr>
          <w:szCs w:val="24"/>
        </w:rPr>
      </w:pPr>
      <w:r w:rsidRPr="000B5D2F">
        <w:t>Q.</w:t>
      </w:r>
      <w:r w:rsidRPr="000B5D2F">
        <w:tab/>
        <w:t>ker je nasilje na podlagi spola hkrati vzrok in posledica strukturnih neenakosti, ki izhajajo iz spolnih stereotipov in asimetričnosti moči, tudi v zasebnem, socialnem, javnem in gospodarskem okolju;</w:t>
      </w:r>
    </w:p>
    <w:p w:rsidR="000B4485" w:rsidRPr="000B5D2F" w:rsidRDefault="000B4485" w:rsidP="000B4485">
      <w:pPr>
        <w:pStyle w:val="NormalHanging12a"/>
      </w:pPr>
      <w:r w:rsidRPr="000B5D2F">
        <w:t>R.</w:t>
      </w:r>
      <w:r w:rsidRPr="000B5D2F">
        <w:tab/>
        <w:t xml:space="preserve">ker podatki raziskave agencije FRA kažejo, da razširjenost diskriminacije zaradi rasne ali etnične pripadnosti ali verskega prepričanja (vključno z Romi, muslimani, Judi in osebami afriškega porekla) ostaja trajno visoka, tako skozi čas kot med različnimi skupinami prebivalstva, zlasti med posamezniki iz prikrajšanih socialno-ekonomskih okolij, v različnih državah članicah; ker so rasne in etnične manjšine izpostavljene </w:t>
      </w:r>
      <w:r w:rsidRPr="000B5D2F">
        <w:lastRenderedPageBreak/>
        <w:t>sistemskemu rasizmu, kaznivim dejanjem iz sovraštva in sovražnemu govoru, pomanjkljivim dostopom do pravnega varstva ter trajnim socialno-ekonomskim neenakostim na področjih, kot so stanovanja, zdravstveno varstvo, zaposlovanje in izobraževanje, ki jih je treba priznati kot glavne ovire za polno uživanje njihovih temeljnih pravic ter ključne ovire za vključevanje in enakost; ker so antisemitizem, anticiganizem, islamofobija in rasizem trdovratne oblike sovraštva in diskriminacije; ker ekstremizem skrajne desnice še posebej ogroža osebe, ki jih je prizadela diskriminacija, in družbo kot celoto; ker je po navedbah agencije FRA obstajajo znaki o prisotnosti sistemskega rasizma v EU, tudi v organih kazenskega pregona; ker je treba v politikah in ukrepih za boj proti rasizmu in diskriminaciji upoštevati presečno diskriminacijo;</w:t>
      </w:r>
    </w:p>
    <w:p w:rsidR="000B4485" w:rsidRPr="000B5D2F" w:rsidRDefault="000B4485" w:rsidP="000B4485">
      <w:pPr>
        <w:pStyle w:val="NormalHanging12a"/>
        <w:rPr>
          <w:szCs w:val="24"/>
        </w:rPr>
      </w:pPr>
      <w:r w:rsidRPr="000B5D2F">
        <w:t>S.</w:t>
      </w:r>
      <w:r w:rsidRPr="000B5D2F">
        <w:tab/>
        <w:t>ker se invalidi, ki živijo v EU, še vedno soočajo z diskriminacijo, tudi z odrekanjem primerne prilagoditve, nadlegovanjem ter večplastnimi in presečnimi oblikami diskriminacije na vseh področjih svojega življenja, vključno s socialno-ekonomsko prikrajšanostjo, socialno osamitvijo, grdim ravnanjem in nasiljem, med drugim z nasiljem na podlagi spola, prisilno sterilizacijo in splavom, pomanjkanjem dostopa do storitev skupnosti, nekakovostnimi stanovanji, institucionalizacijo, neustrezno zdravstveno oskrbo in odrekanjem priložnosti za prispevanje in dejavno sodelovanje v družbi;</w:t>
      </w:r>
    </w:p>
    <w:p w:rsidR="000B4485" w:rsidRPr="000B5D2F" w:rsidRDefault="000B4485" w:rsidP="000B4485">
      <w:pPr>
        <w:pStyle w:val="NormalHanging12a"/>
        <w:rPr>
          <w:szCs w:val="24"/>
        </w:rPr>
      </w:pPr>
      <w:r w:rsidRPr="000B5D2F">
        <w:t>T.</w:t>
      </w:r>
      <w:r w:rsidRPr="000B5D2F">
        <w:tab/>
        <w:t>ker precejšen del Romov</w:t>
      </w:r>
      <w:r w:rsidRPr="000B5D2F">
        <w:rPr>
          <w:vertAlign w:val="superscript"/>
        </w:rPr>
        <w:footnoteReference w:id="44"/>
      </w:r>
      <w:r w:rsidRPr="000B5D2F">
        <w:t xml:space="preserve"> v Evropi živi v izjemno negotovih razmerah tako v mestih kot na podeželju ter v zelo slabih socialno-ekonomskih okoliščinah; ker so večini Romov kršene temeljne človekove pravice na vseh področjih življenja; ker v nekaterih državah članicah otroke še vedno nameščajo v ločene šole in izvajajo diskriminatorne prakse, kot je pošiljanje otrok iz rasnih in etničnih manjšin v šole za otroke z intelektualno oviro;</w:t>
      </w:r>
    </w:p>
    <w:p w:rsidR="000B4485" w:rsidRPr="000B5D2F" w:rsidRDefault="000B4485" w:rsidP="000B4485">
      <w:pPr>
        <w:pStyle w:val="NormalHanging12a"/>
        <w:rPr>
          <w:szCs w:val="24"/>
        </w:rPr>
      </w:pPr>
      <w:r w:rsidRPr="000B5D2F">
        <w:t>U.</w:t>
      </w:r>
      <w:r w:rsidRPr="000B5D2F">
        <w:tab/>
        <w:t>ker se po EU še vedno nadaljuje trend vse večje diskriminacije, sovražnega govora in nasilja nad osebami LGBTIQ+ in zagovorniki njihovih pravic; ker se osebe LGBTIQ+ v več državah članicah še vedno soočajo z diskriminacijo in izključenostjo na področju socialne zaščite, socialne varnosti, dostopa do zdravstvenega varstva, izobraževanja, pravnega varstva ter dostopa do blaga in drugih storitev, ki so na voljo javnosti, vključno s stanovanji, ter oskrbe z njimi; ker se sodna praksa Sodišča, ki varuje socialne pravice in zasebno življenje istospolnih parov in otrok, rojenih istospolnim staršem, ne izvaja, na primer zadeva Coman (C-673/16) in zadeva v zvezi z deklico Saro (C-490/20); ker se pri interseksualnih otrocih opravljajo kirurški posegi in zdravljenje brez njihove predhodne osebne privolitve na podlagi vseh informacij; ker lahko pohabljanje spolnih organov interseksualnih oseb povzroči vseživljenjske posledice, kot so psihološke travme in telesne okvare;</w:t>
      </w:r>
    </w:p>
    <w:p w:rsidR="000B4485" w:rsidRPr="000B5D2F" w:rsidRDefault="000B4485" w:rsidP="000B4485">
      <w:pPr>
        <w:pStyle w:val="NormalHanging12a"/>
      </w:pPr>
      <w:r w:rsidRPr="000B5D2F">
        <w:t>V.</w:t>
      </w:r>
      <w:r w:rsidRPr="000B5D2F">
        <w:tab/>
        <w:t>ker v zadnjih nekaj letih po EU</w:t>
      </w:r>
      <w:r w:rsidRPr="000B5D2F">
        <w:rPr>
          <w:vertAlign w:val="superscript"/>
        </w:rPr>
        <w:footnoteReference w:id="45"/>
      </w:r>
      <w:r w:rsidRPr="000B5D2F">
        <w:t xml:space="preserve"> povečalo število kaznivih dejanj iz sovraštva in primerov sovražnega govora, predvsem zaradi vse večjega števila uporabnikov družbenih medijev in dejstva, da sovražni govor na spletu uspeva; ker poslovni model </w:t>
      </w:r>
      <w:r w:rsidRPr="000B5D2F">
        <w:lastRenderedPageBreak/>
        <w:t>platform družbenih medijev, ki temelji na ciljno usmerjenem oglaševanju, prispeva k širjenju in krepitvi sovražnega govora, spodbujanju diskriminacije in nasilja; ker so izobraževalni sistemi bistvenega pomena, da bi vsem zagotovili digitalno izobraževanje, pismenost ter znanja in spretnosti, spodbujali poznavanje digitalnih tehnologij med uporabniki, odpravljali neenakosti, izboljšali digitalno vključenost ter opolnomočili in zaščitili posameznike ter njihove pravice, hkrati pa opredelili njihove odgovornosti; ker lahko sovražni govor privede do kaznivih dejanj iz sovraštva; ker se po podatkih agencije FRA do 90 % kaznivih dejanj in napadov iz sovraštva v EU ne prijavi in zato krivci niso kaznovani;</w:t>
      </w:r>
    </w:p>
    <w:p w:rsidR="000B4485" w:rsidRPr="000B5D2F" w:rsidRDefault="000B4485" w:rsidP="000B4485">
      <w:pPr>
        <w:pStyle w:val="NormalHanging12a"/>
        <w:rPr>
          <w:szCs w:val="24"/>
        </w:rPr>
      </w:pPr>
      <w:r w:rsidRPr="000B5D2F">
        <w:t>W.</w:t>
      </w:r>
      <w:r w:rsidRPr="000B5D2F">
        <w:tab/>
        <w:t>ker člen 21 Listine prepoveduje vsakršno diskriminacijo na podlagi jezika ali pripadnosti etnični manjšini; ker njen člen 22 zagotavlja spoštovanje jezikovne raznolikosti;</w:t>
      </w:r>
    </w:p>
    <w:p w:rsidR="000B4485" w:rsidRPr="000B5D2F" w:rsidRDefault="000B4485" w:rsidP="000B4485">
      <w:pPr>
        <w:pStyle w:val="NormalHanging12a"/>
        <w:rPr>
          <w:szCs w:val="24"/>
        </w:rPr>
      </w:pPr>
      <w:r w:rsidRPr="000B5D2F">
        <w:t>X.</w:t>
      </w:r>
      <w:r w:rsidRPr="000B5D2F">
        <w:tab/>
        <w:t>ker EU temelji na spodbujanju socialnih, kulturnih in gospodarskih pravic; ker je število ljudi, ki živijo v revščini, v EU še vedno veliko, saj več kot enemu od petih otrok grozi revščina, skoraj vsakemu četrtemu evropskemu državljanu pa grozi revščina ali družbena izključenost; ker krog revščine povečuje druge neenakosti, kot so dostop ljudi do izobraževanja, cenovno dostopnih stanovanj, zdravstvenega varstva in zaposlitve; ker se je zaradi energetske krize in inflacije povečalo število ljudi, ki jih prizadenejo negotovost, revščina in družbena izključenost; ker se člen 151 PDEU sklicuje na temeljne socialne pravice, kot so pravice iz Evropske socialne listine; ker sta evropski steber socialnih pravic in izvajanje njegovega akcijskega načrta ključna instrumenta za vključevanje socialnih prednostnih nalog v vse politike EU in vodilo za dejansko izvajanje njegovih 20 načel;</w:t>
      </w:r>
    </w:p>
    <w:p w:rsidR="000B4485" w:rsidRPr="000B5D2F" w:rsidRDefault="000B4485" w:rsidP="000B4485">
      <w:pPr>
        <w:pStyle w:val="NormalHanging12a"/>
      </w:pPr>
      <w:r w:rsidRPr="000B5D2F">
        <w:t>Y.</w:t>
      </w:r>
      <w:r w:rsidRPr="000B5D2F">
        <w:tab/>
        <w:t>ker je pristop EU k Evropski konvenciji o človekovih pravicah (EKČP) obveznost v skladu s členom 6(2) PEU in ostaja prednostna naloga;</w:t>
      </w:r>
    </w:p>
    <w:p w:rsidR="000B4485" w:rsidRPr="000B5D2F" w:rsidRDefault="000B4485" w:rsidP="000B4485">
      <w:pPr>
        <w:pStyle w:val="NormalHanging12a"/>
        <w:rPr>
          <w:szCs w:val="24"/>
        </w:rPr>
      </w:pPr>
      <w:r w:rsidRPr="000B5D2F">
        <w:t>Z.</w:t>
      </w:r>
      <w:r w:rsidRPr="000B5D2F">
        <w:tab/>
        <w:t>ker imajo države članice ter institucije in organi EU, vključno z Sodiščem, Agencijo EU za temeljne pravice in Evropskim javnim tožilstvom, ključno vlogo pri ohranjanju vrednot EU in zagotavljanju spoštovanja temeljnih pravic;</w:t>
      </w:r>
    </w:p>
    <w:p w:rsidR="000B4485" w:rsidRPr="000B5D2F" w:rsidRDefault="000B4485" w:rsidP="000B4485">
      <w:pPr>
        <w:pStyle w:val="NormalHanging12a"/>
        <w:rPr>
          <w:szCs w:val="24"/>
        </w:rPr>
      </w:pPr>
      <w:r w:rsidRPr="000B5D2F">
        <w:t>AA.</w:t>
      </w:r>
      <w:r w:rsidRPr="000B5D2F">
        <w:tab/>
        <w:t>ker je evropska varuhinja človekovih pravic opravila preiskavo glede izmenjave osebnih sporočil in klicev o naročilu cepiv proti covidu-19 med predsednico Komisije in izvršnim direktorjem podjetja Pfizer, ki jih Komisija pozneje ni hotela razkriti; ker je varuhinja človekovih pravic julija 2022 ugotovila, da ta zavrnitev pomeni nepravilnost</w:t>
      </w:r>
      <w:r w:rsidRPr="000B5D2F">
        <w:rPr>
          <w:vertAlign w:val="superscript"/>
        </w:rPr>
        <w:footnoteReference w:id="46"/>
      </w:r>
      <w:r w:rsidRPr="000B5D2F">
        <w:t>;</w:t>
      </w:r>
    </w:p>
    <w:p w:rsidR="000B4485" w:rsidRPr="000B5D2F" w:rsidRDefault="000B4485" w:rsidP="000B4485">
      <w:pPr>
        <w:pStyle w:val="NormalHanging12a"/>
        <w:rPr>
          <w:szCs w:val="24"/>
        </w:rPr>
      </w:pPr>
      <w:r w:rsidRPr="000B5D2F">
        <w:t>AB.</w:t>
      </w:r>
      <w:r w:rsidRPr="000B5D2F">
        <w:tab/>
        <w:t>ker se že več let zaradi sistematičnih ukrepov vlad slabša stanje na področju pravne države v več državah članicah, zlasti na Madžarskem in Poljskem, proti katerima je bil sprožen postopek na podlagi člena 7(1) PEU; ker v drugih državah članicah hitro narašča zaskrbljenost zaradi pravne države in temeljnih pravic; ker je ključnega pomena zagotoviti, da države članice spoštujejo zaveze OVSE ter druge mednarodne obveznosti in standarde za demokratične volitve, vključno z Beneško komisijo;</w:t>
      </w:r>
    </w:p>
    <w:p w:rsidR="000B4485" w:rsidRPr="000B5D2F" w:rsidRDefault="000B4485" w:rsidP="000B4485">
      <w:pPr>
        <w:pStyle w:val="NormalHanging12a"/>
        <w:rPr>
          <w:szCs w:val="24"/>
        </w:rPr>
      </w:pPr>
      <w:r w:rsidRPr="000B5D2F">
        <w:t>AC.</w:t>
      </w:r>
      <w:r w:rsidRPr="000B5D2F">
        <w:tab/>
        <w:t xml:space="preserve">ker je revščina oblika strukturne in socialne nepravičnosti, ki temelji na razlikah med </w:t>
      </w:r>
      <w:r w:rsidRPr="000B5D2F">
        <w:lastRenderedPageBreak/>
        <w:t>spoloma, diskriminaciji ter neenakih možnostih dostopa do blaga in storitev, in vodi v kršitev temeljnih pravic; ker je za zmanjšanje revščine treba upoštevati presečni pristop in posebno pozornost nameniti posameznikom v ranljivem položaju, kot so otroci, ženske, rasizirane in etnične skupnosti, osebe LGBTIQ+, migranti in prosilci za azil, invalidi ter osebe iz prikrajšanih socialno-ekonomskih okolij;</w:t>
      </w:r>
    </w:p>
    <w:p w:rsidR="000B4485" w:rsidRPr="000B5D2F" w:rsidRDefault="000B4485" w:rsidP="000B4485">
      <w:pPr>
        <w:pStyle w:val="NormalHanging12a"/>
      </w:pPr>
      <w:r w:rsidRPr="000B5D2F">
        <w:t>AD.</w:t>
      </w:r>
      <w:r w:rsidRPr="000B5D2F">
        <w:tab/>
        <w:t>ker je po poročilu Evropske agencije za okolje o kakovosti zraka v Evropi za leto 2022 samo v letu 2020 v Uniji zaradi izpostavljenosti onesnaženosti zraka z drobnimi delci prezgodaj umrlo 238 000 ljudi;</w:t>
      </w:r>
    </w:p>
    <w:p w:rsidR="000B4485" w:rsidRPr="000B5D2F" w:rsidRDefault="000B4485" w:rsidP="000B4485">
      <w:pPr>
        <w:pStyle w:val="Normal12a24b"/>
        <w:rPr>
          <w:i/>
        </w:rPr>
      </w:pPr>
      <w:r w:rsidRPr="000B5D2F">
        <w:rPr>
          <w:rStyle w:val="Bold"/>
          <w:i/>
        </w:rPr>
        <w:t>Pravna država in dostop do pravnega varstva</w:t>
      </w:r>
    </w:p>
    <w:p w:rsidR="000B4485" w:rsidRPr="000B5D2F" w:rsidRDefault="000B4485" w:rsidP="000B4485">
      <w:pPr>
        <w:pStyle w:val="NormalHanging12a"/>
      </w:pPr>
      <w:r w:rsidRPr="000B5D2F">
        <w:t>1.</w:t>
      </w:r>
      <w:r w:rsidRPr="000B5D2F">
        <w:tab/>
        <w:t>opozarja na pomen svobodnih medijev pri ohranjanju demokracije, ugotavljanju odgovornosti javnih in zasebnih institucij ter omogočanju dostopa državljanov do informacij, ki temeljijo na dejstvih; opozarja na pomen pluralnosti medijev in novinarske svobode; ostro obsoja, da je bil leta 2022 dosežen še rekord na svetovni ravni glede števila zaprtih novinarjev in poziva, naj se za uboje preiskovalnih novinarjev v EU v celoti zagotovi pravica;</w:t>
      </w:r>
    </w:p>
    <w:p w:rsidR="000B4485" w:rsidRPr="000B5D2F" w:rsidRDefault="000B4485" w:rsidP="00D7767F">
      <w:pPr>
        <w:pStyle w:val="NormalHanging12a"/>
        <w:rPr>
          <w:szCs w:val="24"/>
        </w:rPr>
      </w:pPr>
      <w:r w:rsidRPr="000B5D2F">
        <w:t>2.</w:t>
      </w:r>
      <w:r w:rsidRPr="000B5D2F">
        <w:tab/>
        <w:t>poziva države članice, naj izvajajo priporočilo Komisije o zaščiti novinarjev in zagovornikov človekovih pravic, ki se udejstvujejo pri udeležbi javnosti, pred očitno neutemeljenimi ali zlorabljenimi sodnimi postopki, zlasti naj odpravijo zaporne kazni v primerih obrekovanja, dekriminalizirajo obrekovanje in namesto tega dajo prednost civilnim ali upravnim postopkom; poziva Komisijo, naj obravnava resnost strateških tožb za onemogočanje udeležbe javnosti, ki se vložijo v okviru kazenskih postopkov, in sicer s predstavitvijo predloga za ukrepe, s katerimi bi zagotovili, da žalitev časti in dobrega imena ter pisnega in ustnega obrekovanja, ki so v večini držav članic kazniva dejanja, ne bo mogoče uporabiti kot podlago za strateške tožbe v javnih ali zasebnih zadevah; poudarja, da so strateške tožbe za onemogočanje udeležbe javnosti le ena od metod za utišanje novinarjev, in poziva Komisijo, naj dodatno razišče druge prakse in posreduje; poziva politike, naj javno obsodijo grožnje novinarjem in napade nanje;</w:t>
      </w:r>
    </w:p>
    <w:p w:rsidR="000B4485" w:rsidRPr="000B5D2F" w:rsidRDefault="000B4485" w:rsidP="000B4485">
      <w:pPr>
        <w:pStyle w:val="NormalHanging12a"/>
        <w:rPr>
          <w:szCs w:val="24"/>
        </w:rPr>
      </w:pPr>
      <w:r w:rsidRPr="000B5D2F">
        <w:t>3.</w:t>
      </w:r>
      <w:r w:rsidRPr="000B5D2F">
        <w:tab/>
        <w:t>ponovno izraža zaskrbljenost zaradi kršitve temeljnih pravic z uporabo programa Pegasus in podobne vohunske programske opreme za posameznike in odmevne osebnosti, kot so novinarji, blogerji, zagovorniki človekovih pravic, politiki ali drugi akterji; poudarja, da dejstvo, da nacionalne vlade nezakonito uporabljajo vohunsko programsko opremo, neposredno in posredno vpliva na celovitost procesa odločanja, kar ogroža demokracijo v Evropski uniji in poudarja, da je nujno potrebna večja preglednosti in pravna odgovornost industrije nadzora;</w:t>
      </w:r>
    </w:p>
    <w:p w:rsidR="000B4485" w:rsidRPr="000B5D2F" w:rsidRDefault="000B4485" w:rsidP="000B4485">
      <w:pPr>
        <w:pStyle w:val="NormalHanging12a"/>
        <w:rPr>
          <w:szCs w:val="24"/>
        </w:rPr>
      </w:pPr>
      <w:r w:rsidRPr="000B5D2F">
        <w:t>4.</w:t>
      </w:r>
      <w:r w:rsidRPr="000B5D2F">
        <w:tab/>
        <w:t>poziva države članice, zlasti Grčijo, Madžarsko, Poljsko, Španijo in Ciper, naj upoštevajo priporočila zanje iz poročila o uporabi programa Pegasus in podobne vohunske programske opreme za nadzor; opozarja na svoja priporočila za upoštevanje skupnih standardov EU, saj pravic posameznikov ne bi smeli ogroziti z omogočanjem neoviranega dostopa do nadzora;</w:t>
      </w:r>
    </w:p>
    <w:p w:rsidR="000B4485" w:rsidRPr="000B5D2F" w:rsidRDefault="000B4485" w:rsidP="000B4485">
      <w:pPr>
        <w:pStyle w:val="NormalHanging12a"/>
        <w:rPr>
          <w:szCs w:val="24"/>
        </w:rPr>
      </w:pPr>
      <w:r w:rsidRPr="000B5D2F">
        <w:t>5.</w:t>
      </w:r>
      <w:r w:rsidRPr="000B5D2F">
        <w:tab/>
        <w:t>poziva države članice, naj pripravijo nacionalne akcijske načrte za varnost novinarjev in ustvarijo ugodno okolje za razcvet pluralnih in neodvisnih medijev, ki bodo imeli pomembno vlogo nadzornika in bodo od vlad in drugih akterjev zahtevali odgovornost;</w:t>
      </w:r>
    </w:p>
    <w:p w:rsidR="000B4485" w:rsidRPr="000B5D2F" w:rsidRDefault="000B4485" w:rsidP="000B4485">
      <w:pPr>
        <w:pStyle w:val="NormalHanging12a"/>
        <w:rPr>
          <w:szCs w:val="24"/>
        </w:rPr>
      </w:pPr>
      <w:r w:rsidRPr="000B5D2F">
        <w:t>6.</w:t>
      </w:r>
      <w:r w:rsidRPr="000B5D2F">
        <w:tab/>
        <w:t xml:space="preserve">opozarja, da je treba trgovino z vohunsko programsko opremo in njeno uporabo strogo </w:t>
      </w:r>
      <w:r w:rsidRPr="000B5D2F">
        <w:lastRenderedPageBreak/>
        <w:t>urediti; poudarja, da mora biti uporaba vohunske programske opreme dovoljena le v izjemnih in posebnih primerih, povezanih s preiskavami z omejenega in dokončnega seznama jasno in natančno opredeljenih hudih kaznivih dejanj, da mora biti utemeljena za vsak primer posebej, skladna z Listino in drugim ustreznim pravom Unije ter da jo mora predhodno odrediti neodvisen in nepristranski pravosodni organ z učinkovitimi, znanimi in dostopnimi popravnimi ukrepi; poudarja, da mora vsak nadzor z vohunsko programsko opremo naknadno pregledati neodvisni nadzorni organ, ki mora zagotoviti, da se vsak odobreni nadzor izvaja v skladu s temeljnimi pravicami in pogoji, ki jih določijo Sodišče EU, Evropsko sodišče za človekove pravice in Beneška komisija; vztraja, da je treba posameznikom, ki so tarča vohunske programske opreme, omogočiti dostop do dejanskih in smiselnih pravnih sredstev;</w:t>
      </w:r>
    </w:p>
    <w:p w:rsidR="000B4485" w:rsidRPr="000B5D2F" w:rsidRDefault="000B4485" w:rsidP="000B4485">
      <w:pPr>
        <w:pStyle w:val="NormalHanging12a"/>
        <w:rPr>
          <w:szCs w:val="24"/>
        </w:rPr>
      </w:pPr>
      <w:r w:rsidRPr="000B5D2F">
        <w:t>7.</w:t>
      </w:r>
      <w:r w:rsidRPr="000B5D2F">
        <w:tab/>
        <w:t>poudarja, da korupcija ni združljiva z vrednotami demokracije in pravne države, saj poglablja neenakosti in zmanjšuje zaupanje državljanov v dobro upravljanje; je globoko zaskrbljen zaradi vse večje stopnje korupcije v več državah članicah, zlasti v primerih, ko so udeleženi visoki uradniki in politiki; ponovno obsoja domnevne primere korupcije, v katere so vpleteni sedanji in nekdanji poslanci Evropskega parlamenta; v zvezi s tem poudarja sprejetje sprememb Poslovnika Evropskega parlamenta, katerih namen je povečati integriteto, neodvisnost in odgovornost te institucije; je zaskrbljen zaradi različnih ravni izvajanja okvira EU za boj proti korupciji v državah članicah; zahteva, da mora biti pravilo ničelna toleranca do korupcije; poziva k ustanovitvi neodvisnega organa EU za etiko; poziva države članice, naj zagotovijo celovito izvajanje direktive o zaščiti žvižgačev</w:t>
      </w:r>
      <w:r w:rsidRPr="000B5D2F">
        <w:rPr>
          <w:rStyle w:val="FootnoteReference"/>
        </w:rPr>
        <w:footnoteReference w:id="47"/>
      </w:r>
      <w:r w:rsidRPr="000B5D2F">
        <w:t>;</w:t>
      </w:r>
    </w:p>
    <w:p w:rsidR="000B4485" w:rsidRPr="000B5D2F" w:rsidRDefault="000B4485" w:rsidP="000B4485">
      <w:pPr>
        <w:pStyle w:val="NormalHanging12a"/>
      </w:pPr>
      <w:r w:rsidRPr="000B5D2F">
        <w:t>8.</w:t>
      </w:r>
      <w:r w:rsidRPr="000B5D2F">
        <w:tab/>
        <w:t>poudarja, da sta neodvisnost sodstva ter učinkovit sistem zavor in ravnovesij, ki se lahko med državami članicami razlikuje, ključna elementa pravne države; poudarja, da v več državah članicah ostajajo resni pomisleki glede pravne države in neodvisnosti sodstva; obsoja vse poskuse vlad držav članic, da bi neposredno ali z organizacijskimi sredstvi politično vplivale na neodvisno odločanje v sodstvu ali ga nadzirale;</w:t>
      </w:r>
    </w:p>
    <w:p w:rsidR="000B4485" w:rsidRPr="000B5D2F" w:rsidRDefault="000B4485" w:rsidP="000B4485">
      <w:pPr>
        <w:pStyle w:val="NormalHanging12a"/>
        <w:rPr>
          <w:szCs w:val="24"/>
        </w:rPr>
      </w:pPr>
      <w:r w:rsidRPr="000B5D2F">
        <w:t>9.</w:t>
      </w:r>
      <w:r w:rsidRPr="000B5D2F">
        <w:tab/>
        <w:t>podpira oblikovanje strategije EU za zagotovitev konkretnih in usklajenih ukrepov na ravni EU, vključno z vzpostavitvijo mehanizma za zaščito zagovornikov človekovih pravic v Evropi na podlagi primerov iz zunanje politike EU, da se zagotovijo preprečevanje, neposredna pomoč in odgovornost;</w:t>
      </w:r>
    </w:p>
    <w:p w:rsidR="000B4485" w:rsidRPr="000B5D2F" w:rsidRDefault="000B4485" w:rsidP="000B4485">
      <w:pPr>
        <w:pStyle w:val="NormalHanging12a"/>
      </w:pPr>
      <w:r w:rsidRPr="000B5D2F">
        <w:t>10.</w:t>
      </w:r>
      <w:r w:rsidRPr="000B5D2F">
        <w:tab/>
        <w:t>podpira uporabo mehanizma za okrevanje in odpornost ter horizontalne omogočitvene pogoje za zamrznitev sredstev EU za boj proti korupciji in nazadovanju pravne države v državah članicah; poudarja, da je treba sredstva, omejena z različnimi pogojnimi ukrepi, sprostiti šele, ko so izpolnjeni ključni omogočitveni pogoji; poziva države članice, naj dokončajo ustrezne ukrepe za dosego mejnikov iz svojih načrtov za okrevanje in odpornost; poziva Evropski svet, naj ukrepa in ugotovi, ali je Madžarska resno in vztrajno kršila vrednote EU iz člena 7(2) PEU; močno obžaluje, da madžarske oblasti sistematično pripisujejo krivdo skupnosti LGBTQI+; poudarja, da si Svet deli odgovornost za zaščito vrednot iz člena 2 PEU in da bi imelo njegovo neukrepanje dolgotrajne in potencialno škodljive posledice; vztraja, da je treba spoštovati vlogo in pristojnosti Parlamenta;</w:t>
      </w:r>
    </w:p>
    <w:p w:rsidR="000B4485" w:rsidRPr="000B5D2F" w:rsidRDefault="000B4485" w:rsidP="000B4485">
      <w:pPr>
        <w:pStyle w:val="NormalHanging12a"/>
        <w:rPr>
          <w:szCs w:val="24"/>
        </w:rPr>
      </w:pPr>
      <w:r w:rsidRPr="000B5D2F">
        <w:t>11.</w:t>
      </w:r>
      <w:r w:rsidRPr="000B5D2F">
        <w:tab/>
        <w:t xml:space="preserve">obžaluje, da nekatere države članice podaljšujejo izredne ukrepe, ki presegajo to, kar je </w:t>
      </w:r>
      <w:r w:rsidRPr="000B5D2F">
        <w:lastRenderedPageBreak/>
        <w:t>potrebno in sorazmerno, ter da ne sprejemajo zakonodaje brez ustreznega posvetovanja;</w:t>
      </w:r>
    </w:p>
    <w:p w:rsidR="000B4485" w:rsidRPr="000B5D2F" w:rsidRDefault="000B4485" w:rsidP="000B4485">
      <w:pPr>
        <w:pStyle w:val="NormalHanging12a"/>
        <w:rPr>
          <w:szCs w:val="24"/>
        </w:rPr>
      </w:pPr>
      <w:r w:rsidRPr="000B5D2F">
        <w:t>12.</w:t>
      </w:r>
      <w:r w:rsidRPr="000B5D2F">
        <w:tab/>
        <w:t>ponovno poudarja, da je treba čim prej vzpostaviti mehanizem EU za demokracijo, pravno državo in temeljne pravice, ter poziva Komisijo in Svet, naj nemudoma začneta pogajanja s Parlamentom o tem dogovoru;</w:t>
      </w:r>
    </w:p>
    <w:p w:rsidR="000B4485" w:rsidRPr="000B5D2F" w:rsidRDefault="000B4485" w:rsidP="000B4485">
      <w:pPr>
        <w:pStyle w:val="NormalHanging12a"/>
        <w:rPr>
          <w:szCs w:val="24"/>
        </w:rPr>
      </w:pPr>
      <w:r w:rsidRPr="000B5D2F">
        <w:t>13.</w:t>
      </w:r>
      <w:r w:rsidRPr="000B5D2F">
        <w:tab/>
        <w:t>pozdravlja, da je Sodišče Evropske unije leta 2022 uvedlo sistem pretakanja, da bi javnosti omogočilo lažji dostop do svoje sodne dejavnosti;</w:t>
      </w:r>
    </w:p>
    <w:p w:rsidR="000B4485" w:rsidRPr="000B5D2F" w:rsidRDefault="000B4485" w:rsidP="000B4485">
      <w:pPr>
        <w:pStyle w:val="Normal12a24b"/>
        <w:rPr>
          <w:i/>
        </w:rPr>
      </w:pPr>
      <w:r w:rsidRPr="000B5D2F">
        <w:rPr>
          <w:rStyle w:val="Bold"/>
          <w:i/>
        </w:rPr>
        <w:t>Svoboščine</w:t>
      </w:r>
    </w:p>
    <w:p w:rsidR="000B4485" w:rsidRPr="000B5D2F" w:rsidRDefault="000B4485" w:rsidP="000B4485">
      <w:pPr>
        <w:pStyle w:val="NormalHanging12a"/>
        <w:rPr>
          <w:szCs w:val="24"/>
        </w:rPr>
      </w:pPr>
      <w:r w:rsidRPr="000B5D2F">
        <w:t>14.</w:t>
      </w:r>
      <w:r w:rsidRPr="000B5D2F">
        <w:tab/>
        <w:t>izraža globoko zaskrbljenost zaradi vse večje ogroženosti svobode združevanja, govora in zbiranja; ponovno poudarja, da se pravica do mirnega zbiranja lahko omeji le, če je to določeno z zakonom ter če je to potrebno in sorazmerno za zaščito splošnega interesa, ki ga priznava Unija, ali pravic in svoboščin drugih; obsoja, da organi kazenskega pregona med miroljubnimi protesti v nekaterih primerih uporabljajo nasilno in nesorazmerno posredovanje, in obsoja primere diskrecijskih množičnih aretacij morebitnih protestnikov; spodbuja ustrezne nacionalne organe, naj zagotovijo pregledne, nepristranske, neodvisne in učinkovite preiskave suma ali domnevne uporabe nesorazmerne sile; poziva države članice, naj za ohranjanje javnega miru uporabijo druge načine, ki so se že izkazali za učinkovite v drugih državah članicah;</w:t>
      </w:r>
    </w:p>
    <w:p w:rsidR="000B4485" w:rsidRPr="000B5D2F" w:rsidRDefault="000B4485" w:rsidP="000B4485">
      <w:pPr>
        <w:pStyle w:val="NormalHanging12a"/>
      </w:pPr>
      <w:r w:rsidRPr="000B5D2F">
        <w:t>15.</w:t>
      </w:r>
      <w:r w:rsidRPr="000B5D2F">
        <w:tab/>
        <w:t>poudarja, da morajo biti za zagotovitev pravice do svobode izražanja in obveščanja, ki je temeljna za vsako demokracijo, informacije splošno dostopne in raznolike; poudarja, da je treba zagotoviti umetniško svobodo; poudarja, da lahko dezinformacije močno ovirajo delovanje demokratičnih družb, gospodarstev in političnih sistemov; ponovno poudarja, da je treba medijsko in digitalno pismenost vključiti v državljansko vzgojo, da bi preprečili širjenje dezinformacij; ponavlja svoja priporočila, naj se sprejmejo učinkoviti ukrepi za boj proti dezinformacijam zlonamernih tujih sil, zlasti ker bodo kmalu evropske volitve; poudarja, da je neodvisen in pluralističen medijski prostor na spletu in zunaj njega nujen za učinkovit boj proti dezinformacijam in propagandi, zato ga je treba spodbujati, tudi z učinkovitim ukrepanjem proti koncentraciji medijev;</w:t>
      </w:r>
    </w:p>
    <w:p w:rsidR="000B4485" w:rsidRPr="000B5D2F" w:rsidRDefault="000B4485" w:rsidP="000B4485">
      <w:pPr>
        <w:pStyle w:val="NormalHanging12a"/>
        <w:rPr>
          <w:szCs w:val="24"/>
        </w:rPr>
      </w:pPr>
      <w:r w:rsidRPr="000B5D2F">
        <w:t>16.</w:t>
      </w:r>
      <w:r w:rsidRPr="000B5D2F">
        <w:tab/>
        <w:t xml:space="preserve"> poudarja, da morajo biti nacionalni regulativni organi in/ali telesa v skladu s pravom Unije funkcionalno neodvisni od svoje vlade in ne smejo zahtevati ali sprejemati navodil od nobenega drugega organa; ugotavlja, da so politična neodvisnost ureditve in nadzora medijev, ki ga izvajajo države članice in Komisija, zaščita uredniške neodvisnosti po vsej EU ter tudi zaščita novinarjev pred nadzorom in zaščita novinarskih virov izjemno pomembne; v zvezi s tem poziva k sprejetju močnega evropskega akta o svobodi medijev, ki bo zagotovil neodvisnost, pluralnost in svobodo medijev po vsej EU ter preglednost lastništva in financiranja;</w:t>
      </w:r>
    </w:p>
    <w:p w:rsidR="000B4485" w:rsidRPr="000B5D2F" w:rsidRDefault="000B4485" w:rsidP="000B4485">
      <w:pPr>
        <w:pStyle w:val="NormalHanging12a"/>
        <w:rPr>
          <w:szCs w:val="24"/>
        </w:rPr>
      </w:pPr>
      <w:r w:rsidRPr="000B5D2F">
        <w:t>17.</w:t>
      </w:r>
      <w:r w:rsidRPr="000B5D2F">
        <w:tab/>
        <w:t xml:space="preserve">poudarja ključno vlogo organizacij civilne družbe pri spodbujanju aktivnega državljanstva, temeljnih pravic in demokratične udeležbe v Evropi; spodbuja Komisijo, naj predstavi strategijo in minimalna pravila za zaščito organizacij civilne družbe v vseh državah članicah, da bi spodbudili zakonodajno in politično okolje brez negativnih učinkov, groženj in napadov, omogočili vzdržen in nediskriminatoren dostop organizacij civilne družbe do sredstev ter podprli njihovo vključevanje v civilni dialog in sodelovanje pri oblikovanju politik; obžaluje, da se je položaj zagovornikov človekovih pravic v EU v zadnjih letih zaskrbljujoče poslabšal; poziva Komisijo in države članice, naj sprejmejo potrebne ukrepe za zagotovitev, da bodo ti zagovorniki </w:t>
      </w:r>
      <w:r w:rsidRPr="000B5D2F">
        <w:lastRenderedPageBreak/>
        <w:t>lahko delali brez ovir in negotovosti;</w:t>
      </w:r>
    </w:p>
    <w:p w:rsidR="000B4485" w:rsidRPr="000B5D2F" w:rsidRDefault="000B4485" w:rsidP="000B4485">
      <w:pPr>
        <w:pStyle w:val="NormalHanging12a"/>
        <w:rPr>
          <w:szCs w:val="24"/>
        </w:rPr>
      </w:pPr>
      <w:r w:rsidRPr="000B5D2F">
        <w:t>18.</w:t>
      </w:r>
      <w:r w:rsidRPr="000B5D2F">
        <w:tab/>
        <w:t>opozarja, da ima v skladu s členom 6 Listine vsakdo pravico do svobode in varnosti, kar pomeni, da bi morali biti vsi v EU zaščiteni pred nezakonitimi in samovoljnimi aretacijami; poziva države članice, naj upoštevajo priporočilo Komisije o procesnih pravicah osumljencev in obdolžencev, da bi izboljšale pogoje pridržanja in tako zagotovile večje varstvo pravice do svobode in varnosti;</w:t>
      </w:r>
    </w:p>
    <w:p w:rsidR="000B4485" w:rsidRPr="000B5D2F" w:rsidRDefault="000B4485" w:rsidP="000B4485">
      <w:pPr>
        <w:pStyle w:val="NormalHanging12a"/>
      </w:pPr>
      <w:r w:rsidRPr="000B5D2F">
        <w:t>19.</w:t>
      </w:r>
      <w:r w:rsidRPr="000B5D2F">
        <w:tab/>
        <w:t>obsoja porast diskriminacije na podlagi vere ali prepričanja ter rasističnih incidentov v EU; poziva Komisijo in države članice, naj sprejmejo odločne ukrepe v zvezi s tem, tudi na mednarodni ravni; opozarja, da ima v skladu s členom 10 Listine vsakdo pravico do svobode misli, vesti in vere; obžaluje, da organi pogosto niso seznanjeni s primeri diskriminacije ter rasističnih in ksenofobičnih kaznivih dejanj, kar vodi v dejansko nekaznovanje; obžaluje, da niso vse države članice v celoti prenesle okvirnega sklepa o boju proti nekaterim oblikam in izrazom rasizma in ksenofobije s kazenskopravnimi sredstvi;</w:t>
      </w:r>
    </w:p>
    <w:p w:rsidR="000B4485" w:rsidRPr="000B5D2F" w:rsidRDefault="000B4485" w:rsidP="000B4485">
      <w:pPr>
        <w:pStyle w:val="NormalHanging12a"/>
        <w:rPr>
          <w:szCs w:val="24"/>
        </w:rPr>
      </w:pPr>
      <w:r w:rsidRPr="000B5D2F">
        <w:t>20.</w:t>
      </w:r>
      <w:r w:rsidRPr="000B5D2F">
        <w:tab/>
        <w:t>je zaskrbljen zaradi vse večjega števila primerov policijskega nasilja nad romskim prebivalstvom; poziva države članice, naj podrobno preiščejo te incidente in zagotovijo, da ne bo nekaznovanosti za uvajanje in/ali izvajanje represivnih in nasilnih ukrepov proti romskim posameznikom ali skupnostim; nadalje poziva države članice, naj obravnavajo pristranske policijske zapise, poročanje, pregon in sodbe sodišč ter neustrezen dostop Romov do pravnega varstva;</w:t>
      </w:r>
    </w:p>
    <w:p w:rsidR="000B4485" w:rsidRPr="000B5D2F" w:rsidRDefault="000B4485" w:rsidP="000B4485">
      <w:pPr>
        <w:pStyle w:val="NormalHanging12a"/>
        <w:rPr>
          <w:szCs w:val="24"/>
        </w:rPr>
      </w:pPr>
      <w:r w:rsidRPr="000B5D2F">
        <w:t>21.</w:t>
      </w:r>
      <w:r w:rsidRPr="000B5D2F">
        <w:tab/>
        <w:t>poudarja, da je zaradi informatizacije vsakdanjega življenja in škandalov v zvezi s podatki pravica do varstva osebnih podatkov vse pomembnejša; ponovno izraža zaskrbljenost zaradi neenotne uporabe splošne uredbe o varstvu podatkov; podpira pobude za okrepitev zakonodajnega postopka o regulativnem okviru EU za umetno inteligenco, ki zagotavlja močne zaščitne ukrepe za temeljne pravice;</w:t>
      </w:r>
    </w:p>
    <w:p w:rsidR="000B4485" w:rsidRPr="000B5D2F" w:rsidRDefault="000B4485" w:rsidP="000B4485">
      <w:pPr>
        <w:pStyle w:val="NormalHanging12a"/>
      </w:pPr>
      <w:r w:rsidRPr="000B5D2F">
        <w:t>22.</w:t>
      </w:r>
      <w:r w:rsidRPr="000B5D2F">
        <w:tab/>
        <w:t>ostro obsoja razširjene kršitve temeljnih pravic in uporabo nesorazmernega nasilja na mejah EU nad migranti, tudi begunci, kot so samovoljna pridržanja, nečloveški življenjski pogoji in pomanjkljiv dostop do zdravstvenega varstva, nezakonita vračanja in nasilno zavračanje; je zelo zaskrbljen, ker bodo države članice kodificirale uporabo zavračanja v svojem nacionalnem pravu; obsoja vse zakone v državah članicah, ki ogrožajo učinkovito varstvo človekovih pravic beguncev, prosilcev za azil in migrantov na kopnem in morju ter kriminalizacijo humanitarnih delavcev in aktivistov; poudarja, da je skoraj tretjina prosilcev za azil otrok, in ponavlja, da pridržanje otrok zaradi priseljevanja ne bi smelo biti dovoljeno;</w:t>
      </w:r>
    </w:p>
    <w:p w:rsidR="000B4485" w:rsidRPr="000B5D2F" w:rsidRDefault="000B4485" w:rsidP="000B4485">
      <w:pPr>
        <w:pStyle w:val="NormalHanging12a"/>
        <w:rPr>
          <w:szCs w:val="24"/>
        </w:rPr>
      </w:pPr>
      <w:r w:rsidRPr="000B5D2F">
        <w:t>23.</w:t>
      </w:r>
      <w:r w:rsidRPr="000B5D2F">
        <w:tab/>
        <w:t>poziva EU in države članice, naj poskrbijo za vzpostavitev učinkovitih mehanizmov nadzora za zagotavljanje spoštovanja temeljnih pravic na zunanjih mejah, ki bi morali vključevati tudi spremljanje dejavnosti nadzora na mejah; nadalje poziva Komisijo in države članice, naj zagotovijo, da bodo posamezniki, katerih podatki so shranjeni v podatkovnih zbirkah obsežnih informacijskih sistemov EU, obveščeni o svojih pravicah in bodo imeli dostop do razpoložljivih pravnih sredstev;</w:t>
      </w:r>
    </w:p>
    <w:p w:rsidR="000B4485" w:rsidRPr="000B5D2F" w:rsidRDefault="000B4485" w:rsidP="000B4485">
      <w:pPr>
        <w:pStyle w:val="NormalHanging12a"/>
        <w:rPr>
          <w:szCs w:val="24"/>
        </w:rPr>
      </w:pPr>
      <w:r w:rsidRPr="000B5D2F">
        <w:t>24.</w:t>
      </w:r>
      <w:r w:rsidRPr="000B5D2F">
        <w:tab/>
        <w:t xml:space="preserve">močno obžaluje številne smrtne žrtve na morju med begunci in migranti, ki so pogosto žrtve trgovine z ljudmi in doživljajo nečloveško in poniževalno ravnanje, ne da bi pri tem sploh upoštevali njihovo varnost; ponovno poudarja, da je treba v skladu z mednarodnim pomorskim pravom pomagati osebam v stiski, in nujno poziva k stalnim </w:t>
      </w:r>
      <w:r w:rsidRPr="000B5D2F">
        <w:lastRenderedPageBreak/>
        <w:t>usklajenim operacijam iskanja in reševanja s hitrimi izkrcanji, države članice pa, naj sprejmejo vse možne ukrepe za reševanje življenj ogroženih ljudi na morju; poziva k spoštovanju pravice vseh rešenih oseb, da zaprosijo za azil, in sicer z oceno posameznih okoliščin za vsak primer posebej;</w:t>
      </w:r>
    </w:p>
    <w:p w:rsidR="000B4485" w:rsidRPr="000B5D2F" w:rsidRDefault="000B4485" w:rsidP="000B4485">
      <w:pPr>
        <w:pStyle w:val="NormalHanging12a"/>
        <w:rPr>
          <w:szCs w:val="24"/>
        </w:rPr>
      </w:pPr>
      <w:r w:rsidRPr="000B5D2F">
        <w:t>25.</w:t>
      </w:r>
      <w:r w:rsidRPr="000B5D2F">
        <w:tab/>
        <w:t>ugotavlja, da več držav članic uporablja nacionalno varnost kot odločilen dejavnik za notranjo politiko, kot so migracije; poudarja, da morajo biti vsi ukrepi, sprejeti na podlagi nacionalne varnosti, nujni in sorazmerni ter ne smejo ogrožati pravic, ki jih zagotavlja Listina; opozarja, da člen 19 Listine zagotavlja varstvo v primeru odstranitve, izgona ali izročitve s prepovedjo kolektivnega izgona in torej zahteva individualno presojo in prepoveduje zavrnitev prošenj za mednarodno zaščito zgolj na podlagi določenega državljanstva;</w:t>
      </w:r>
    </w:p>
    <w:p w:rsidR="000B4485" w:rsidRPr="000B5D2F" w:rsidRDefault="000B4485" w:rsidP="000B4485">
      <w:pPr>
        <w:pStyle w:val="NormalHanging12a"/>
        <w:rPr>
          <w:szCs w:val="24"/>
        </w:rPr>
      </w:pPr>
      <w:r w:rsidRPr="000B5D2F">
        <w:t>26.</w:t>
      </w:r>
      <w:r w:rsidRPr="000B5D2F">
        <w:tab/>
        <w:t>pozdravlja aktivacijo direktive EU o začasni zaščiti</w:t>
      </w:r>
      <w:r w:rsidRPr="000B5D2F">
        <w:rPr>
          <w:rStyle w:val="FootnoteReference"/>
        </w:rPr>
        <w:footnoteReference w:id="48"/>
      </w:r>
      <w:r w:rsidRPr="000B5D2F">
        <w:t xml:space="preserve"> po začetku vojne v Ukrajini, katere cilj je zagotoviti dostop do zaščite beguncem in prosilcem za azil ne glede na njihov izvor; opozarja, da je treba pri dostopu do nastanitve, zaposlitve, izobraževanja, zdravstvenega varstva in storitev socialnega varstva v okviru direktive o začasni zaščiti upoštevati pristop na podlagi spola; obžaluje neenako obravnavo, rasno diskriminacijo in nasilje, ki so jim izpostavljeni ljudje, ki niso Ukrajinci in bežijo pred spopadom, zlasti nebelci in osebe LGBTIQ+; obžaluje dvojna merila za migrante in begunce v EU ter poziva k odpravi tega stanja;</w:t>
      </w:r>
    </w:p>
    <w:p w:rsidR="000B4485" w:rsidRPr="000B5D2F" w:rsidRDefault="000B4485" w:rsidP="000B4485">
      <w:pPr>
        <w:pStyle w:val="NormalHanging12a"/>
        <w:rPr>
          <w:szCs w:val="24"/>
        </w:rPr>
      </w:pPr>
      <w:r w:rsidRPr="000B5D2F">
        <w:t>27.</w:t>
      </w:r>
      <w:r w:rsidRPr="000B5D2F">
        <w:tab/>
        <w:t>pozdravlja priporočilo Odbora ministrov Sveta Evrope o varstvu pravic migrantk, begunk in prosilk za azil ter poziva države članice, naj sprejmejo ukrepe za preprečevanje diskriminacije teh žensk in deklet, vključno s spodbujanjem dostopa do zaposlitve, spolnega in reproduktivnega zdravstvenega varstva ter olajšanjem dostopa do storitev in pravnega varstva za žrtve nasilja na podlagi spola</w:t>
      </w:r>
      <w:r w:rsidRPr="000B5D2F">
        <w:rPr>
          <w:vertAlign w:val="superscript"/>
        </w:rPr>
        <w:footnoteReference w:id="49"/>
      </w:r>
      <w:r w:rsidRPr="000B5D2F">
        <w:t>;</w:t>
      </w:r>
    </w:p>
    <w:p w:rsidR="000B4485" w:rsidRPr="000B5D2F" w:rsidRDefault="000B4485" w:rsidP="000B4485">
      <w:pPr>
        <w:pStyle w:val="NormalHanging12a"/>
        <w:rPr>
          <w:szCs w:val="24"/>
        </w:rPr>
      </w:pPr>
      <w:r w:rsidRPr="000B5D2F">
        <w:t>28.</w:t>
      </w:r>
      <w:r w:rsidRPr="000B5D2F">
        <w:tab/>
        <w:t>z zaskrbljenostjo ugotavlja, da je v EU veliko oseb brez državljanstva, zlasti otrok, ki se rodijo brez njega; poziva Komisijo, naj razvije celovito strategijo in akcijski načrt za obravnavo apatridnosti v EU in zaščiti osebe brez državljanstva pred izgonom; poziva države članice, naj ustrezno identificirajo, priznajo in zaščitijo osebe brez državljanstva, pri čemer naj obravnavajo posebne ranljivosti teh oseb;</w:t>
      </w:r>
    </w:p>
    <w:p w:rsidR="000B4485" w:rsidRPr="000B5D2F" w:rsidRDefault="000B4485" w:rsidP="000B4485">
      <w:pPr>
        <w:pStyle w:val="Normal12a24b"/>
        <w:rPr>
          <w:i/>
        </w:rPr>
      </w:pPr>
      <w:r w:rsidRPr="000B5D2F">
        <w:rPr>
          <w:rStyle w:val="Bold"/>
          <w:i/>
        </w:rPr>
        <w:t>Enakost in dostojanstvo</w:t>
      </w:r>
    </w:p>
    <w:p w:rsidR="000B4485" w:rsidRPr="000B5D2F" w:rsidRDefault="000B4485" w:rsidP="000B4485">
      <w:pPr>
        <w:pStyle w:val="NormalHanging12a"/>
      </w:pPr>
      <w:r w:rsidRPr="000B5D2F">
        <w:t>29.</w:t>
      </w:r>
      <w:r w:rsidRPr="000B5D2F">
        <w:tab/>
        <w:t xml:space="preserve">poziva Komisijo, naj zagotovi spoštovanje pravice do nediskriminacije in enakega obravnavanja po vsej EU; obsoja, da je obravnava horizontalne protidiskriminacijski direktive v Svetu zastala leta 2008; meni, da mora vsaka posodobitev tega predloga Komisije temeljiti na stališču Parlamenta, obravnavati presečno diskriminacijo in izrecno prepovedati vsakršno diskriminacijo, navedeno v Listini; obžaluje, da Svet teh zahtev ni upošteval, in ga poziva, naj jih vključi v svoj mandat in sprejme vse ustrezne </w:t>
      </w:r>
      <w:r w:rsidRPr="000B5D2F">
        <w:lastRenderedPageBreak/>
        <w:t>ukrepe za boj proti diskriminaciji v EU;</w:t>
      </w:r>
    </w:p>
    <w:p w:rsidR="000B4485" w:rsidRPr="000B5D2F" w:rsidRDefault="000B4485" w:rsidP="000B4485">
      <w:pPr>
        <w:pStyle w:val="NormalHanging12a"/>
        <w:rPr>
          <w:szCs w:val="24"/>
        </w:rPr>
      </w:pPr>
      <w:r w:rsidRPr="000B5D2F">
        <w:t>30.</w:t>
      </w:r>
      <w:r w:rsidRPr="000B5D2F">
        <w:tab/>
        <w:t>poziva Komisijo, naj spremlja izvajanje nacionalnih akcijskih načrtov držav članic za boj proti rasizmu in akcijskega načrta EU za boj proti rasizmu ter zagotovi nadaljnje ukrepanje; nadalje poziva Komisijo, naj boj proti rasizmu in diskriminaciji vključi v vse politike EU; poziva prihodnja predsedstva Sveta, naj resno razmislijo o oblikovanju sestave Sveta za enakost spolov in enakopravnost;</w:t>
      </w:r>
    </w:p>
    <w:p w:rsidR="000B4485" w:rsidRPr="000B5D2F" w:rsidRDefault="000B4485" w:rsidP="000B4485">
      <w:pPr>
        <w:pStyle w:val="NormalHanging12a"/>
        <w:rPr>
          <w:szCs w:val="24"/>
        </w:rPr>
      </w:pPr>
      <w:r w:rsidRPr="000B5D2F">
        <w:t>31.</w:t>
      </w:r>
      <w:r w:rsidRPr="000B5D2F">
        <w:tab/>
        <w:t>poziva Komisijo in države članice, naj se borijo proti rasni diskriminaciji na vseh področjih družbe, s posebnim poudarkom na izobraževanju in preprečevanju segregacije v šolah, in sicer z učinkovitimi zakonodajnimi in političnimi ukrepi v državah članicah in državah širitve;</w:t>
      </w:r>
    </w:p>
    <w:p w:rsidR="000B4485" w:rsidRPr="000B5D2F" w:rsidRDefault="000B4485" w:rsidP="000B4485">
      <w:pPr>
        <w:pStyle w:val="NormalHanging12a"/>
        <w:rPr>
          <w:szCs w:val="24"/>
        </w:rPr>
      </w:pPr>
      <w:r w:rsidRPr="000B5D2F">
        <w:t>32.</w:t>
      </w:r>
      <w:r w:rsidRPr="000B5D2F">
        <w:tab/>
        <w:t xml:space="preserve">v zvezi z digitalizacijo opozarja, da je treba posebno pozornost nameniti uvajanju diskriminatornih predsodkov v nove tehnologije in da je treba od razvijalcev in uvajalcev zahtevati, da zagotovijo javno dostopne informacije o tem, kako se ti sistemi učijo; poziva Komisijo in države članice, naj sprejmejo ukrepe za preprečevanje, da bi nove tehnologije, vključno z umetno inteligenco, zaostrile diskriminacijo, obstoječe neenakosti in revščino; poziva Komisijo in države članice, naj zagotovijo, da bodo umetnointeligenčni sistemi temeljili na načelih preglednosti, razložljivosti, pravičnosti in odgovornosti ter da bo vzpostavljena ocena učinkov na temeljne pravice; nadalje poziva Komisijo in države članice, naj odpravijo razlike med spoloma in raznolikostjo v sektorjih informacijske in komunikacijske tehnologije ter naravoslovja, tehnologije, inženirstva in matematike, zlasti pri razvoju novih tehnologij in še zlasti na položajih odločanja; </w:t>
      </w:r>
    </w:p>
    <w:p w:rsidR="000B4485" w:rsidRPr="000B5D2F" w:rsidRDefault="000B4485" w:rsidP="000B4485">
      <w:pPr>
        <w:pStyle w:val="NormalHanging12a"/>
        <w:rPr>
          <w:szCs w:val="24"/>
        </w:rPr>
      </w:pPr>
      <w:r w:rsidRPr="000B5D2F">
        <w:t>33.</w:t>
      </w:r>
      <w:r w:rsidRPr="000B5D2F">
        <w:tab/>
        <w:t>opozarja, kako pomembno je, da lahko otroci pripadniki narodnih manjšin obiskujejo posebne šole, ki ponujajo izobraževanje v njihovem jeziku; spodbuja vključevanje predstavnikov narodnih manjšin v postopke odločanja, ki vplivajo na njihove izobraževalne sisteme;</w:t>
      </w:r>
    </w:p>
    <w:p w:rsidR="000B4485" w:rsidRPr="000B5D2F" w:rsidRDefault="000B4485" w:rsidP="000B4485">
      <w:pPr>
        <w:pStyle w:val="NormalHanging12a"/>
      </w:pPr>
      <w:r w:rsidRPr="000B5D2F">
        <w:t>34.</w:t>
      </w:r>
      <w:r w:rsidRPr="000B5D2F">
        <w:tab/>
        <w:t>opozarja, da je nasilje na podlagi spola zelo razširjeno v vseh državah članicah po vsej EU; odločno obsoja hitro nazadovanje pravic žensk in oseb LGBTIQ+ v več državah članicah; odločno obsoja tudi zavrnitev dostopa do storitev varnega in zakonitega splava ter opozarja, da je to oblika nasilja na podlagi spola; poudarja, da je Evropsko sodišče za človekove pravice odločilo, da restriktivni zakoni o splavu in neizvajanje kršijo pravico ženske do telesne avtonomije in integritete; ponovno obsoja poljski zakon, ki uvaja skoraj popolno prepoved splava; opozarja, da osebe, ki pomagajo pri dostopu do splava, kadar ta ni prosto in zakonito dostopen, ne bi smele biti preganjane; ponovno poziva, naj se pravica do splava vključi v Listino;</w:t>
      </w:r>
    </w:p>
    <w:p w:rsidR="000B4485" w:rsidRPr="000B5D2F" w:rsidRDefault="000B4485" w:rsidP="000B4485">
      <w:pPr>
        <w:pStyle w:val="NormalHanging12a"/>
        <w:rPr>
          <w:szCs w:val="24"/>
        </w:rPr>
      </w:pPr>
      <w:r w:rsidRPr="000B5D2F">
        <w:t>35.</w:t>
      </w:r>
      <w:r w:rsidRPr="000B5D2F">
        <w:tab/>
        <w:t>pozdravlja predlog Komisije za direktivo o boju proti nasilju nad ženskami in nasilju v družini ter poziva k hitremu koncu pogajanj in vključitvi nasilja na podlagi spola na seznam kaznivih dejanj EU; poudarja, da bi bilo treba v to direktivo vključiti obveznosti iz Istanbulske konvencije kot minimalni standard in si z njo prizadevati za okrepitev teh standardov, da bi povečali raven zaščite; pozdravlja dejstvo, da je Evropska unija ratificirala Istanbulsko konvencijo, ki je začela veljati 1. oktobra 2023; poziva ostale države članice, naj jo hitro ratificirajo in tako zaščitijo ženske pred nasiljem;</w:t>
      </w:r>
    </w:p>
    <w:p w:rsidR="000B4485" w:rsidRPr="000B5D2F" w:rsidRDefault="000B4485" w:rsidP="000B4485">
      <w:pPr>
        <w:pStyle w:val="NormalHanging12a"/>
        <w:rPr>
          <w:szCs w:val="24"/>
        </w:rPr>
      </w:pPr>
      <w:r w:rsidRPr="000B5D2F">
        <w:t>36.</w:t>
      </w:r>
      <w:r w:rsidRPr="000B5D2F">
        <w:tab/>
        <w:t xml:space="preserve">poudarja, da se invalidi, zlasti invalidke, še naprej soočajo z večplastno in presečno diskriminacijo na podlagi svoje invalidnosti, spola, rase, etnične pripadnosti, starosti, </w:t>
      </w:r>
      <w:r w:rsidRPr="000B5D2F">
        <w:lastRenderedPageBreak/>
        <w:t>vere ali prepričanja, spolne usmerjenosti, migracijskega statusa ali socialno-ekonomskega ozadja; poudarja, da so invalidne ženske in dekleta še zlasti izpostavljene nasilju na podlagi spola, vključno s fizičnim, spolnim, psihičnim in ekonomskim nasiljem; poziva Komisijo in države članice, naj poskrbijo za vzpostavitev in dostopnost mehanizmov za prijavo nasilja nad invalidi ter podpornih storitev za žrtve;</w:t>
      </w:r>
    </w:p>
    <w:p w:rsidR="000B4485" w:rsidRPr="000B5D2F" w:rsidRDefault="000B4485" w:rsidP="000B4485">
      <w:pPr>
        <w:pStyle w:val="NormalHanging12a"/>
        <w:rPr>
          <w:szCs w:val="24"/>
        </w:rPr>
      </w:pPr>
      <w:r w:rsidRPr="000B5D2F">
        <w:t>37.</w:t>
      </w:r>
      <w:r w:rsidRPr="000B5D2F">
        <w:tab/>
        <w:t>poudarja, da so otrokove pravice univerzalne in da bi moral imeti vsak otrok enake pravice brez diskriminacije, kot je pravica do priznanja starševstva, tudi za istospolne pare; pozdravlja predlog Komisije za uredbo o pristojnosti, pravu, ki se uporablja, priznavanju odločb in sprejemanju javnih listin v zadevah v zvezi s starševstvom ter uvedbi evropskega potrdila o starševstvu, da bi zaščitili pravice vseh otrok in zagotovili, da se njihove starševske vezi, vključno predvsem istospolnih staršev, vzpostavljene v eni državi članici, priznajo v vseh državah članicah EU;</w:t>
      </w:r>
    </w:p>
    <w:p w:rsidR="000B4485" w:rsidRPr="000B5D2F" w:rsidRDefault="000B4485" w:rsidP="000B4485">
      <w:pPr>
        <w:pStyle w:val="NormalHanging12a"/>
        <w:rPr>
          <w:szCs w:val="24"/>
        </w:rPr>
      </w:pPr>
      <w:r w:rsidRPr="000B5D2F">
        <w:t>38.</w:t>
      </w:r>
      <w:r w:rsidRPr="000B5D2F">
        <w:tab/>
        <w:t>poziva vse države članice, naj uvedejo kazen za prisilno sterilizacijo kot kaznivo dejanje; ponavlja svoje stališče, da bi morala direktiva o boju proti nasilju nad ženskami in nasilju v družini vključevati prisilno sterilizacijo kot kaznivo dejanje v skladu s členom 83(1) PDEU;</w:t>
      </w:r>
    </w:p>
    <w:p w:rsidR="000B4485" w:rsidRPr="000B5D2F" w:rsidRDefault="000B4485" w:rsidP="000B4485">
      <w:pPr>
        <w:pStyle w:val="NormalHanging12a"/>
        <w:rPr>
          <w:szCs w:val="24"/>
        </w:rPr>
      </w:pPr>
      <w:r w:rsidRPr="000B5D2F">
        <w:t>39.</w:t>
      </w:r>
      <w:r w:rsidRPr="000B5D2F">
        <w:tab/>
        <w:t>opozarja, da so zločini iz sovraštva in sovražni govor, ki jih napajajo rasizem, ksenofobija ali verska nestrpnost ter sovraštvo ali predsodki zaradi invalidnosti osebe, njene spolne usmerjenosti, spolne identitete, izražanja spola in spolne značilnosti, skrajni primeri diskriminacije; ugotavlja, da so države članice dolžne preprečevati in preiskovati zločine iz sovraštva, kaznovati storilce ter sprejeti preventivne ukrepe; poudarja, da morajo organi pregona ustrezno evidentirati kazniva dejanja iz sovraštva, da bi bolje razumeli naravo in razširjenost tega pojava, njegov vpliv na žrtve ter obravnavali njegove temeljne vzroke;</w:t>
      </w:r>
    </w:p>
    <w:p w:rsidR="000B4485" w:rsidRPr="000B5D2F" w:rsidRDefault="000B4485" w:rsidP="000B4485">
      <w:pPr>
        <w:pStyle w:val="NormalHanging12a"/>
      </w:pPr>
      <w:r w:rsidRPr="000B5D2F">
        <w:t>40.</w:t>
      </w:r>
      <w:r w:rsidRPr="000B5D2F">
        <w:tab/>
        <w:t>pozdravlja pobudo Komisije za vključitev sovražnega govora in kaznivih dejanj iz sovraštva v seznam kaznivih dejanj EU iz člena 83(1) PDEU ter poudarja, da je treba zagotoviti odločen odziv kazenskega prava EU na sovražni govor in kazniva dejanja iz sovraštva na kateri koli podlagi; močno obžaluje zamudo pri odobritvi pobude in ponovno poziva Svet, naj si vztrajno prizadeva za dosego soglasja;</w:t>
      </w:r>
    </w:p>
    <w:p w:rsidR="000B4485" w:rsidRPr="000B5D2F" w:rsidRDefault="000B4485" w:rsidP="000B4485">
      <w:pPr>
        <w:pStyle w:val="NormalHanging12a"/>
        <w:rPr>
          <w:szCs w:val="24"/>
        </w:rPr>
      </w:pPr>
      <w:r w:rsidRPr="000B5D2F">
        <w:t>41.</w:t>
      </w:r>
      <w:r w:rsidRPr="000B5D2F">
        <w:tab/>
        <w:t>opozarja, da bi morala zakonodaja EU o sovražnem govoru in kaznivih dejanjih iz sovraštva na splošno varovati človekovo dostojanstvo ter se boriti proti sovraštvu in nestrpnosti, ne glede na njihovo motivacijo, s posebnim poudarkom na ciljnih osebah, skupinah in skupnostih; odločno obsoja vse oblike sovražnega govora in obrekovanja novinarjev, politikov, javnih uradnikov, aktivistov in drugih akterjev v javnih medijih;</w:t>
      </w:r>
    </w:p>
    <w:p w:rsidR="000B4485" w:rsidRPr="000B5D2F" w:rsidRDefault="000B4485" w:rsidP="000B4485">
      <w:pPr>
        <w:pStyle w:val="NormalHanging12a"/>
        <w:rPr>
          <w:szCs w:val="24"/>
        </w:rPr>
      </w:pPr>
      <w:r w:rsidRPr="000B5D2F">
        <w:t>42.</w:t>
      </w:r>
      <w:r w:rsidRPr="000B5D2F">
        <w:tab/>
        <w:t>poziva Komisijo, naj učinkovito spremlja izvajanje ukrepov iz različnih strategij za enakost, kot so strategija EU za enakost LGBTIQ oseb za obdobje 2020–2025, strategija EU za enakost spolov za obdobje 2020–2025, strategija za enakost in vključevanje Romov ter akcijski načrt EU za boj proti rasizmu za obdobje 2020–2025; poziva države članice, naj hitro pripravijo in izvajajo nacionalne akcijske načrte za boj proti rasizmu;</w:t>
      </w:r>
    </w:p>
    <w:p w:rsidR="000B4485" w:rsidRPr="000B5D2F" w:rsidRDefault="000B4485" w:rsidP="000B4485">
      <w:pPr>
        <w:pStyle w:val="NormalHanging12a"/>
      </w:pPr>
      <w:r w:rsidRPr="000B5D2F">
        <w:t>43.</w:t>
      </w:r>
      <w:r w:rsidRPr="000B5D2F">
        <w:tab/>
        <w:t>pozdravlja dejstvo, da se je Komisija prvič sklicevala na posamezno kršitev člena 2 PEU, ko je Sodišču EU predložila madžarski „zakon o zaščiti otrok“, ki je prikrival druge cilje;</w:t>
      </w:r>
    </w:p>
    <w:p w:rsidR="000B4485" w:rsidRPr="000B5D2F" w:rsidRDefault="000B4485" w:rsidP="000B4485">
      <w:pPr>
        <w:pStyle w:val="Normal12a24b"/>
        <w:rPr>
          <w:b/>
          <w:i/>
        </w:rPr>
      </w:pPr>
      <w:r w:rsidRPr="000B5D2F">
        <w:rPr>
          <w:rStyle w:val="Bold"/>
          <w:i/>
        </w:rPr>
        <w:lastRenderedPageBreak/>
        <w:t>Družbene, gospodarske in okoljske pravice</w:t>
      </w:r>
    </w:p>
    <w:p w:rsidR="000B4485" w:rsidRPr="000B5D2F" w:rsidRDefault="000B4485" w:rsidP="000B4485">
      <w:pPr>
        <w:pStyle w:val="NormalHanging12a"/>
      </w:pPr>
      <w:r w:rsidRPr="000B5D2F">
        <w:t>44.</w:t>
      </w:r>
      <w:r w:rsidRPr="000B5D2F">
        <w:tab/>
        <w:t>priznava, da je revščina še ena oblika diskriminacije, ki vodi v kršitev temeljnih pravic in v neenake možnosti za dostop do blaga in storitev; poudarja posebno ranljivost otrok in vpliv, ki jih ima revščina nanje ter na njihov telesni in psihološki razvoj; poziva Komisijo, Svet in države članice, naj oblikujejo politike za zmanjšanje revščine in socialne izključenosti, pri tem pa upoštevajo presečni pristop in posebno pozornost namenijo posameznikom v ranljivem položaju; pozdravlja odobritev evropskega jamstva za otroke, vendar meni, da so potrebna dodatna prizadevanja, zlasti na področju socialne zaščite; poziva države članice, naj zagotovijo enak dostop in enake možnosti za kakovostno izobraževanje in zaposlovanje, saj imata ključno vlogo pri zmanjševanju neenakosti in odpravi revščine;</w:t>
      </w:r>
    </w:p>
    <w:p w:rsidR="000B4485" w:rsidRPr="000B5D2F" w:rsidRDefault="000B4485" w:rsidP="000B4485">
      <w:pPr>
        <w:pStyle w:val="NormalHanging12a"/>
        <w:rPr>
          <w:szCs w:val="24"/>
        </w:rPr>
      </w:pPr>
      <w:r w:rsidRPr="000B5D2F">
        <w:t>45.</w:t>
      </w:r>
      <w:r w:rsidRPr="000B5D2F">
        <w:tab/>
        <w:t>je zelo zaskrbljen zaradi naraščanja revščine, neenakosti in družbene izključenosti v EU; poziva države članice, naj se borijo proti „menstrualni revščini“ in odpravijo DDV na izdelke za osebno higieno; poudarja, da so dolgoročne gospodarske posledice pandemije koronavirusne bolezni ter dvig cen hrane in energije resno vplivali na pravice ljudi z nizkimi dohodki ali v revščini, vključno s pravico do ustreznega življenjskega standarda, hrane, zdravja, stanovanja in socialne varnosti; poziva Komisijo in Svet, naj oblikujeta makroekonomske politike, ki ne bodo temeljile zgolj na gospodarski rasti, ampak tudi na socialnih standardih, in opozarja na pomen socialnih standardov v evropskem semestru;</w:t>
      </w:r>
    </w:p>
    <w:p w:rsidR="000B4485" w:rsidRPr="000B5D2F" w:rsidRDefault="000B4485" w:rsidP="000B4485">
      <w:pPr>
        <w:pStyle w:val="NormalHanging12a"/>
        <w:rPr>
          <w:szCs w:val="24"/>
        </w:rPr>
      </w:pPr>
      <w:r w:rsidRPr="000B5D2F">
        <w:t>46.</w:t>
      </w:r>
      <w:r w:rsidRPr="000B5D2F">
        <w:tab/>
        <w:t>pozdravlja priporočilo Sveta z dne 30. januarja 2023 o ustreznem minimalnem dohodku</w:t>
      </w:r>
      <w:r w:rsidRPr="000B5D2F">
        <w:rPr>
          <w:vertAlign w:val="superscript"/>
        </w:rPr>
        <w:footnoteReference w:id="50"/>
      </w:r>
      <w:r w:rsidRPr="000B5D2F">
        <w:t>, ki zagotavlja aktivno vključevanje kot korak naprej pri izvajanju načela 14 evropskega stebra socialnih pravic; vendar obžaluje, da ni konkretnih ukrepov za odpravo strukturne diskriminacije ranljivih skupin; poziva države članice, naj zbirajo razčlenjene podatke o minimalnem dohodku za te skupine;</w:t>
      </w:r>
    </w:p>
    <w:p w:rsidR="000B4485" w:rsidRPr="000B5D2F" w:rsidRDefault="000B4485" w:rsidP="000B4485">
      <w:pPr>
        <w:pStyle w:val="NormalHanging12a"/>
        <w:rPr>
          <w:szCs w:val="24"/>
        </w:rPr>
      </w:pPr>
      <w:r w:rsidRPr="000B5D2F">
        <w:t>47.</w:t>
      </w:r>
      <w:r w:rsidRPr="000B5D2F">
        <w:tab/>
        <w:t>poudarja, da je digitalizacija prečen proces, ki vpliva na dostop do vseh storitev, zlasti do zdravstvenega varstva, in na uveljavljanje temeljnih pravic; poudarja, da je treba digitalno revščino v EU spremljati in ocenjevati glede na dostop do osnovnih storitev in temeljnih pravic, med drugim za starejše, prebivalce oddaljenih območij, brezdomce in Rome; opozarja na obveznost držav članic v skladu s Konvencijo o pravicah invalidov, da invalidom zagotovijo popoln dostop do družbe; opozarja, da je tehnološka zasvojenost problem javnega zdravja, ki zlasti vpliva na mladoletnike ter njihovo telesno in duševno celovitost;</w:t>
      </w:r>
    </w:p>
    <w:p w:rsidR="000B4485" w:rsidRPr="000B5D2F" w:rsidRDefault="000B4485" w:rsidP="000B4485">
      <w:pPr>
        <w:pStyle w:val="NormalHanging12a"/>
        <w:rPr>
          <w:szCs w:val="24"/>
        </w:rPr>
      </w:pPr>
      <w:r w:rsidRPr="000B5D2F">
        <w:t>48.</w:t>
      </w:r>
      <w:r w:rsidRPr="000B5D2F">
        <w:tab/>
        <w:t>ugotavlja, da nastanitev ni tržna dobrina, ampak nujnost in je predpogoj za polno sodelovanje v družbi; poziva države članice, naj povečajo naložbe v socialna in cenovno dostopna stanovanja, da bi odpravile breme previsokih stanovanjskih stroškov, zlasti med prikrajšanimi in ranljivimi skupinami, ter preprečile konkurenco med temi skupinami;</w:t>
      </w:r>
    </w:p>
    <w:p w:rsidR="000B4485" w:rsidRPr="000B5D2F" w:rsidRDefault="000B4485" w:rsidP="000B4485">
      <w:pPr>
        <w:pStyle w:val="NormalHanging12a"/>
        <w:rPr>
          <w:szCs w:val="24"/>
        </w:rPr>
      </w:pPr>
      <w:r w:rsidRPr="000B5D2F">
        <w:t>49.</w:t>
      </w:r>
      <w:r w:rsidRPr="000B5D2F">
        <w:tab/>
        <w:t xml:space="preserve">pozdravlja, da je Svet OZN za človekove pravice 8. oktobra 2021 priznal univerzalno pravico do dostopa do zdravega in trajnostnega okolja; poudarja, da lahko imata razvrednotenje okolja in to, da nekateri javni organi ne zagotavljajo informacij o resnih okoljskih tveganjih, ki so jim izpostavljeni posamezniki, hude škodljive posledice za </w:t>
      </w:r>
      <w:r w:rsidRPr="000B5D2F">
        <w:lastRenderedPageBreak/>
        <w:t>posameznike; opozarja, da je treba standarde kakovosti zunanjega zraka v EU do leta 2030 v celoti uskladiti z najnovejšimi smernicami Svetovne zdravstvene organizacije;</w:t>
      </w:r>
    </w:p>
    <w:p w:rsidR="000B4485" w:rsidRPr="000B5D2F" w:rsidRDefault="000B4485" w:rsidP="000B4485">
      <w:pPr>
        <w:pStyle w:val="Normal12a24b"/>
        <w:rPr>
          <w:i/>
        </w:rPr>
      </w:pPr>
      <w:r w:rsidRPr="000B5D2F">
        <w:rPr>
          <w:rStyle w:val="Bold"/>
          <w:i/>
        </w:rPr>
        <w:t>Institucionalni zaščitni ukrepi za temeljne pravice</w:t>
      </w:r>
    </w:p>
    <w:p w:rsidR="000B4485" w:rsidRPr="000B5D2F" w:rsidRDefault="000B4485" w:rsidP="000B4485">
      <w:pPr>
        <w:pStyle w:val="NormalHanging12a"/>
        <w:rPr>
          <w:szCs w:val="24"/>
        </w:rPr>
      </w:pPr>
      <w:r w:rsidRPr="000B5D2F">
        <w:t>50.</w:t>
      </w:r>
      <w:r w:rsidRPr="000B5D2F">
        <w:tab/>
        <w:t>pozdravlja napredek, ki je bil dosežen po obnovitvi pogajanj o pristopu EU k Evropski konvenciji o človekovih pravicah junija 2020, in začasni dogovor o osnutku revidiranih pristopnih instrumentov, ki je bil dosežen marca 2023; poziva Komisijo in Svet, naj čim prej rešita preostalo vprašanje glede stanja aktov EU na področju skupne zunanje in varnostne politike, da se zaključi postopek za pristop;</w:t>
      </w:r>
    </w:p>
    <w:p w:rsidR="000B4485" w:rsidRPr="000B5D2F" w:rsidRDefault="000B4485" w:rsidP="000B4485">
      <w:pPr>
        <w:pStyle w:val="NormalHanging12a"/>
      </w:pPr>
      <w:r w:rsidRPr="000B5D2F">
        <w:t>51.</w:t>
      </w:r>
      <w:r w:rsidRPr="000B5D2F">
        <w:tab/>
        <w:t>podpira delo agencije FRA pri analizi podatkov, da bi beležili diskriminacijo, in pozdravlja nadaljnji razvoj na tem področju; pozdravlja predloge Komisije za dve direktivi o standardih za organe za enakost, katerih cilj je zagotoviti boljše izvajanje in izvrševanje protidiskriminacijskih pravil EU; poziva nacionalne organe, ki sodelujejo z agencijo FRA, naj predložijo nepristranske podatke; poziva agencijo FRA, naj, kadar obstajajo resni pomisleki glede kakovosti podatkov, zadevo preveri še v drugih virih;</w:t>
      </w:r>
    </w:p>
    <w:p w:rsidR="000B4485" w:rsidRPr="000B5D2F" w:rsidRDefault="000B4485" w:rsidP="000B4485">
      <w:pPr>
        <w:pStyle w:val="NormalHanging12a"/>
        <w:rPr>
          <w:szCs w:val="24"/>
        </w:rPr>
      </w:pPr>
      <w:r w:rsidRPr="000B5D2F">
        <w:t>52.</w:t>
      </w:r>
      <w:r w:rsidRPr="000B5D2F">
        <w:tab/>
        <w:t>opozarja, kako pomembno je podpreti in okrepiti sodelovanje med institucijami EU, državami članicami ter Evropskim uradom za boj proti goljufijam in Evropskim javnim tožilstvom; poziva Komisijo, naj predloži poročilo, v katerem bo ocenila možnosti in načine za razširitev mandata Evropskega javnega tožilstva, kot je določeno v členu 86 PDEU, na huda okoljska kazniva dejanja, ki škodijo interesom Unije ali vplivajo na dosledno izvajanje politik EU na področju varstva okolja;</w:t>
      </w:r>
    </w:p>
    <w:p w:rsidR="000B4485" w:rsidRPr="000B5D2F" w:rsidRDefault="000B4485" w:rsidP="000B4485">
      <w:pPr>
        <w:pStyle w:val="NormalHanging12a"/>
        <w:rPr>
          <w:szCs w:val="24"/>
        </w:rPr>
      </w:pPr>
      <w:r w:rsidRPr="000B5D2F">
        <w:t>53.</w:t>
      </w:r>
      <w:r w:rsidRPr="000B5D2F">
        <w:tab/>
        <w:t>poziva k vzpostavitvi agencije FRA kot neodvisnega organa za človekove pravice, podobnega nacionalnim institucijam za človekove pravice in v skladu s pariškimi načeli Generalne skupščine OZN iz leta 1993, za zaščito in spodbujanje politik in praks institucij, organov, uradov in agencij Unije ter držav članic pri izvajanju prava EU; meni, da je za to treba v Pogodbah ustvariti pravno podlago za ustanovitev organa EU za temeljne pravice, s čimer bi poskrbeli za njegovo neodvisnost ter za sprejetje in spreminjanje njegovega mandata določili redni zakonodajni postopek; poziva, naj se temu novemu organu podeli pravica, da v skladu s členom 263 PDEU vlaga tožbe zaradi kršitve Listine; poziva, naj se v njegov mandat vključi pooblastilo za obravnavanje pritožb, Komisijo pa naj se zaveže k obveznemu posvetovanju z agencijo FRA pri pripravi predlogov zakonodajnih aktov ali priporočil, ki vplivajo na temeljne pravice;</w:t>
      </w:r>
    </w:p>
    <w:p w:rsidR="000B4485" w:rsidRPr="000B5D2F" w:rsidRDefault="000B4485" w:rsidP="000B4485">
      <w:pPr>
        <w:pStyle w:val="NormalHanging12a"/>
      </w:pPr>
      <w:r w:rsidRPr="000B5D2F">
        <w:t>54.</w:t>
      </w:r>
      <w:r w:rsidRPr="000B5D2F">
        <w:tab/>
        <w:t>opozarja na pomen ustrezne sodne prakse Sodišča Evropske unije, ki potrjuje spoštovanje temeljnih pravic in dodatno opredeljuje pravno državo; je zaskrbljen, ker nekatere države članice vztrajno zavračajo izvajanje sodb nacionalnih sodišč, Sodišča Evropske unije in Evropskega sodišča za človekove pravice, kar prispeva k ogrožanju pravne države; poudarja, da lahko neizvrševanje sodb privede do tega, da kršitve človekovih pravic ostanejo brez obravnave; poudarja, da je primarnost EU temelj pravnega reda EU; poziva Komisijo, naj zagotovi ustrezne nadaljnje ukrepe v primeru neizvajanja tega načela;</w:t>
      </w:r>
    </w:p>
    <w:p w:rsidR="000B4485" w:rsidRPr="000B5D2F" w:rsidRDefault="000B4485" w:rsidP="000B4485">
      <w:pPr>
        <w:pStyle w:val="NormalHanging12a"/>
      </w:pPr>
      <w:r w:rsidRPr="000B5D2F">
        <w:t>55.</w:t>
      </w:r>
      <w:r w:rsidRPr="000B5D2F">
        <w:tab/>
        <w:t>poudarja vlogo nacionalne in lokalne uprave, parlamentov držav članic in organov kazenskega pregona pri spodbujanju in varstvu pravic iz Listine;</w:t>
      </w:r>
    </w:p>
    <w:p w:rsidR="000B4485" w:rsidRPr="000B5D2F" w:rsidRDefault="000B4485" w:rsidP="000B4485">
      <w:pPr>
        <w:pStyle w:val="NormalHanging12a"/>
      </w:pPr>
      <w:r w:rsidRPr="000B5D2F">
        <w:lastRenderedPageBreak/>
        <w:t>56.</w:t>
      </w:r>
      <w:r w:rsidRPr="000B5D2F">
        <w:tab/>
        <w:t>je seznanjen z ugotovitvijo agencije FRA, da države članice menda niso strukturirano vključene v izvajanje strategije Komisije za okrepitev uporabe Listine, kot so opredelitev jasnih ciljev, mejnikov in časovnic; poziva države članice, naj v celoti izvajajo strategijo;</w:t>
      </w:r>
    </w:p>
    <w:p w:rsidR="000B4485" w:rsidRPr="000B5D2F" w:rsidRDefault="000B4485" w:rsidP="000B4485">
      <w:pPr>
        <w:pStyle w:val="NormalHanging12a"/>
        <w:rPr>
          <w:szCs w:val="24"/>
        </w:rPr>
      </w:pPr>
      <w:r w:rsidRPr="000B5D2F">
        <w:t>57.</w:t>
      </w:r>
      <w:r w:rsidRPr="000B5D2F">
        <w:tab/>
        <w:t>opozarja, da sta pravica do sodelovanja v demokratičnem življenju in obveznost zagotavljanja čim bolj odprtega sprejemanja odločitev, ki je čim bližje državljanom, zaščiteni s Pogodbama, zlasti členom 10 PEU; poziva institucije EU in države članice, naj zagotovijo dovolj časa za javno razpravo in preglednost ter proaktivno objavljajo javne dokumente;</w:t>
      </w:r>
    </w:p>
    <w:p w:rsidR="000B4485" w:rsidRPr="000B5D2F" w:rsidRDefault="000B4485" w:rsidP="000B4485">
      <w:pPr>
        <w:pStyle w:val="NormalHanging12a"/>
        <w:jc w:val="center"/>
      </w:pPr>
      <w:r w:rsidRPr="000B5D2F">
        <w:t>°</w:t>
      </w:r>
    </w:p>
    <w:p w:rsidR="000B4485" w:rsidRPr="000B5D2F" w:rsidRDefault="000B4485" w:rsidP="000B4485">
      <w:pPr>
        <w:pStyle w:val="NormalHanging12a"/>
        <w:jc w:val="center"/>
      </w:pPr>
      <w:r w:rsidRPr="000B5D2F">
        <w:t>°</w:t>
      </w:r>
      <w:r w:rsidRPr="000B5D2F">
        <w:tab/>
        <w:t>°</w:t>
      </w:r>
    </w:p>
    <w:p w:rsidR="00E365E1" w:rsidRPr="000B5D2F" w:rsidRDefault="000B4485" w:rsidP="0012556E">
      <w:pPr>
        <w:pStyle w:val="NormalHanging12a"/>
      </w:pPr>
      <w:r w:rsidRPr="000B5D2F">
        <w:t>58.</w:t>
      </w:r>
      <w:r w:rsidRPr="000B5D2F">
        <w:tab/>
        <w:t>naroči svoji predsednici, naj to resolucijo posreduje Svetu in Komisiji.</w:t>
      </w:r>
      <w:bookmarkStart w:id="9" w:name="TextBodyEnd"/>
      <w:bookmarkEnd w:id="9"/>
    </w:p>
    <w:sectPr w:rsidR="00E365E1" w:rsidRPr="000B5D2F" w:rsidSect="000B5D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127" w:rsidRPr="000B5D2F" w:rsidRDefault="00711127">
      <w:r w:rsidRPr="000B5D2F">
        <w:separator/>
      </w:r>
    </w:p>
  </w:endnote>
  <w:endnote w:type="continuationSeparator" w:id="0">
    <w:p w:rsidR="00711127" w:rsidRPr="000B5D2F" w:rsidRDefault="00711127">
      <w:r w:rsidRPr="000B5D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D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D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D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127" w:rsidRPr="000B5D2F" w:rsidRDefault="00711127">
      <w:r w:rsidRPr="000B5D2F">
        <w:separator/>
      </w:r>
    </w:p>
  </w:footnote>
  <w:footnote w:type="continuationSeparator" w:id="0">
    <w:p w:rsidR="00711127" w:rsidRPr="000B5D2F" w:rsidRDefault="00711127">
      <w:r w:rsidRPr="000B5D2F">
        <w:continuationSeparator/>
      </w:r>
    </w:p>
  </w:footnote>
  <w:footnote w:id="1">
    <w:p w:rsidR="000B4485" w:rsidRPr="000B5D2F" w:rsidRDefault="000B4485" w:rsidP="000B5D2F">
      <w:pPr>
        <w:pStyle w:val="FootnoteText"/>
        <w:ind w:left="567" w:hanging="567"/>
        <w:rPr>
          <w:sz w:val="24"/>
          <w:vertAlign w:val="superscript"/>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Med drugim: Komisija/Madžarska (Preglednost združevanja), zadeva C-78/18, EU:C:2020:476.</w:t>
      </w:r>
    </w:p>
    <w:p w:rsidR="000B4485" w:rsidRPr="000B5D2F" w:rsidRDefault="000B5D2F" w:rsidP="000B5D2F">
      <w:pPr>
        <w:pStyle w:val="FootnoteText"/>
        <w:ind w:left="567" w:hanging="567"/>
        <w:rPr>
          <w:sz w:val="24"/>
          <w:lang w:val="sl-SI"/>
        </w:rPr>
      </w:pPr>
      <w:r w:rsidRPr="000B5D2F">
        <w:rPr>
          <w:sz w:val="24"/>
          <w:lang w:val="sl-SI"/>
        </w:rPr>
        <w:t xml:space="preserve"> </w:t>
      </w:r>
      <w:r w:rsidRPr="000B5D2F">
        <w:rPr>
          <w:sz w:val="24"/>
          <w:lang w:val="sl-SI"/>
        </w:rPr>
        <w:tab/>
      </w:r>
      <w:r w:rsidR="000B4485" w:rsidRPr="000B5D2F">
        <w:rPr>
          <w:sz w:val="24"/>
          <w:lang w:val="sl-SI"/>
        </w:rPr>
        <w:t>Sodba Sodišča (veliki senat) z dne 6. oktobra 2022, I. L./Politsei- ja Piirivalveamet, zadeva C-241/21, ECLI:EU:C:2022:753.</w:t>
      </w:r>
    </w:p>
  </w:footnote>
  <w:footnote w:id="2">
    <w:p w:rsidR="000B4485" w:rsidRPr="000B5D2F" w:rsidRDefault="000B4485" w:rsidP="000B5D2F">
      <w:pPr>
        <w:pStyle w:val="FootnoteText"/>
        <w:ind w:left="567" w:hanging="567"/>
        <w:rPr>
          <w:color w:val="0000FF"/>
          <w:sz w:val="24"/>
          <w:u w:val="single" w:color="0000FF"/>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433 I, 22.12.2020, str. 1</w:t>
      </w:r>
      <w:r w:rsidR="00BD64A0" w:rsidRPr="00D7767F">
        <w:rPr>
          <w:lang w:val="pl-PL"/>
        </w:rPr>
        <w:t>.</w:t>
      </w:r>
    </w:p>
  </w:footnote>
  <w:footnote w:id="3">
    <w:p w:rsidR="000B4485" w:rsidRPr="000B5D2F" w:rsidRDefault="000B4485" w:rsidP="000B5D2F">
      <w:pPr>
        <w:pStyle w:val="FootnoteText"/>
        <w:ind w:left="567" w:hanging="567"/>
        <w:rPr>
          <w:color w:val="0000FF"/>
          <w:sz w:val="24"/>
          <w:u w:val="single" w:color="0000FF"/>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156, 5.5.2021, str. 1</w:t>
      </w:r>
      <w:r w:rsidR="00BD64A0" w:rsidRPr="00D7767F">
        <w:rPr>
          <w:lang w:val="pl-PL"/>
        </w:rPr>
        <w:t>.</w:t>
      </w:r>
    </w:p>
  </w:footnote>
  <w:footnote w:id="4">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283, 31.10.2017, str. 1.</w:t>
      </w:r>
    </w:p>
  </w:footnote>
  <w:footnote w:id="5">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119, 4.5.2016, str. 1.</w:t>
      </w:r>
    </w:p>
  </w:footnote>
  <w:footnote w:id="6">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198, 28.7.2017, str. 29.</w:t>
      </w:r>
    </w:p>
  </w:footnote>
  <w:footnote w:id="7">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328, 6.12.2008, str. 55.</w:t>
      </w:r>
    </w:p>
  </w:footnote>
  <w:footnote w:id="8">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180, 19.7.2000, str. 22.</w:t>
      </w:r>
    </w:p>
  </w:footnote>
  <w:footnote w:id="9">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93, 19.3.2021, str. 1.</w:t>
      </w:r>
    </w:p>
  </w:footnote>
  <w:footnote w:id="10">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331, 20.9.2021, str. 8.</w:t>
      </w:r>
    </w:p>
  </w:footnote>
  <w:footnote w:id="11">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86, 24.3.2023, str. 44.</w:t>
      </w:r>
    </w:p>
  </w:footnote>
  <w:footnote w:id="12">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245, 22.9.2022, str. 56.</w:t>
      </w:r>
    </w:p>
  </w:footnote>
  <w:footnote w:id="13">
    <w:p w:rsidR="000B4485" w:rsidRPr="000B5D2F" w:rsidRDefault="000B4485" w:rsidP="000B5D2F">
      <w:pPr>
        <w:pStyle w:val="FootnoteText"/>
        <w:ind w:left="567" w:hanging="567"/>
        <w:rPr>
          <w:color w:val="0000FF"/>
          <w:sz w:val="24"/>
          <w:u w:val="single" w:color="0000FF"/>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 xml:space="preserve">Svet Evrope, </w:t>
      </w:r>
      <w:hyperlink r:id="rId1" w:history="1">
        <w:r w:rsidRPr="000B5D2F">
          <w:rPr>
            <w:rStyle w:val="Hyperlink"/>
            <w:sz w:val="24"/>
            <w:lang w:val="sl-SI"/>
          </w:rPr>
          <w:t>Zagovorniki človekovih pravic na območju Sveta Evrope v času kriz</w:t>
        </w:r>
      </w:hyperlink>
      <w:r w:rsidRPr="000B5D2F">
        <w:rPr>
          <w:sz w:val="24"/>
          <w:lang w:val="sl-SI"/>
        </w:rPr>
        <w:t>, 23. marec 2023</w:t>
      </w:r>
      <w:r w:rsidR="00BD64A0" w:rsidRPr="00D7767F">
        <w:rPr>
          <w:lang w:val="sl-SI"/>
        </w:rPr>
        <w:t>.</w:t>
      </w:r>
    </w:p>
  </w:footnote>
  <w:footnote w:id="14">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363, 28.10.2020, str. 13.</w:t>
      </w:r>
    </w:p>
  </w:footnote>
  <w:footnote w:id="15">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411, 27.11.2020, str. 38.</w:t>
      </w:r>
    </w:p>
  </w:footnote>
  <w:footnote w:id="16">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205, 20.5.2022, str. 2.</w:t>
      </w:r>
    </w:p>
  </w:footnote>
  <w:footnote w:id="17">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251, 30.6.2022, str. 48.</w:t>
      </w:r>
    </w:p>
  </w:footnote>
  <w:footnote w:id="18">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342, 6.9.2022, str. 225.</w:t>
      </w:r>
    </w:p>
  </w:footnote>
  <w:footnote w:id="19">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347, 9.9.2022, str. 2.</w:t>
      </w:r>
    </w:p>
  </w:footnote>
  <w:footnote w:id="20">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347, 9.9.2022, str. 168.</w:t>
      </w:r>
    </w:p>
  </w:footnote>
  <w:footnote w:id="21">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493, 27.12.2022, str. 108.</w:t>
      </w:r>
    </w:p>
  </w:footnote>
  <w:footnote w:id="22">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47, 7.2.2023, str. 184.</w:t>
      </w:r>
    </w:p>
  </w:footnote>
  <w:footnote w:id="23">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125, 5.4.2023, str. 463.</w:t>
      </w:r>
    </w:p>
  </w:footnote>
  <w:footnote w:id="24">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132, 14.4.2023, str. 29.</w:t>
      </w:r>
    </w:p>
  </w:footnote>
  <w:footnote w:id="25">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177, 17.5.2023, str. 109.</w:t>
      </w:r>
    </w:p>
  </w:footnote>
  <w:footnote w:id="26">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47, 7.2.2023, str. 268.</w:t>
      </w:r>
    </w:p>
  </w:footnote>
  <w:footnote w:id="27">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465, 6.12.2022, str. 33.</w:t>
      </w:r>
    </w:p>
  </w:footnote>
  <w:footnote w:id="28">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465, 6.12.2022, str. 147.</w:t>
      </w:r>
    </w:p>
  </w:footnote>
  <w:footnote w:id="29">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L 45, 14.2.2023, str. 13.</w:t>
      </w:r>
      <w:r w:rsidRPr="000B5D2F">
        <w:rPr>
          <w:b/>
          <w:i/>
          <w:sz w:val="24"/>
          <w:lang w:val="sl-SI"/>
        </w:rPr>
        <w:t xml:space="preserve"> </w:t>
      </w:r>
    </w:p>
  </w:footnote>
  <w:footnote w:id="30">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149, 28.4.2023, str. 22.</w:t>
      </w:r>
      <w:r w:rsidRPr="000B5D2F">
        <w:rPr>
          <w:b/>
          <w:i/>
          <w:sz w:val="24"/>
          <w:lang w:val="sl-SI"/>
        </w:rPr>
        <w:t xml:space="preserve"> </w:t>
      </w:r>
    </w:p>
  </w:footnote>
  <w:footnote w:id="31">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161, 5.5.2023, str. 10.</w:t>
      </w:r>
    </w:p>
  </w:footnote>
  <w:footnote w:id="32">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UL C 177, 17.5.2023, str. 13.</w:t>
      </w:r>
      <w:r w:rsidRPr="000B5D2F">
        <w:rPr>
          <w:b/>
          <w:i/>
          <w:sz w:val="24"/>
          <w:lang w:val="sl-SI"/>
        </w:rPr>
        <w:t xml:space="preserve"> </w:t>
      </w:r>
    </w:p>
  </w:footnote>
  <w:footnote w:id="33">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00BD64A0" w:rsidRPr="000B5D2F">
        <w:rPr>
          <w:sz w:val="24"/>
          <w:lang w:val="sl-SI"/>
        </w:rPr>
        <w:t xml:space="preserve">Sprejeta besedila, </w:t>
      </w:r>
      <w:r w:rsidRPr="000B5D2F">
        <w:rPr>
          <w:sz w:val="24"/>
          <w:lang w:val="sl-SI"/>
        </w:rPr>
        <w:t>P9_TA(2023)0111.</w:t>
      </w:r>
    </w:p>
  </w:footnote>
  <w:footnote w:id="34">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Sprejeta besedila, P9_TA(2023)0196.</w:t>
      </w:r>
    </w:p>
  </w:footnote>
  <w:footnote w:id="35">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Sprejeta besedila, P9_TA(2023)0204.</w:t>
      </w:r>
    </w:p>
  </w:footnote>
  <w:footnote w:id="36">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Sprejeta besedila, P9_TA(2023)0216.</w:t>
      </w:r>
    </w:p>
  </w:footnote>
  <w:footnote w:id="37">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Sprejeta besedila, P9_TA(2023)0295.</w:t>
      </w:r>
    </w:p>
  </w:footnote>
  <w:footnote w:id="38">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Sprejeta besedila, P9_TA(2023)0342.</w:t>
      </w:r>
    </w:p>
  </w:footnote>
  <w:footnote w:id="39">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Evropska komisija/Madžarska (Preglednost združevanja), zadeva C-78/18, EU:C:2020:476.</w:t>
      </w:r>
    </w:p>
  </w:footnote>
  <w:footnote w:id="40">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Zagotavljanje pomoči osebam, ki so v stiski na morju, je pravna obveznost držav EU, določena v običajnem in konvencionalnem mednarodnem pravu (Mednarodna konvencija o varstvu človeškega življenja na morju – konvencija SOLAS, 1974; Konvencija Združenih narodov o pomorskem mednarodnem pravu – UNCLOS, 1982; Mednarodna konvencija o iskanju in reševanju na morju – konvencija SAR, 1979) ter pravu Unije.</w:t>
      </w:r>
    </w:p>
  </w:footnote>
  <w:footnote w:id="41">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Sodba Sodišča (drugi senat) z dne 6. oktobra 2022, I. L./Politsei- ja Piirivalveamet, zadeva C-241/21, ECLI:EU:C:2022:753.</w:t>
      </w:r>
    </w:p>
  </w:footnote>
  <w:footnote w:id="42">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Agencija Evropske unije za temeljne pravice, Poročilo o temeljnih pravicah za leto 2023, str. 148, 8. junij 2023.</w:t>
      </w:r>
    </w:p>
  </w:footnote>
  <w:footnote w:id="43">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Agencija Evropske unije za temeljne pravice, Poročilo o temeljnih pravicah za leto 2023, str. 148, 8. junij 2023.</w:t>
      </w:r>
    </w:p>
  </w:footnote>
  <w:footnote w:id="44">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Izraz „romsko prebivalstvo“ zajema različne skupine, kot so Romi, Kaléji, Manuši, Aškali, potujoče skupine, Lovari, Rissende, Bojaši, Domi, Kalderaši, Romaničali in Sinti. Splošno dogovorjene terminologije ni, saj nekatere skupnosti raje uporabljajo izraz Romi.</w:t>
      </w:r>
    </w:p>
  </w:footnote>
  <w:footnote w:id="45">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Služba Evropskega parlamenta za raziskave, kratek povzetek Boj proti sovražnemu govoru in kaznivim dejanjem iz sovraštva v EU, junij 2022.</w:t>
      </w:r>
    </w:p>
  </w:footnote>
  <w:footnote w:id="46">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 xml:space="preserve">Evropski varuh človekovih pravic, </w:t>
      </w:r>
      <w:hyperlink r:id="rId2" w:history="1">
        <w:r w:rsidRPr="000B5D2F">
          <w:rPr>
            <w:rStyle w:val="Hyperlink"/>
            <w:sz w:val="24"/>
            <w:lang w:val="sl-SI"/>
          </w:rPr>
          <w:t>Priporočilo glede zavrnitve Evropske komisije, da javnosti odobri dostop do besedilnih sporočil, izmenjanih med predsednico Evropske komisije in izvršnim direktorjem farmacevtske družbe, o nakupu cepiva proti covidu-19 (zadeva 1316/2021/MIG)</w:t>
        </w:r>
      </w:hyperlink>
      <w:r w:rsidRPr="000B5D2F">
        <w:rPr>
          <w:sz w:val="24"/>
          <w:lang w:val="sl-SI"/>
        </w:rPr>
        <w:t>.</w:t>
      </w:r>
    </w:p>
  </w:footnote>
  <w:footnote w:id="47">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Direktiva (EU) 2019/1937 Evropskega parlamenta in Sveta z dne 23. oktobra 2019 o zaščiti oseb, ki prijavijo kršitve prava Unije (UL L 305, 26.11.2019, str. 17).</w:t>
      </w:r>
    </w:p>
  </w:footnote>
  <w:footnote w:id="48">
    <w:p w:rsidR="000B4485" w:rsidRPr="000B5D2F" w:rsidRDefault="000B4485" w:rsidP="00BD64A0">
      <w:pPr>
        <w:pStyle w:val="FootnoteText"/>
        <w:ind w:left="567" w:hanging="567"/>
        <w:rPr>
          <w:sz w:val="24"/>
          <w:vertAlign w:val="superscript"/>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Direktiva Sveta 2001/55/ES z dne 20. julija 2001 o najnižjih standardih za dodelitev začasne zaščite v primeru množičnega prihoda razseljenih oseb in o ukrepih za uravnoteženje prizadevanj in posledic za države članice pri sprejemanju takšnih oseb</w:t>
      </w:r>
      <w:r w:rsidR="00BD64A0">
        <w:rPr>
          <w:sz w:val="24"/>
          <w:lang w:val="sl-SI"/>
        </w:rPr>
        <w:t xml:space="preserve"> (</w:t>
      </w:r>
      <w:r w:rsidRPr="000B5D2F">
        <w:rPr>
          <w:sz w:val="24"/>
          <w:lang w:val="sl-SI"/>
        </w:rPr>
        <w:t>UL L 212, 7.8.2001, str. 12</w:t>
      </w:r>
      <w:r w:rsidR="00BD64A0">
        <w:rPr>
          <w:sz w:val="24"/>
          <w:lang w:val="sl-SI"/>
        </w:rPr>
        <w:t>)</w:t>
      </w:r>
      <w:r w:rsidRPr="000B5D2F">
        <w:rPr>
          <w:sz w:val="24"/>
          <w:lang w:val="sl-SI"/>
        </w:rPr>
        <w:t>.</w:t>
      </w:r>
    </w:p>
  </w:footnote>
  <w:footnote w:id="49">
    <w:p w:rsidR="000B4485" w:rsidRPr="000B5D2F" w:rsidRDefault="000B5D2F" w:rsidP="000B5D2F">
      <w:pPr>
        <w:pStyle w:val="FootnoteText"/>
        <w:ind w:left="567" w:hanging="567"/>
        <w:rPr>
          <w:sz w:val="24"/>
          <w:lang w:val="sl-SI"/>
        </w:rPr>
      </w:pPr>
      <w:r w:rsidRPr="000B5D2F">
        <w:rPr>
          <w:sz w:val="24"/>
          <w:lang w:val="sl-SI"/>
        </w:rPr>
        <w:t xml:space="preserve"> </w:t>
      </w:r>
      <w:r w:rsidRPr="000B5D2F">
        <w:rPr>
          <w:sz w:val="24"/>
          <w:lang w:val="sl-SI"/>
        </w:rPr>
        <w:tab/>
      </w:r>
      <w:r w:rsidR="000B4485" w:rsidRPr="000B5D2F">
        <w:rPr>
          <w:sz w:val="24"/>
          <w:lang w:val="sl-SI"/>
        </w:rPr>
        <w:t xml:space="preserve">Svet Evrope, </w:t>
      </w:r>
      <w:hyperlink r:id="rId3" w:history="1">
        <w:r w:rsidR="000B4485" w:rsidRPr="000B5D2F">
          <w:rPr>
            <w:rStyle w:val="Hyperlink"/>
            <w:i/>
            <w:iCs/>
            <w:sz w:val="24"/>
            <w:lang w:val="sl-SI"/>
          </w:rPr>
          <w:t>Recommendation CM/Rec(2022)17 of the Committee of Ministers to member States on protecting the rights of migrant, refugee and asylum-seeking women and girls</w:t>
        </w:r>
      </w:hyperlink>
      <w:r w:rsidR="000B4485" w:rsidRPr="000B5D2F">
        <w:rPr>
          <w:sz w:val="24"/>
          <w:lang w:val="sl-SI"/>
        </w:rPr>
        <w:t xml:space="preserve"> (Priporočilo CM/Rec(2022)17 Odbora ministrov državam članicam o zaščiti pravic migrantk, begunk in prosilk za azil), 20. maj 2022.</w:t>
      </w:r>
    </w:p>
  </w:footnote>
  <w:footnote w:id="50">
    <w:p w:rsidR="000B4485" w:rsidRPr="000B5D2F" w:rsidRDefault="000B4485" w:rsidP="000B5D2F">
      <w:pPr>
        <w:pStyle w:val="FootnoteText"/>
        <w:ind w:left="567" w:hanging="567"/>
        <w:rPr>
          <w:sz w:val="24"/>
          <w:lang w:val="sl-SI"/>
        </w:rPr>
      </w:pPr>
      <w:r w:rsidRPr="000B5D2F">
        <w:rPr>
          <w:rStyle w:val="FootnoteReference"/>
          <w:sz w:val="24"/>
          <w:lang w:val="sl-SI"/>
        </w:rPr>
        <w:footnoteRef/>
      </w:r>
      <w:r w:rsidR="000B5D2F" w:rsidRPr="000B5D2F">
        <w:rPr>
          <w:sz w:val="24"/>
          <w:lang w:val="sl-SI"/>
        </w:rPr>
        <w:t xml:space="preserve"> </w:t>
      </w:r>
      <w:r w:rsidR="000B5D2F" w:rsidRPr="000B5D2F">
        <w:rPr>
          <w:sz w:val="24"/>
          <w:lang w:val="sl-SI"/>
        </w:rPr>
        <w:tab/>
      </w:r>
      <w:r w:rsidRPr="000B5D2F">
        <w:rPr>
          <w:sz w:val="24"/>
          <w:lang w:val="sl-SI"/>
        </w:rPr>
        <w:t>Priporočilo Sveta z dne 30. januarja 2023 o zadostnem minimalnem dohodku za aktivno vključevanje (UL C 41, 3.2.2023,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D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D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5D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SL"/>
    <w:docVar w:name="dvnumam" w:val="0"/>
    <w:docVar w:name="dvpe" w:val="749.923"/>
    <w:docVar w:name="dvrapporteur" w:val="Poročevalka: "/>
    <w:docVar w:name="dvtitre" w:val="Resolucija Evropskega parlamenta z dne xx. januarja 2024 o razmerah na področju temeljnih pravic v Evropski uniji – letno poročilo za leti 2022 in 2023(2023/2028(INI))"/>
  </w:docVars>
  <w:rsids>
    <w:rsidRoot w:val="00711127"/>
    <w:rsid w:val="00002272"/>
    <w:rsid w:val="00064002"/>
    <w:rsid w:val="000677B9"/>
    <w:rsid w:val="000831BA"/>
    <w:rsid w:val="000A42CC"/>
    <w:rsid w:val="000B4485"/>
    <w:rsid w:val="000B5D2F"/>
    <w:rsid w:val="000E7DD9"/>
    <w:rsid w:val="0010095E"/>
    <w:rsid w:val="0012556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9E2"/>
    <w:rsid w:val="005C2568"/>
    <w:rsid w:val="006037C0"/>
    <w:rsid w:val="0061266C"/>
    <w:rsid w:val="006631B6"/>
    <w:rsid w:val="00680577"/>
    <w:rsid w:val="006F74FA"/>
    <w:rsid w:val="0071112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4A0"/>
    <w:rsid w:val="00BD7BD8"/>
    <w:rsid w:val="00BE6ADC"/>
    <w:rsid w:val="00C05BFE"/>
    <w:rsid w:val="00C23CD4"/>
    <w:rsid w:val="00C61C0C"/>
    <w:rsid w:val="00C941CB"/>
    <w:rsid w:val="00CA56CD"/>
    <w:rsid w:val="00CC2357"/>
    <w:rsid w:val="00CF071A"/>
    <w:rsid w:val="00D058B8"/>
    <w:rsid w:val="00D56C11"/>
    <w:rsid w:val="00D7767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0FBE8"/>
  <w15:chartTrackingRefBased/>
  <w15:docId w15:val="{892619ED-A38C-4231-8113-20485D89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4485"/>
    <w:pPr>
      <w:spacing w:after="240"/>
      <w:ind w:left="567" w:hanging="567"/>
    </w:pPr>
  </w:style>
  <w:style w:type="paragraph" w:customStyle="1" w:styleId="EPComma">
    <w:name w:val="EPComma"/>
    <w:basedOn w:val="Normal"/>
    <w:rsid w:val="000B4485"/>
    <w:pPr>
      <w:spacing w:before="480" w:after="240"/>
    </w:pPr>
  </w:style>
  <w:style w:type="character" w:styleId="Hyperlink">
    <w:name w:val="Hyperlink"/>
    <w:basedOn w:val="DefaultParagraphFont"/>
    <w:uiPriority w:val="99"/>
    <w:unhideWhenUsed/>
    <w:rsid w:val="000B4485"/>
    <w:rPr>
      <w:color w:val="0563C1" w:themeColor="hyperlink"/>
      <w:u w:val="single"/>
    </w:rPr>
  </w:style>
  <w:style w:type="paragraph" w:customStyle="1" w:styleId="Normal12a24b">
    <w:name w:val="Normal12a24b"/>
    <w:basedOn w:val="Normal"/>
    <w:rsid w:val="000B4485"/>
    <w:pPr>
      <w:snapToGrid w:val="0"/>
      <w:spacing w:before="360" w:after="240"/>
    </w:pPr>
    <w:rPr>
      <w:lang w:eastAsia="en-US"/>
    </w:rPr>
  </w:style>
  <w:style w:type="character" w:customStyle="1" w:styleId="Bold">
    <w:name w:val="Bold"/>
    <w:uiPriority w:val="1"/>
    <w:rsid w:val="000B4485"/>
    <w:rPr>
      <w:b/>
      <w:bCs w:val="0"/>
    </w:rPr>
  </w:style>
  <w:style w:type="character" w:customStyle="1" w:styleId="Italic">
    <w:name w:val="Italic"/>
    <w:uiPriority w:val="1"/>
    <w:rsid w:val="000B4485"/>
    <w:rPr>
      <w:i/>
      <w:iCs w:val="0"/>
    </w:rPr>
  </w:style>
  <w:style w:type="character" w:customStyle="1" w:styleId="NormalHanging12aChar">
    <w:name w:val="NormalHanging12a Char"/>
    <w:basedOn w:val="DefaultParagraphFont"/>
    <w:link w:val="NormalHanging12a"/>
    <w:rsid w:val="000B4485"/>
    <w:rPr>
      <w:sz w:val="24"/>
      <w:lang w:val="sl-SI"/>
    </w:rPr>
  </w:style>
  <w:style w:type="paragraph" w:styleId="BalloonText">
    <w:name w:val="Balloon Text"/>
    <w:basedOn w:val="Normal"/>
    <w:link w:val="BalloonTextChar"/>
    <w:rsid w:val="00BD64A0"/>
    <w:rPr>
      <w:rFonts w:ascii="Segoe UI" w:hAnsi="Segoe UI" w:cs="Segoe UI"/>
      <w:sz w:val="18"/>
      <w:szCs w:val="18"/>
    </w:rPr>
  </w:style>
  <w:style w:type="character" w:customStyle="1" w:styleId="BalloonTextChar">
    <w:name w:val="Balloon Text Char"/>
    <w:basedOn w:val="DefaultParagraphFont"/>
    <w:link w:val="BalloonText"/>
    <w:rsid w:val="00BD64A0"/>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ObjectId=0900001680a69407" TargetMode="External"/><Relationship Id="rId2" Type="http://schemas.openxmlformats.org/officeDocument/2006/relationships/hyperlink" Target="https://www.ombudsman.europa.eu/sl/recommendation/sl/151678" TargetMode="External"/><Relationship Id="rId1" Type="http://schemas.openxmlformats.org/officeDocument/2006/relationships/hyperlink" Target="https://rm.coe.int/report-on-the-round-table-human-rights-defenders-in-the-council-of-eur/1680aaa8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23BC6-3C35-4413-853D-A2969E860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8361</Words>
  <Characters>50152</Characters>
  <Application>Microsoft Office Word</Application>
  <DocSecurity>0</DocSecurity>
  <Lines>417</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2024-02-26T09:10:00Z</dcterms:created>
  <dcterms:modified xsi:type="dcterms:W3CDTF">2024-02-26T09:10:00Z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A9-0376/2023</vt:lpwstr>
  </property>
  <property fmtid="{D5CDD505-2E9C-101B-9397-08002B2CF9AE}" pid="4" name="&lt;Type&gt;">
    <vt:lpwstr>RR</vt:lpwstr>
  </property>
</Properties>
</file>