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2DB8" w14:paraId="58E8A744" w14:textId="77777777" w:rsidTr="0010095E">
        <w:trPr>
          <w:trHeight w:hRule="exact" w:val="1418"/>
        </w:trPr>
        <w:tc>
          <w:tcPr>
            <w:tcW w:w="6804" w:type="dxa"/>
            <w:shd w:val="clear" w:color="auto" w:fill="auto"/>
            <w:vAlign w:val="center"/>
          </w:tcPr>
          <w:p w14:paraId="76B3DA77" w14:textId="77777777" w:rsidR="00751A4A" w:rsidRPr="00032DB8" w:rsidRDefault="001E2618" w:rsidP="0010095E">
            <w:pPr>
              <w:pStyle w:val="EPName"/>
            </w:pPr>
            <w:r w:rsidRPr="00032DB8">
              <w:t>Europaparlamentet</w:t>
            </w:r>
          </w:p>
          <w:p w14:paraId="6CD1100C" w14:textId="77777777" w:rsidR="00751A4A" w:rsidRPr="00032DB8" w:rsidRDefault="00817416" w:rsidP="00756632">
            <w:pPr>
              <w:pStyle w:val="EPTerm"/>
              <w:rPr>
                <w:rStyle w:val="HideTWBExt"/>
                <w:noProof w:val="0"/>
                <w:vanish w:val="0"/>
                <w:color w:val="auto"/>
              </w:rPr>
            </w:pPr>
            <w:r w:rsidRPr="00032DB8">
              <w:t>2019-2024</w:t>
            </w:r>
          </w:p>
        </w:tc>
        <w:tc>
          <w:tcPr>
            <w:tcW w:w="2268" w:type="dxa"/>
            <w:shd w:val="clear" w:color="auto" w:fill="auto"/>
          </w:tcPr>
          <w:p w14:paraId="2B619046" w14:textId="77777777" w:rsidR="00751A4A" w:rsidRPr="00032DB8" w:rsidRDefault="00187494" w:rsidP="0010095E">
            <w:pPr>
              <w:pStyle w:val="EPLogo"/>
            </w:pPr>
            <w:r w:rsidRPr="00032DB8">
              <w:rPr>
                <w:noProof/>
                <w:lang w:val="en-GB"/>
              </w:rPr>
              <w:drawing>
                <wp:inline distT="0" distB="0" distL="0" distR="0" wp14:anchorId="14A6E27A" wp14:editId="614B30F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65D3BC" w14:textId="77777777" w:rsidR="00D058B8" w:rsidRPr="00032DB8" w:rsidRDefault="00D058B8" w:rsidP="004C5D52">
      <w:pPr>
        <w:pStyle w:val="LineTop"/>
      </w:pPr>
    </w:p>
    <w:p w14:paraId="0D78D30E" w14:textId="77777777" w:rsidR="00680577" w:rsidRPr="00032DB8" w:rsidRDefault="001E2618" w:rsidP="00680577">
      <w:pPr>
        <w:pStyle w:val="EPBodyTA1"/>
      </w:pPr>
      <w:r w:rsidRPr="00032DB8">
        <w:t>ANTAGNA TEXTER</w:t>
      </w:r>
    </w:p>
    <w:p w14:paraId="6F456805" w14:textId="77777777" w:rsidR="00D058B8" w:rsidRPr="00032DB8" w:rsidRDefault="00D058B8" w:rsidP="00D058B8">
      <w:pPr>
        <w:pStyle w:val="LineBottom"/>
      </w:pPr>
    </w:p>
    <w:p w14:paraId="54B480E6" w14:textId="1AE94E0D" w:rsidR="001E2618" w:rsidRPr="00032DB8" w:rsidRDefault="001E2618" w:rsidP="001E2618">
      <w:pPr>
        <w:pStyle w:val="ATHeading1"/>
      </w:pPr>
      <w:bookmarkStart w:id="0" w:name="TANumber"/>
      <w:r w:rsidRPr="00032DB8">
        <w:t>P9_TA(2024)00</w:t>
      </w:r>
      <w:r w:rsidR="000805C6">
        <w:t>50</w:t>
      </w:r>
      <w:bookmarkEnd w:id="0"/>
    </w:p>
    <w:p w14:paraId="2BC1E5C7" w14:textId="77777777" w:rsidR="001E2618" w:rsidRPr="00032DB8" w:rsidRDefault="001E2618" w:rsidP="001E2618">
      <w:pPr>
        <w:pStyle w:val="ATHeading2"/>
      </w:pPr>
      <w:bookmarkStart w:id="1" w:name="title"/>
      <w:r w:rsidRPr="00032DB8">
        <w:t>Situationen för de grundläggande rättigheterna i EU 2022 och 2023</w:t>
      </w:r>
      <w:bookmarkEnd w:id="1"/>
    </w:p>
    <w:p w14:paraId="4898BE30" w14:textId="77777777" w:rsidR="001E2618" w:rsidRPr="00032DB8" w:rsidRDefault="001E2618" w:rsidP="001E2618">
      <w:pPr>
        <w:rPr>
          <w:i/>
          <w:vanish/>
        </w:rPr>
      </w:pPr>
      <w:r w:rsidRPr="00032DB8">
        <w:rPr>
          <w:i/>
        </w:rPr>
        <w:fldChar w:fldCharType="begin"/>
      </w:r>
      <w:r w:rsidRPr="00032DB8">
        <w:rPr>
          <w:i/>
        </w:rPr>
        <w:instrText xml:space="preserve"> TC"(</w:instrText>
      </w:r>
      <w:bookmarkStart w:id="2" w:name="DocNumber"/>
      <w:r w:rsidRPr="00032DB8">
        <w:rPr>
          <w:i/>
        </w:rPr>
        <w:instrText>A9-0376/2023</w:instrText>
      </w:r>
      <w:bookmarkEnd w:id="2"/>
      <w:r w:rsidRPr="00032DB8">
        <w:rPr>
          <w:i/>
        </w:rPr>
        <w:instrText xml:space="preserve"> - Föredragande: Katarina Barley)"\l3 \n&gt; \* MERGEFORMAT </w:instrText>
      </w:r>
      <w:r w:rsidRPr="00032DB8">
        <w:rPr>
          <w:i/>
        </w:rPr>
        <w:fldChar w:fldCharType="end"/>
      </w:r>
    </w:p>
    <w:p w14:paraId="26C50870" w14:textId="77777777" w:rsidR="001E2618" w:rsidRPr="00032DB8" w:rsidRDefault="001E2618" w:rsidP="001E2618">
      <w:pPr>
        <w:rPr>
          <w:vanish/>
        </w:rPr>
      </w:pPr>
      <w:bookmarkStart w:id="3" w:name="Commission"/>
      <w:r w:rsidRPr="00032DB8">
        <w:rPr>
          <w:vanish/>
        </w:rPr>
        <w:t>Utskottet för medborgerliga fri- och rättigheter samt rättsliga och inrikes frågor</w:t>
      </w:r>
      <w:bookmarkEnd w:id="3"/>
    </w:p>
    <w:p w14:paraId="6FE171B9" w14:textId="77777777" w:rsidR="001E2618" w:rsidRPr="00032DB8" w:rsidRDefault="001E2618" w:rsidP="001E2618">
      <w:pPr>
        <w:rPr>
          <w:vanish/>
        </w:rPr>
      </w:pPr>
      <w:bookmarkStart w:id="4" w:name="PE"/>
      <w:r w:rsidRPr="00032DB8">
        <w:rPr>
          <w:vanish/>
        </w:rPr>
        <w:t>PE749.923</w:t>
      </w:r>
      <w:bookmarkEnd w:id="4"/>
    </w:p>
    <w:p w14:paraId="36D4B986" w14:textId="452CA9BA" w:rsidR="001E2618" w:rsidRPr="00032DB8" w:rsidRDefault="001E2618" w:rsidP="001E2618">
      <w:pPr>
        <w:pStyle w:val="ATHeading3"/>
      </w:pPr>
      <w:bookmarkStart w:id="5" w:name="Sujet"/>
      <w:r w:rsidRPr="00032DB8">
        <w:t>Europap</w:t>
      </w:r>
      <w:r w:rsidR="00D725BE">
        <w:t>arlamentets resolution av den 18</w:t>
      </w:r>
      <w:r w:rsidRPr="00032DB8">
        <w:t xml:space="preserve"> </w:t>
      </w:r>
      <w:r w:rsidR="006948A5">
        <w:t>januari</w:t>
      </w:r>
      <w:r w:rsidRPr="00032DB8">
        <w:t xml:space="preserve"> 2024 om situationen för de grundläggande rättigheterna i Europeiska unionen 2022 och 2023</w:t>
      </w:r>
      <w:bookmarkEnd w:id="5"/>
      <w:r w:rsidRPr="00032DB8">
        <w:t xml:space="preserve"> </w:t>
      </w:r>
      <w:bookmarkStart w:id="6" w:name="References"/>
      <w:r w:rsidRPr="00032DB8">
        <w:t>(2023/2028(INI))</w:t>
      </w:r>
      <w:bookmarkEnd w:id="6"/>
    </w:p>
    <w:p w14:paraId="19DE1223" w14:textId="77777777" w:rsidR="00BF16A3" w:rsidRPr="00032DB8" w:rsidRDefault="00BF16A3" w:rsidP="00BF16A3">
      <w:pPr>
        <w:pStyle w:val="EPComma"/>
      </w:pPr>
      <w:bookmarkStart w:id="7" w:name="TextBodyBegin"/>
      <w:bookmarkEnd w:id="7"/>
      <w:r w:rsidRPr="00032DB8">
        <w:rPr>
          <w:rStyle w:val="Italic"/>
        </w:rPr>
        <w:t>Europaparlamentet utfärdar denna resolution</w:t>
      </w:r>
    </w:p>
    <w:p w14:paraId="776A94FD" w14:textId="13A2CE07" w:rsidR="00BF16A3" w:rsidRPr="00032DB8" w:rsidRDefault="00BF16A3" w:rsidP="00BF16A3">
      <w:pPr>
        <w:pStyle w:val="NormalHanging12a"/>
      </w:pPr>
      <w:r w:rsidRPr="00032DB8">
        <w:t>–</w:t>
      </w:r>
      <w:r w:rsidRPr="00032DB8">
        <w:tab/>
        <w:t>med beaktande av fördraget om Europeiska unionen (EU-fördraget) och fördraget om Europeiska unionens funktionssätt (EUF-fördrage</w:t>
      </w:r>
      <w:bookmarkStart w:id="8" w:name="_GoBack"/>
      <w:bookmarkEnd w:id="8"/>
      <w:r w:rsidRPr="00032DB8">
        <w:t>t),</w:t>
      </w:r>
    </w:p>
    <w:p w14:paraId="4EE2AAAA" w14:textId="77777777" w:rsidR="00BF16A3" w:rsidRPr="00032DB8" w:rsidRDefault="00BF16A3" w:rsidP="00BF16A3">
      <w:pPr>
        <w:pStyle w:val="NormalHanging12a"/>
      </w:pPr>
      <w:r w:rsidRPr="00032DB8">
        <w:t>–</w:t>
      </w:r>
      <w:r w:rsidRPr="00032DB8">
        <w:tab/>
        <w:t>med beaktande av Europeiska unionens stadga om de grundläggande rättigheterna (</w:t>
      </w:r>
      <w:r w:rsidRPr="00032DB8">
        <w:rPr>
          <w:i/>
          <w:iCs/>
        </w:rPr>
        <w:t>stadgan</w:t>
      </w:r>
      <w:r w:rsidRPr="00032DB8">
        <w:t>),</w:t>
      </w:r>
    </w:p>
    <w:p w14:paraId="68BA263B" w14:textId="77777777" w:rsidR="00BF16A3" w:rsidRPr="00032DB8" w:rsidRDefault="00BF16A3" w:rsidP="00BF16A3">
      <w:pPr>
        <w:pStyle w:val="NormalHanging12a"/>
      </w:pPr>
      <w:r w:rsidRPr="00032DB8">
        <w:t>–</w:t>
      </w:r>
      <w:r w:rsidRPr="00032DB8">
        <w:tab/>
        <w:t>med beaktande av Europeiska unionens domstols rättspraxis</w:t>
      </w:r>
      <w:r w:rsidRPr="00032DB8">
        <w:rPr>
          <w:rStyle w:val="FootnoteReference"/>
        </w:rPr>
        <w:footnoteReference w:id="1"/>
      </w:r>
      <w:r w:rsidRPr="00032DB8">
        <w:t>,</w:t>
      </w:r>
    </w:p>
    <w:p w14:paraId="4859838B" w14:textId="77777777" w:rsidR="00BF16A3" w:rsidRPr="00032DB8" w:rsidRDefault="00BF16A3" w:rsidP="00BF16A3">
      <w:pPr>
        <w:pStyle w:val="NormalHanging12a"/>
      </w:pPr>
      <w:r w:rsidRPr="00032DB8">
        <w:t>–</w:t>
      </w:r>
      <w:r w:rsidRPr="00032DB8">
        <w:tab/>
        <w:t>med beaktande av Europaparlamentets och rådets förordning (EU, Euratom) 2020/2092 av den 16 december 2020 om en generell villkorlighetsordning för skydd av unionsbudgeten</w:t>
      </w:r>
      <w:r w:rsidRPr="00032DB8">
        <w:rPr>
          <w:rStyle w:val="FootnoteReference"/>
        </w:rPr>
        <w:footnoteReference w:id="2"/>
      </w:r>
      <w:r w:rsidRPr="00032DB8">
        <w:t xml:space="preserve"> (</w:t>
      </w:r>
      <w:r w:rsidRPr="00032DB8">
        <w:rPr>
          <w:i/>
          <w:iCs/>
        </w:rPr>
        <w:t>villkorlighetsförordningen</w:t>
      </w:r>
      <w:r w:rsidRPr="00032DB8">
        <w:t>),</w:t>
      </w:r>
    </w:p>
    <w:p w14:paraId="2D184ABB" w14:textId="77777777" w:rsidR="00BF16A3" w:rsidRPr="00032DB8" w:rsidRDefault="00BF16A3" w:rsidP="00BF16A3">
      <w:pPr>
        <w:pStyle w:val="NormalHanging12a"/>
      </w:pPr>
      <w:r w:rsidRPr="00032DB8">
        <w:t>–</w:t>
      </w:r>
      <w:r w:rsidRPr="00032DB8">
        <w:tab/>
        <w:t>med beaktande av Europaparlamentets och rådets förordning (EU) 2021/692 av den 28 april 2021 om inrättande av programmet för medborgare, jämlikhet, rättigheter och värden och om upphävande av Europaparlamentets och rådets förordning (EU) nr 1381/2013 och rådets förordning (EU) nr 390/2014</w:t>
      </w:r>
      <w:r w:rsidRPr="00032DB8">
        <w:rPr>
          <w:rStyle w:val="FootnoteReference"/>
        </w:rPr>
        <w:footnoteReference w:id="3"/>
      </w:r>
      <w:r w:rsidRPr="00032DB8">
        <w:t>,</w:t>
      </w:r>
    </w:p>
    <w:p w14:paraId="17F7BC9B" w14:textId="77777777" w:rsidR="00BF16A3" w:rsidRPr="00032DB8" w:rsidRDefault="00BF16A3" w:rsidP="00BF16A3">
      <w:pPr>
        <w:pStyle w:val="NormalHanging12a"/>
      </w:pPr>
      <w:r w:rsidRPr="00032DB8">
        <w:t>–</w:t>
      </w:r>
      <w:r w:rsidRPr="00032DB8">
        <w:tab/>
        <w:t>med beaktande av rådets förordning (EU) 2017/1939 av den 12 oktober 2017 om genomförande av fördjupat samarbete om inrättande av Europeiska åklagarmyndigheten (</w:t>
      </w:r>
      <w:proofErr w:type="spellStart"/>
      <w:r w:rsidRPr="00032DB8">
        <w:t>Eppo</w:t>
      </w:r>
      <w:proofErr w:type="spellEnd"/>
      <w:r w:rsidRPr="00032DB8">
        <w:t>)</w:t>
      </w:r>
      <w:r w:rsidRPr="00032DB8">
        <w:rPr>
          <w:rStyle w:val="FootnoteReference"/>
        </w:rPr>
        <w:footnoteReference w:id="4"/>
      </w:r>
      <w:r w:rsidRPr="00032DB8">
        <w:t>,</w:t>
      </w:r>
    </w:p>
    <w:p w14:paraId="160B4387" w14:textId="77777777" w:rsidR="00BF16A3" w:rsidRPr="00032DB8" w:rsidRDefault="00BF16A3" w:rsidP="00BF16A3">
      <w:pPr>
        <w:pStyle w:val="NormalHanging12a"/>
      </w:pPr>
      <w:r w:rsidRPr="00032DB8">
        <w:t>–</w:t>
      </w:r>
      <w:r w:rsidRPr="00032DB8">
        <w:tab/>
        <w:t xml:space="preserve">med beaktande av Europaparlamentets och rådets förordning (EU) 2016/679 av den </w:t>
      </w:r>
      <w:r w:rsidRPr="00032DB8">
        <w:lastRenderedPageBreak/>
        <w:t>27 april 2016 om skydd för fysiska personer med avseende på behandling av personuppgifter och om det fria flödet av sådana uppgifter och om upphävande av direktiv 95/46/EG (allmän dataskyddsförordning)</w:t>
      </w:r>
      <w:r w:rsidRPr="00032DB8">
        <w:rPr>
          <w:rStyle w:val="FootnoteReference"/>
        </w:rPr>
        <w:footnoteReference w:id="5"/>
      </w:r>
      <w:r w:rsidRPr="00032DB8">
        <w:t>,</w:t>
      </w:r>
    </w:p>
    <w:p w14:paraId="492A54E1" w14:textId="77777777" w:rsidR="00BF16A3" w:rsidRPr="00032DB8" w:rsidRDefault="00BF16A3" w:rsidP="00BF16A3">
      <w:pPr>
        <w:pStyle w:val="NormalHanging12a"/>
      </w:pPr>
      <w:r w:rsidRPr="00032DB8">
        <w:t>–</w:t>
      </w:r>
      <w:r w:rsidRPr="00032DB8">
        <w:tab/>
        <w:t>med beaktande av Europaparlamentets och rådets direktiv (EU) 2017/1371 av den 5 juli 2017 om bekämpande genom straffrättsliga bestämmelser av bedrägeri som riktar sig mot unionens finansiella intressen</w:t>
      </w:r>
      <w:r w:rsidRPr="00032DB8">
        <w:rPr>
          <w:rStyle w:val="FootnoteReference"/>
        </w:rPr>
        <w:footnoteReference w:id="6"/>
      </w:r>
      <w:r w:rsidRPr="00032DB8">
        <w:t>,</w:t>
      </w:r>
    </w:p>
    <w:p w14:paraId="78071679" w14:textId="77777777" w:rsidR="00BF16A3" w:rsidRPr="00032DB8" w:rsidRDefault="00BF16A3" w:rsidP="00BF16A3">
      <w:pPr>
        <w:pStyle w:val="NormalHanging12a"/>
        <w:widowControl/>
      </w:pPr>
      <w:r w:rsidRPr="00032DB8">
        <w:t>–</w:t>
      </w:r>
      <w:r w:rsidRPr="00032DB8">
        <w:tab/>
        <w:t>med beaktande av rådets rambeslut 2008/913/RIF av den 28 november 2008 om bekämpande av vissa former av och uttryck för rasism och främlingsfientlighet enligt strafflagstiftningen</w:t>
      </w:r>
      <w:r w:rsidRPr="00032DB8">
        <w:rPr>
          <w:rStyle w:val="FootnoteReference"/>
        </w:rPr>
        <w:footnoteReference w:id="7"/>
      </w:r>
      <w:r w:rsidRPr="00032DB8">
        <w:t xml:space="preserve">, </w:t>
      </w:r>
    </w:p>
    <w:p w14:paraId="42F61EE3" w14:textId="77777777" w:rsidR="00BF16A3" w:rsidRPr="00032DB8" w:rsidRDefault="00BF16A3" w:rsidP="00BF16A3">
      <w:pPr>
        <w:pStyle w:val="NormalHanging12a"/>
        <w:rPr>
          <w:szCs w:val="24"/>
        </w:rPr>
      </w:pPr>
      <w:r w:rsidRPr="00032DB8">
        <w:t>–</w:t>
      </w:r>
      <w:r w:rsidRPr="00032DB8">
        <w:tab/>
        <w:t>med beaktande av rådets direktiv 2000/43/EG av den 29 juni 2000 om genomförandet av principen om likabehandling av personer oavsett deras ras eller etniska ursprung</w:t>
      </w:r>
      <w:r w:rsidRPr="00032DB8">
        <w:rPr>
          <w:rStyle w:val="FootnoteReference"/>
        </w:rPr>
        <w:footnoteReference w:id="8"/>
      </w:r>
      <w:r w:rsidRPr="00032DB8">
        <w:t xml:space="preserve"> och pågående överträdelseförfaranden som kommissionen inlett på grundval av detta direktiv mot flera medlemsstater, av vilka ett har hänvisats av kommissionen till domstolen,</w:t>
      </w:r>
    </w:p>
    <w:p w14:paraId="770BB8E9" w14:textId="77777777" w:rsidR="00BF16A3" w:rsidRPr="00032DB8" w:rsidRDefault="00BF16A3" w:rsidP="00BF16A3">
      <w:pPr>
        <w:pStyle w:val="NormalHanging12a"/>
        <w:rPr>
          <w:szCs w:val="24"/>
        </w:rPr>
      </w:pPr>
      <w:r w:rsidRPr="00032DB8">
        <w:t>–</w:t>
      </w:r>
      <w:r w:rsidRPr="00032DB8">
        <w:tab/>
        <w:t>med beaktande av rådets rekommendation av den 12 mars 2021 om romers jämlikhet, inkludering och delaktighet (2021/C 93/01)</w:t>
      </w:r>
      <w:r w:rsidRPr="00032DB8">
        <w:rPr>
          <w:rStyle w:val="FootnoteReference"/>
        </w:rPr>
        <w:footnoteReference w:id="9"/>
      </w:r>
      <w:r w:rsidRPr="00032DB8">
        <w:t xml:space="preserve">, </w:t>
      </w:r>
    </w:p>
    <w:p w14:paraId="17C1C9AB" w14:textId="77777777" w:rsidR="00BF16A3" w:rsidRPr="00032DB8" w:rsidRDefault="00BF16A3" w:rsidP="00BF16A3">
      <w:pPr>
        <w:pStyle w:val="NormalHanging12a"/>
        <w:rPr>
          <w:szCs w:val="24"/>
        </w:rPr>
      </w:pPr>
      <w:r w:rsidRPr="00032DB8">
        <w:t>–</w:t>
      </w:r>
      <w:r w:rsidRPr="00032DB8">
        <w:tab/>
        <w:t xml:space="preserve">med beaktande av kommissionens meddelande av den 9 januari 2023 </w:t>
      </w:r>
      <w:r w:rsidRPr="00032DB8">
        <w:rPr>
          <w:i/>
          <w:iCs/>
        </w:rPr>
        <w:t>Rapport om utvärderingen av medlemsstaternas nationella strategiska ramar för romer</w:t>
      </w:r>
      <w:r w:rsidRPr="00032DB8">
        <w:t xml:space="preserve"> (COM(2023)0007),</w:t>
      </w:r>
    </w:p>
    <w:p w14:paraId="006264E4" w14:textId="77777777" w:rsidR="00BF16A3" w:rsidRPr="00032DB8" w:rsidRDefault="00BF16A3" w:rsidP="00BF16A3">
      <w:pPr>
        <w:pStyle w:val="NormalHanging12a"/>
      </w:pPr>
      <w:r w:rsidRPr="00032DB8">
        <w:t>–</w:t>
      </w:r>
      <w:r w:rsidRPr="00032DB8">
        <w:tab/>
        <w:t>med beaktande av kommissionens rekommendation (EU) 2021/1534 av den 16 september 2021 om säkerställande av journalisters och andra mediearbetares skydd, säkerhet och egenmakt i Europeiska unionen</w:t>
      </w:r>
      <w:r w:rsidRPr="00032DB8">
        <w:rPr>
          <w:rStyle w:val="FootnoteReference"/>
        </w:rPr>
        <w:footnoteReference w:id="10"/>
      </w:r>
      <w:r w:rsidRPr="00032DB8">
        <w:t>,</w:t>
      </w:r>
    </w:p>
    <w:p w14:paraId="59C5220B" w14:textId="77777777" w:rsidR="00BF16A3" w:rsidRPr="00032DB8" w:rsidRDefault="00BF16A3" w:rsidP="00BF16A3">
      <w:pPr>
        <w:pStyle w:val="NormalHanging12a"/>
      </w:pPr>
      <w:r w:rsidRPr="00032DB8">
        <w:t>–</w:t>
      </w:r>
      <w:r w:rsidRPr="00032DB8">
        <w:tab/>
        <w:t xml:space="preserve">med beaktande av kommissionens meddelande av den 9 december 2021 </w:t>
      </w:r>
      <w:r w:rsidRPr="00032DB8">
        <w:rPr>
          <w:i/>
          <w:iCs/>
        </w:rPr>
        <w:t>Ett mer inkluderande och skyddande Europa:</w:t>
      </w:r>
      <w:r w:rsidRPr="00032DB8">
        <w:t xml:space="preserve"> </w:t>
      </w:r>
      <w:r w:rsidRPr="00032DB8">
        <w:rPr>
          <w:i/>
          <w:iCs/>
        </w:rPr>
        <w:t>att utöka förteckningen över EU-brott till att omfatta hatpropaganda och hatbrott</w:t>
      </w:r>
      <w:r w:rsidRPr="00032DB8">
        <w:t xml:space="preserve"> (COM(2021)0777),</w:t>
      </w:r>
    </w:p>
    <w:p w14:paraId="7AB7E812" w14:textId="77777777" w:rsidR="00BF16A3" w:rsidRPr="00032DB8" w:rsidRDefault="00BF16A3" w:rsidP="00BF16A3">
      <w:pPr>
        <w:pStyle w:val="NormalHanging12a"/>
      </w:pPr>
      <w:r w:rsidRPr="00032DB8">
        <w:t>–</w:t>
      </w:r>
      <w:r w:rsidRPr="00032DB8">
        <w:tab/>
        <w:t xml:space="preserve">med beaktande av kommissionens meddelande av den 5 mars 2020 </w:t>
      </w:r>
      <w:r w:rsidRPr="00032DB8">
        <w:rPr>
          <w:i/>
          <w:iCs/>
        </w:rPr>
        <w:t>En jämlikhetsunion:</w:t>
      </w:r>
      <w:r w:rsidRPr="00032DB8">
        <w:t xml:space="preserve"> </w:t>
      </w:r>
      <w:r w:rsidRPr="00032DB8">
        <w:rPr>
          <w:i/>
          <w:iCs/>
        </w:rPr>
        <w:t>jämställdhetsstrategi för 2020–2025</w:t>
      </w:r>
      <w:r w:rsidRPr="00032DB8">
        <w:t xml:space="preserve"> (COM(2020)0152),</w:t>
      </w:r>
    </w:p>
    <w:p w14:paraId="7C4EEE3A" w14:textId="77777777" w:rsidR="00BF16A3" w:rsidRPr="00032DB8" w:rsidRDefault="00BF16A3" w:rsidP="00BF16A3">
      <w:pPr>
        <w:pStyle w:val="NormalHanging12a"/>
      </w:pPr>
      <w:r w:rsidRPr="00032DB8">
        <w:t>–</w:t>
      </w:r>
      <w:r w:rsidRPr="00032DB8">
        <w:tab/>
        <w:t xml:space="preserve">med beaktande av kommissionens meddelande av den 24 juni 2020 </w:t>
      </w:r>
      <w:r w:rsidRPr="00032DB8">
        <w:rPr>
          <w:i/>
          <w:iCs/>
        </w:rPr>
        <w:t>EU-strategi för brottsoffers rättigheter</w:t>
      </w:r>
      <w:r w:rsidRPr="00032DB8">
        <w:t xml:space="preserve"> (2020–2025) (COM(2020)0258),</w:t>
      </w:r>
    </w:p>
    <w:p w14:paraId="7B16124A" w14:textId="77777777" w:rsidR="00BF16A3" w:rsidRPr="00032DB8" w:rsidRDefault="00BF16A3" w:rsidP="00BF16A3">
      <w:pPr>
        <w:pStyle w:val="NormalHanging12a"/>
      </w:pPr>
      <w:r w:rsidRPr="00032DB8">
        <w:t>–</w:t>
      </w:r>
      <w:r w:rsidRPr="00032DB8">
        <w:tab/>
        <w:t xml:space="preserve">med beaktande av kommissionens meddelande av den 12 november 2020 </w:t>
      </w:r>
      <w:r w:rsidRPr="00032DB8">
        <w:rPr>
          <w:i/>
          <w:iCs/>
        </w:rPr>
        <w:t>En jämlikhetsunion:</w:t>
      </w:r>
      <w:r w:rsidRPr="00032DB8">
        <w:t xml:space="preserve"> </w:t>
      </w:r>
      <w:r w:rsidRPr="00032DB8">
        <w:rPr>
          <w:i/>
          <w:iCs/>
        </w:rPr>
        <w:t xml:space="preserve">Jämlikhetsstrategi för </w:t>
      </w:r>
      <w:proofErr w:type="spellStart"/>
      <w:r w:rsidRPr="00032DB8">
        <w:rPr>
          <w:i/>
          <w:iCs/>
        </w:rPr>
        <w:t>hbtqi</w:t>
      </w:r>
      <w:proofErr w:type="spellEnd"/>
      <w:r w:rsidRPr="00032DB8">
        <w:rPr>
          <w:i/>
          <w:iCs/>
        </w:rPr>
        <w:t>-personer 2020–2025</w:t>
      </w:r>
      <w:r w:rsidRPr="00032DB8">
        <w:t xml:space="preserve"> (COM(2020)0698),</w:t>
      </w:r>
    </w:p>
    <w:p w14:paraId="18C89E64" w14:textId="77777777" w:rsidR="00BF16A3" w:rsidRPr="00032DB8" w:rsidRDefault="00BF16A3" w:rsidP="00BF16A3">
      <w:pPr>
        <w:pStyle w:val="NormalHanging12a"/>
      </w:pPr>
      <w:r w:rsidRPr="00032DB8">
        <w:t>–</w:t>
      </w:r>
      <w:r w:rsidRPr="00032DB8">
        <w:tab/>
        <w:t>med beaktande av rådets slutsatser av den 2 mars 2022 om bekämpning av rasism och antisemitism,</w:t>
      </w:r>
    </w:p>
    <w:p w14:paraId="63711F65" w14:textId="77777777" w:rsidR="00BF16A3" w:rsidRPr="00032DB8" w:rsidRDefault="00BF16A3" w:rsidP="00BF16A3">
      <w:pPr>
        <w:pStyle w:val="NormalHanging12a"/>
      </w:pPr>
      <w:r w:rsidRPr="00032DB8">
        <w:lastRenderedPageBreak/>
        <w:t>–</w:t>
      </w:r>
      <w:r w:rsidRPr="00032DB8">
        <w:tab/>
        <w:t xml:space="preserve">med beaktande av kommissionens meddelande av den 2 december 2020 </w:t>
      </w:r>
      <w:r w:rsidRPr="00032DB8">
        <w:rPr>
          <w:i/>
          <w:iCs/>
        </w:rPr>
        <w:t>Strategi för att stärka tillämpningen av stadgan om de grundläggande rättigheterna i EU</w:t>
      </w:r>
      <w:r w:rsidRPr="00032DB8">
        <w:t xml:space="preserve"> (COM(2020)0711),</w:t>
      </w:r>
    </w:p>
    <w:p w14:paraId="05CE40F5" w14:textId="77777777" w:rsidR="00BF16A3" w:rsidRPr="00032DB8" w:rsidRDefault="00BF16A3" w:rsidP="00BF16A3">
      <w:pPr>
        <w:pStyle w:val="NormalHanging12a"/>
      </w:pPr>
      <w:r w:rsidRPr="00032DB8">
        <w:t>–</w:t>
      </w:r>
      <w:r w:rsidRPr="00032DB8">
        <w:tab/>
        <w:t xml:space="preserve">med beaktande av kommissionens rapport av den 6 december 2022 </w:t>
      </w:r>
      <w:r w:rsidRPr="00032DB8">
        <w:rPr>
          <w:i/>
          <w:iCs/>
        </w:rPr>
        <w:t xml:space="preserve">Ett </w:t>
      </w:r>
      <w:proofErr w:type="spellStart"/>
      <w:r w:rsidRPr="00032DB8">
        <w:rPr>
          <w:i/>
          <w:iCs/>
        </w:rPr>
        <w:t>aktivitetsfyllt</w:t>
      </w:r>
      <w:proofErr w:type="spellEnd"/>
      <w:r w:rsidRPr="00032DB8">
        <w:rPr>
          <w:i/>
          <w:iCs/>
        </w:rPr>
        <w:t xml:space="preserve"> medborgerligt utrymme som värn för de grundläggande rättigheterna i EU – Årsrapport för 2022 om tillämpningen av EU-stadgan om de grundläggande rättigheterna</w:t>
      </w:r>
      <w:r w:rsidRPr="00032DB8">
        <w:t xml:space="preserve"> (COM(2022)0716),</w:t>
      </w:r>
    </w:p>
    <w:p w14:paraId="549EB39F" w14:textId="77777777" w:rsidR="00BF16A3" w:rsidRPr="00032DB8" w:rsidRDefault="00BF16A3" w:rsidP="00BF16A3">
      <w:pPr>
        <w:pStyle w:val="NormalHanging12a"/>
      </w:pPr>
      <w:r w:rsidRPr="00032DB8">
        <w:t>–</w:t>
      </w:r>
      <w:r w:rsidRPr="00032DB8">
        <w:tab/>
        <w:t>med beaktande av kommissionens rekommendation (EU) 2023/681 av den 8 december 2022 om processuella rättigheter för misstänkta och tilltalade som är frihetsberövade före rättegång och om materiella förhållanden vid frihetsberövande</w:t>
      </w:r>
      <w:r w:rsidRPr="00032DB8">
        <w:rPr>
          <w:rStyle w:val="FootnoteReference"/>
        </w:rPr>
        <w:footnoteReference w:id="11"/>
      </w:r>
      <w:r w:rsidRPr="00032DB8">
        <w:t>,</w:t>
      </w:r>
    </w:p>
    <w:p w14:paraId="675DB293" w14:textId="77777777" w:rsidR="00BF16A3" w:rsidRPr="00032DB8" w:rsidRDefault="00BF16A3" w:rsidP="00BF16A3">
      <w:pPr>
        <w:pStyle w:val="NormalHanging12a"/>
        <w:rPr>
          <w:szCs w:val="24"/>
        </w:rPr>
      </w:pPr>
      <w:r w:rsidRPr="00032DB8">
        <w:t>–</w:t>
      </w:r>
      <w:r w:rsidRPr="00032DB8">
        <w:tab/>
        <w:t xml:space="preserve">med beaktande av kommissionens meddelande av den 5 juli 2023 med titeln </w:t>
      </w:r>
      <w:r w:rsidRPr="00032DB8">
        <w:rPr>
          <w:i/>
          <w:iCs/>
        </w:rPr>
        <w:t>2023 års rapport om rättsstatsprincipen – Situationen i fråga om rättsstatsprincipen i EU</w:t>
      </w:r>
      <w:r w:rsidRPr="00032DB8">
        <w:t xml:space="preserve"> (COM(2023)0800), de 27 landskapitlen och dess åtföljande rekommendationer till medlemsstaterna, </w:t>
      </w:r>
    </w:p>
    <w:p w14:paraId="1098AD1D" w14:textId="77777777" w:rsidR="00BF16A3" w:rsidRPr="00032DB8" w:rsidRDefault="00BF16A3" w:rsidP="00BF16A3">
      <w:pPr>
        <w:pStyle w:val="NormalHanging12a"/>
        <w:rPr>
          <w:szCs w:val="24"/>
        </w:rPr>
      </w:pPr>
      <w:r w:rsidRPr="00032DB8">
        <w:t>–</w:t>
      </w:r>
      <w:r w:rsidRPr="00032DB8">
        <w:tab/>
        <w:t xml:space="preserve">med beaktande av den europeiska pelaren för sociala rättigheter, bland annat den tredje principen om lika möjligheter, och av kommissionens meddelande av den 4 mars 2021 </w:t>
      </w:r>
      <w:r w:rsidRPr="00032DB8">
        <w:rPr>
          <w:i/>
          <w:iCs/>
        </w:rPr>
        <w:t>Handlingsplan för den europeiska pelaren för sociala rättigheter</w:t>
      </w:r>
      <w:r w:rsidRPr="00032DB8">
        <w:t xml:space="preserve"> (COM(2021)0102),</w:t>
      </w:r>
    </w:p>
    <w:p w14:paraId="4C35E0BD" w14:textId="77777777" w:rsidR="00BF16A3" w:rsidRPr="00032DB8" w:rsidRDefault="00BF16A3" w:rsidP="00BF16A3">
      <w:pPr>
        <w:pStyle w:val="NormalHanging12a"/>
      </w:pPr>
      <w:r w:rsidRPr="00032DB8">
        <w:t>–</w:t>
      </w:r>
      <w:r w:rsidRPr="00032DB8">
        <w:tab/>
        <w:t>med beaktande av kommissionens förslag till Europaparlamentets och rådets direktiv av den 27 april 2022 om skydd för personer som deltar i den offentliga debatten mot uppenbart ogrundade rättsprocesser och rättegångsmissbruk (strategiska rättsprocesser för att hindra offentlig debatt) (COM(2022)0177) (</w:t>
      </w:r>
      <w:r w:rsidRPr="00032DB8">
        <w:rPr>
          <w:i/>
          <w:iCs/>
        </w:rPr>
        <w:t>direktivet mot munkavleprocesser</w:t>
      </w:r>
      <w:r w:rsidRPr="00032DB8">
        <w:t>) och dess åtföljande rekommendation,</w:t>
      </w:r>
    </w:p>
    <w:p w14:paraId="49FB9D22" w14:textId="77777777" w:rsidR="00BF16A3" w:rsidRPr="00032DB8" w:rsidRDefault="00BF16A3" w:rsidP="00BF16A3">
      <w:pPr>
        <w:pStyle w:val="NormalHanging12a"/>
        <w:rPr>
          <w:szCs w:val="24"/>
        </w:rPr>
      </w:pPr>
      <w:r w:rsidRPr="00032DB8">
        <w:t>–</w:t>
      </w:r>
      <w:r w:rsidRPr="00032DB8">
        <w:tab/>
        <w:t>med beaktande av kommissionens förslag till Europaparlamentets och rådets förordning av den 16 september 2022 om fastställande av en gemensam ram för medietjänster på den inre marknaden (europeisk mediefrihetsakt) och om ändring av direktiv 2010/13/EU (COM(2022)0457), och dess åtföljande rekommendation om interna skyddsåtgärder för redaktionellt oberoende och insyn i ägandet inom mediesektorn</w:t>
      </w:r>
      <w:r w:rsidRPr="00032DB8">
        <w:rPr>
          <w:rStyle w:val="FootnoteReference"/>
        </w:rPr>
        <w:footnoteReference w:id="12"/>
      </w:r>
      <w:r w:rsidRPr="00032DB8">
        <w:t>,</w:t>
      </w:r>
    </w:p>
    <w:p w14:paraId="54C7FF76" w14:textId="77777777" w:rsidR="00BF16A3" w:rsidRPr="00032DB8" w:rsidRDefault="00BF16A3" w:rsidP="00BF16A3">
      <w:pPr>
        <w:pStyle w:val="NormalHanging12a"/>
      </w:pPr>
      <w:r w:rsidRPr="00032DB8">
        <w:t>–</w:t>
      </w:r>
      <w:r w:rsidRPr="00032DB8">
        <w:tab/>
        <w:t>med beaktande av kommissionens förslag till rådets direktiv av den 7 december 2022 om standarder för likabehandlingsorgan på området likabehandling av personer oavsett ras eller etniskt ursprung, likabehandling vad gäller anställning och yrke oavsett personers religion eller övertygelse, funktionshinder, ålder eller sexuella läggning, likabehandling av kvinnor och män i fråga om social trygghet och tillgång till och tillhandahållande av varor och tjänster och om strykning av artikel 13 i direktiv 2000/43/EG och artikel 12 i direktiv 2004/113/EG (COM(2022)0689),</w:t>
      </w:r>
    </w:p>
    <w:p w14:paraId="17A0311B" w14:textId="77777777" w:rsidR="00BF16A3" w:rsidRPr="00032DB8" w:rsidRDefault="00BF16A3" w:rsidP="00BF16A3">
      <w:pPr>
        <w:pStyle w:val="NormalHanging12a"/>
        <w:rPr>
          <w:szCs w:val="24"/>
        </w:rPr>
      </w:pPr>
      <w:r w:rsidRPr="00032DB8">
        <w:t>–</w:t>
      </w:r>
      <w:r w:rsidRPr="00032DB8">
        <w:tab/>
        <w:t>med beaktande av kommissionens förslag till rådets förordning av den 7 december 2022 om behörighet, tillämplig lag, erkännande av domar samt godkännande av officiella handlingar i samband med föräldraskap och om införande av ett europeiskt intyg om föräldraskap (COM(2022)0695),</w:t>
      </w:r>
    </w:p>
    <w:p w14:paraId="7788871C" w14:textId="77777777" w:rsidR="00BF16A3" w:rsidRPr="00032DB8" w:rsidRDefault="00BF16A3" w:rsidP="00BF16A3">
      <w:pPr>
        <w:pStyle w:val="NormalHanging12a"/>
      </w:pPr>
      <w:r w:rsidRPr="00032DB8">
        <w:t>–</w:t>
      </w:r>
      <w:r w:rsidRPr="00032DB8">
        <w:tab/>
        <w:t xml:space="preserve">med beaktande av kommissionens förslag till Europaparlamentets och rådets direktiv av den 7 december 2022 om standarder för likabehandlingsorgan på området </w:t>
      </w:r>
      <w:r w:rsidRPr="00032DB8">
        <w:lastRenderedPageBreak/>
        <w:t>likabehandling av och lika möjligheter för kvinnor och män i fråga om anställning och yrke och om strykning av artikel 20 i direktiv 2006/54/EG och artikel 11 i direktiv 2010/41/EU (COM(2022)0688),</w:t>
      </w:r>
    </w:p>
    <w:p w14:paraId="4BB4471D" w14:textId="77777777" w:rsidR="00BF16A3" w:rsidRPr="00032DB8" w:rsidRDefault="00BF16A3" w:rsidP="00BF16A3">
      <w:pPr>
        <w:pStyle w:val="NormalHanging12a"/>
        <w:widowControl/>
      </w:pPr>
      <w:r w:rsidRPr="00032DB8">
        <w:t>–</w:t>
      </w:r>
      <w:r w:rsidRPr="00032DB8">
        <w:tab/>
        <w:t xml:space="preserve">med beaktande av rapporterna från EU:s byrå för grundläggande rättigheter (FRA), särskilt rapporterna om de grundläggande rättigheterna för 2022 och 2023, inklusive </w:t>
      </w:r>
      <w:proofErr w:type="spellStart"/>
      <w:r w:rsidRPr="00032DB8">
        <w:t>Franets</w:t>
      </w:r>
      <w:proofErr w:type="spellEnd"/>
      <w:r w:rsidRPr="00032DB8">
        <w:t xml:space="preserve"> </w:t>
      </w:r>
      <w:proofErr w:type="spellStart"/>
      <w:r w:rsidRPr="00032DB8">
        <w:t>landsrapporter</w:t>
      </w:r>
      <w:proofErr w:type="spellEnd"/>
      <w:r w:rsidRPr="00032DB8">
        <w:t>,</w:t>
      </w:r>
    </w:p>
    <w:p w14:paraId="5E190CCF" w14:textId="77777777" w:rsidR="00BF16A3" w:rsidRPr="00032DB8" w:rsidRDefault="00BF16A3" w:rsidP="00BF16A3">
      <w:pPr>
        <w:pStyle w:val="NormalHanging12a"/>
      </w:pPr>
      <w:r w:rsidRPr="00032DB8">
        <w:t>–</w:t>
      </w:r>
      <w:r w:rsidRPr="00032DB8">
        <w:tab/>
        <w:t>med beaktande av den allmänna förklaringen om de mänskliga rättigheterna,</w:t>
      </w:r>
    </w:p>
    <w:p w14:paraId="020D42E9" w14:textId="77777777" w:rsidR="00BF16A3" w:rsidRPr="00032DB8" w:rsidRDefault="00BF16A3" w:rsidP="00BF16A3">
      <w:pPr>
        <w:pStyle w:val="NormalHanging12a"/>
      </w:pPr>
      <w:r w:rsidRPr="00032DB8">
        <w:t>–</w:t>
      </w:r>
      <w:r w:rsidRPr="00032DB8">
        <w:tab/>
        <w:t>med beaktande av FN:s instrument för skydd av de mänskliga rättigheterna och de grundläggande friheterna, däribland den internationella konventionen om medborgerliga och politiska rättigheter, den internationella konventionen om avskaffandet av alla former av rasdiskriminering, konventionen om avskaffande av all slags diskriminering av kvinnor och konventionen om rättigheter för personer med funktionsnedsättning, rekommendationerna och rapporterna från FN:s allmänna återkommande utvärdering, rättspraxis från FN:s konventionsorgan och människorättsrådets särskilda förfaranden,</w:t>
      </w:r>
    </w:p>
    <w:p w14:paraId="51CC92BA" w14:textId="77777777" w:rsidR="00BF16A3" w:rsidRPr="00032DB8" w:rsidRDefault="00BF16A3" w:rsidP="00BF16A3">
      <w:pPr>
        <w:pStyle w:val="NormalHanging12a"/>
      </w:pPr>
      <w:r w:rsidRPr="00032DB8">
        <w:t>–</w:t>
      </w:r>
      <w:r w:rsidRPr="00032DB8">
        <w:tab/>
        <w:t xml:space="preserve">med beaktande av FN:s Agenda 2030 för hållbar utveckling, </w:t>
      </w:r>
    </w:p>
    <w:p w14:paraId="3025B840" w14:textId="77777777" w:rsidR="00BF16A3" w:rsidRPr="00032DB8" w:rsidRDefault="00BF16A3" w:rsidP="00BF16A3">
      <w:pPr>
        <w:pStyle w:val="NormalHanging12a"/>
        <w:rPr>
          <w:szCs w:val="24"/>
        </w:rPr>
      </w:pPr>
      <w:r w:rsidRPr="00032DB8">
        <w:t>–</w:t>
      </w:r>
      <w:r w:rsidRPr="00032DB8">
        <w:tab/>
        <w:t xml:space="preserve">med beaktande av den europeiska konventionen om skydd för de mänskliga rättigheterna och de grundläggande friheterna och Europadomstolens rättspraxis, </w:t>
      </w:r>
    </w:p>
    <w:p w14:paraId="321A2F17" w14:textId="77777777" w:rsidR="00BF16A3" w:rsidRPr="00032DB8" w:rsidRDefault="00BF16A3" w:rsidP="00BF16A3">
      <w:pPr>
        <w:pStyle w:val="NormalHanging12a"/>
      </w:pPr>
      <w:r w:rsidRPr="00032DB8">
        <w:t>–</w:t>
      </w:r>
      <w:r w:rsidRPr="00032DB8">
        <w:tab/>
        <w:t>med beaktande av Europarådets konvention om förebyggande och bekämpning av våld mot kvinnor och våld i hemmet, som öppnades för undertecknande i Istanbul den 11 maj 2011 (</w:t>
      </w:r>
      <w:r w:rsidRPr="00032DB8">
        <w:rPr>
          <w:i/>
          <w:iCs/>
        </w:rPr>
        <w:t>Istanbulkonventionen</w:t>
      </w:r>
      <w:r w:rsidRPr="00032DB8">
        <w:t xml:space="preserve">) och ratificerades av Europeiska unionen den 28 juni 2023, </w:t>
      </w:r>
    </w:p>
    <w:p w14:paraId="318D55E8" w14:textId="77777777" w:rsidR="00BF16A3" w:rsidRPr="00032DB8" w:rsidRDefault="00BF16A3" w:rsidP="00BF16A3">
      <w:pPr>
        <w:pStyle w:val="NormalHanging12a"/>
        <w:rPr>
          <w:szCs w:val="24"/>
        </w:rPr>
      </w:pPr>
      <w:r w:rsidRPr="00032DB8">
        <w:t>–</w:t>
      </w:r>
      <w:r w:rsidRPr="00032DB8">
        <w:tab/>
        <w:t>med beaktande av rekommendationerna och rapporterna från kontoret för demokratiska institutioner och mänskliga rättigheter, Högkommissarien för nationella minoriteter samt andra organ inom Organisationen för säkerhet och samarbete i Europa (OSSE),</w:t>
      </w:r>
    </w:p>
    <w:p w14:paraId="162562E0" w14:textId="77777777" w:rsidR="00BF16A3" w:rsidRPr="00032DB8" w:rsidRDefault="00BF16A3" w:rsidP="00BF16A3">
      <w:pPr>
        <w:pStyle w:val="NormalHanging12a"/>
      </w:pPr>
      <w:r w:rsidRPr="00032DB8">
        <w:t>–</w:t>
      </w:r>
      <w:r w:rsidRPr="00032DB8">
        <w:tab/>
        <w:t xml:space="preserve">med beaktande av Europarådets rapport av den 23 mars 2023 </w:t>
      </w:r>
      <w:r w:rsidRPr="00032DB8">
        <w:rPr>
          <w:i/>
          <w:iCs/>
        </w:rPr>
        <w:t xml:space="preserve">Human </w:t>
      </w:r>
      <w:proofErr w:type="spellStart"/>
      <w:r w:rsidRPr="00032DB8">
        <w:rPr>
          <w:i/>
          <w:iCs/>
        </w:rPr>
        <w:t>Rights</w:t>
      </w:r>
      <w:proofErr w:type="spellEnd"/>
      <w:r w:rsidRPr="00032DB8">
        <w:rPr>
          <w:i/>
          <w:iCs/>
        </w:rPr>
        <w:t xml:space="preserve"> </w:t>
      </w:r>
      <w:proofErr w:type="spellStart"/>
      <w:r w:rsidRPr="00032DB8">
        <w:rPr>
          <w:i/>
          <w:iCs/>
        </w:rPr>
        <w:t>Defenders</w:t>
      </w:r>
      <w:proofErr w:type="spellEnd"/>
      <w:r w:rsidRPr="00032DB8">
        <w:rPr>
          <w:i/>
          <w:iCs/>
        </w:rPr>
        <w:t xml:space="preserve"> in the Council </w:t>
      </w:r>
      <w:proofErr w:type="spellStart"/>
      <w:r w:rsidRPr="00032DB8">
        <w:rPr>
          <w:i/>
          <w:iCs/>
        </w:rPr>
        <w:t>of</w:t>
      </w:r>
      <w:proofErr w:type="spellEnd"/>
      <w:r w:rsidRPr="00032DB8">
        <w:rPr>
          <w:i/>
          <w:iCs/>
        </w:rPr>
        <w:t xml:space="preserve"> </w:t>
      </w:r>
      <w:proofErr w:type="spellStart"/>
      <w:r w:rsidRPr="00032DB8">
        <w:rPr>
          <w:i/>
          <w:iCs/>
        </w:rPr>
        <w:t>Europe</w:t>
      </w:r>
      <w:proofErr w:type="spellEnd"/>
      <w:r w:rsidRPr="00032DB8">
        <w:rPr>
          <w:i/>
          <w:iCs/>
        </w:rPr>
        <w:t xml:space="preserve"> Area in Times </w:t>
      </w:r>
      <w:proofErr w:type="spellStart"/>
      <w:r w:rsidRPr="00032DB8">
        <w:rPr>
          <w:i/>
          <w:iCs/>
        </w:rPr>
        <w:t>of</w:t>
      </w:r>
      <w:proofErr w:type="spellEnd"/>
      <w:r w:rsidRPr="00032DB8">
        <w:rPr>
          <w:i/>
          <w:iCs/>
        </w:rPr>
        <w:t xml:space="preserve"> </w:t>
      </w:r>
      <w:proofErr w:type="spellStart"/>
      <w:r w:rsidRPr="00032DB8">
        <w:rPr>
          <w:i/>
          <w:iCs/>
        </w:rPr>
        <w:t>Crises</w:t>
      </w:r>
      <w:proofErr w:type="spellEnd"/>
      <w:r w:rsidRPr="00032DB8">
        <w:t xml:space="preserve"> efter det rundabordssamtal med människorättsförsvarare som anordnades av Europarådets kommissarie för mänskliga rättigheter i Dublin den 24–25 oktober 2022</w:t>
      </w:r>
      <w:r w:rsidRPr="00032DB8">
        <w:rPr>
          <w:rStyle w:val="FootnoteReference"/>
        </w:rPr>
        <w:footnoteReference w:id="13"/>
      </w:r>
      <w:r w:rsidRPr="00032DB8">
        <w:t>,</w:t>
      </w:r>
    </w:p>
    <w:p w14:paraId="334EEAB1" w14:textId="77777777" w:rsidR="00BF16A3" w:rsidRPr="00032DB8" w:rsidRDefault="00BF16A3" w:rsidP="00BF16A3">
      <w:pPr>
        <w:pStyle w:val="NormalHanging12a"/>
        <w:rPr>
          <w:szCs w:val="24"/>
        </w:rPr>
      </w:pPr>
      <w:r w:rsidRPr="00032DB8">
        <w:t>–</w:t>
      </w:r>
      <w:r w:rsidRPr="00032DB8">
        <w:tab/>
        <w:t xml:space="preserve">med beaktande av Europarådets ramkonvention om skydd för nationella minoriteter samt den europeiska stadgan om landsdels- eller minoritetsspråk, </w:t>
      </w:r>
    </w:p>
    <w:p w14:paraId="758E4E6E" w14:textId="77777777" w:rsidR="00BF16A3" w:rsidRPr="00032DB8" w:rsidRDefault="00BF16A3" w:rsidP="00BF16A3">
      <w:pPr>
        <w:pStyle w:val="NormalHanging12a"/>
        <w:rPr>
          <w:szCs w:val="24"/>
        </w:rPr>
      </w:pPr>
      <w:r w:rsidRPr="00032DB8">
        <w:t>–</w:t>
      </w:r>
      <w:r w:rsidRPr="00032DB8">
        <w:tab/>
        <w:t>med beaktande av Europarådets europeiska sociala stadga,</w:t>
      </w:r>
    </w:p>
    <w:p w14:paraId="6F63D2C3" w14:textId="77777777" w:rsidR="00BF16A3" w:rsidRPr="00032DB8" w:rsidRDefault="00BF16A3" w:rsidP="00BF16A3">
      <w:pPr>
        <w:pStyle w:val="NormalHanging12a"/>
        <w:rPr>
          <w:szCs w:val="24"/>
        </w:rPr>
      </w:pPr>
      <w:r w:rsidRPr="00032DB8">
        <w:t>–</w:t>
      </w:r>
      <w:r w:rsidRPr="00032DB8">
        <w:tab/>
        <w:t>med beaktande av uttalandena, rekommendationerna och rapporterna från Europarådets kommissarie för mänskliga rättigheter,</w:t>
      </w:r>
    </w:p>
    <w:p w14:paraId="639965F8" w14:textId="77777777" w:rsidR="00BF16A3" w:rsidRPr="00032DB8" w:rsidRDefault="00BF16A3" w:rsidP="00BF16A3">
      <w:pPr>
        <w:pStyle w:val="NormalHanging12a"/>
        <w:rPr>
          <w:szCs w:val="24"/>
        </w:rPr>
      </w:pPr>
      <w:r w:rsidRPr="00032DB8">
        <w:t>–</w:t>
      </w:r>
      <w:r w:rsidRPr="00032DB8">
        <w:tab/>
        <w:t xml:space="preserve">med beaktande av Europarådets rekommendationer och rapporter, särskilt Venedigkommissionen, Europeiska kommissionen mot rasism och intolerans (ECRI), </w:t>
      </w:r>
      <w:proofErr w:type="spellStart"/>
      <w:r w:rsidRPr="00032DB8">
        <w:t>Grevio</w:t>
      </w:r>
      <w:proofErr w:type="spellEnd"/>
      <w:r w:rsidRPr="00032DB8">
        <w:t xml:space="preserve"> och </w:t>
      </w:r>
      <w:proofErr w:type="spellStart"/>
      <w:r w:rsidRPr="00032DB8">
        <w:t>Greco</w:t>
      </w:r>
      <w:proofErr w:type="spellEnd"/>
      <w:r w:rsidRPr="00032DB8">
        <w:t>,</w:t>
      </w:r>
    </w:p>
    <w:p w14:paraId="0EE9C0ED" w14:textId="77777777" w:rsidR="00BF16A3" w:rsidRPr="00032DB8" w:rsidRDefault="00BF16A3" w:rsidP="00BF16A3">
      <w:pPr>
        <w:pStyle w:val="NormalHanging12a"/>
        <w:widowControl/>
        <w:rPr>
          <w:szCs w:val="24"/>
        </w:rPr>
      </w:pPr>
      <w:r w:rsidRPr="00032DB8">
        <w:lastRenderedPageBreak/>
        <w:t>–</w:t>
      </w:r>
      <w:r w:rsidRPr="00032DB8">
        <w:tab/>
        <w:t>med beaktande av sin resolution av den 13 november 2018 om minimistandarder för minoriteter i EU</w:t>
      </w:r>
      <w:r w:rsidRPr="00032DB8">
        <w:rPr>
          <w:rStyle w:val="FootnoteReference"/>
        </w:rPr>
        <w:footnoteReference w:id="14"/>
      </w:r>
      <w:r w:rsidRPr="00032DB8">
        <w:t>,</w:t>
      </w:r>
    </w:p>
    <w:p w14:paraId="389AF1CE" w14:textId="77777777" w:rsidR="00BF16A3" w:rsidRPr="00032DB8" w:rsidRDefault="00BF16A3" w:rsidP="00BF16A3">
      <w:pPr>
        <w:pStyle w:val="NormalHanging12a"/>
        <w:rPr>
          <w:szCs w:val="24"/>
        </w:rPr>
      </w:pPr>
      <w:r w:rsidRPr="00032DB8">
        <w:t>–</w:t>
      </w:r>
      <w:r w:rsidRPr="00032DB8">
        <w:tab/>
        <w:t>med beaktande av sin resolution av den 15 januari 2019 om jämställdhet och skattepolitik i EU</w:t>
      </w:r>
      <w:r w:rsidRPr="00032DB8">
        <w:rPr>
          <w:rStyle w:val="FootnoteReference"/>
        </w:rPr>
        <w:footnoteReference w:id="15"/>
      </w:r>
      <w:r w:rsidRPr="00032DB8">
        <w:t>,</w:t>
      </w:r>
    </w:p>
    <w:p w14:paraId="2B3B3E09" w14:textId="77777777" w:rsidR="00BF16A3" w:rsidRPr="00032DB8" w:rsidRDefault="00BF16A3" w:rsidP="00BF16A3">
      <w:pPr>
        <w:pStyle w:val="NormalHanging12a"/>
      </w:pPr>
      <w:r w:rsidRPr="00032DB8">
        <w:t>–</w:t>
      </w:r>
      <w:r w:rsidRPr="00032DB8">
        <w:tab/>
        <w:t>med beaktande av sin resolution av den 11 november 2021 om stärkande av demokratin och mediernas frihet och mångfald i EU: otillbörlig användning av civil- och straffrättsliga åtgärder för att tysta journalister, icke-statliga organisationer och det civila samhället</w:t>
      </w:r>
      <w:r w:rsidRPr="00032DB8">
        <w:rPr>
          <w:rStyle w:val="FootnoteReference"/>
        </w:rPr>
        <w:footnoteReference w:id="16"/>
      </w:r>
      <w:r w:rsidRPr="00032DB8">
        <w:t>,</w:t>
      </w:r>
    </w:p>
    <w:p w14:paraId="1AC79CB7" w14:textId="77777777" w:rsidR="00BF16A3" w:rsidRPr="00032DB8" w:rsidRDefault="00BF16A3" w:rsidP="00BF16A3">
      <w:pPr>
        <w:pStyle w:val="NormalHanging12a"/>
      </w:pPr>
      <w:r w:rsidRPr="00032DB8">
        <w:t>–</w:t>
      </w:r>
      <w:r w:rsidRPr="00032DB8">
        <w:tab/>
        <w:t xml:space="preserve">med beaktande av sin resolution av den 15 december 2021 om utvärdering av förebyggande åtgärder mot korruption, oriktiga utgifter och missbruk av EU-medel och nationella medel i samband med medel för nödåtgärder och </w:t>
      </w:r>
      <w:proofErr w:type="spellStart"/>
      <w:r w:rsidRPr="00032DB8">
        <w:t>krisrelaterade</w:t>
      </w:r>
      <w:proofErr w:type="spellEnd"/>
      <w:r w:rsidRPr="00032DB8">
        <w:t xml:space="preserve"> utgiftsområden</w:t>
      </w:r>
      <w:r w:rsidRPr="00032DB8">
        <w:rPr>
          <w:rStyle w:val="FootnoteReference"/>
        </w:rPr>
        <w:footnoteReference w:id="17"/>
      </w:r>
      <w:r w:rsidRPr="00032DB8">
        <w:t>,</w:t>
      </w:r>
    </w:p>
    <w:p w14:paraId="76D3C9DB" w14:textId="77777777" w:rsidR="00BF16A3" w:rsidRPr="00032DB8" w:rsidRDefault="00BF16A3" w:rsidP="00BF16A3">
      <w:pPr>
        <w:pStyle w:val="NormalHanging12a"/>
      </w:pPr>
      <w:r w:rsidRPr="00032DB8">
        <w:t>–</w:t>
      </w:r>
      <w:r w:rsidRPr="00032DB8">
        <w:tab/>
        <w:t>med beaktande av sin resolution av den 17 februari 2022 med rekommendationer till kommissionen om en stadga för europeiska gränsöverskridande sammanslutningar och ideella organisationer</w:t>
      </w:r>
      <w:r w:rsidRPr="00032DB8">
        <w:rPr>
          <w:rStyle w:val="FootnoteReference"/>
        </w:rPr>
        <w:footnoteReference w:id="18"/>
      </w:r>
      <w:r w:rsidRPr="00032DB8">
        <w:t>,</w:t>
      </w:r>
    </w:p>
    <w:p w14:paraId="35F3CB4C" w14:textId="77777777" w:rsidR="00BF16A3" w:rsidRPr="00032DB8" w:rsidRDefault="00BF16A3" w:rsidP="00BF16A3">
      <w:pPr>
        <w:pStyle w:val="NormalHanging12a"/>
      </w:pPr>
      <w:r w:rsidRPr="00032DB8">
        <w:t>–</w:t>
      </w:r>
      <w:r w:rsidRPr="00032DB8">
        <w:tab/>
        <w:t>med beaktande av sin resolution av den 8 mars 2022 om det krympande utrymmet för det civila samhället i Europa</w:t>
      </w:r>
      <w:r w:rsidRPr="00032DB8">
        <w:rPr>
          <w:rStyle w:val="FootnoteReference"/>
        </w:rPr>
        <w:footnoteReference w:id="19"/>
      </w:r>
      <w:r w:rsidRPr="00032DB8">
        <w:t>,</w:t>
      </w:r>
    </w:p>
    <w:p w14:paraId="64CAFC72" w14:textId="77777777" w:rsidR="00BF16A3" w:rsidRPr="00032DB8" w:rsidRDefault="00BF16A3" w:rsidP="00BF16A3">
      <w:pPr>
        <w:pStyle w:val="NormalHanging12a"/>
      </w:pPr>
      <w:r w:rsidRPr="00032DB8">
        <w:t>–</w:t>
      </w:r>
      <w:r w:rsidRPr="00032DB8">
        <w:tab/>
        <w:t>med beaktande av sin resolution av den 10 mars 2022 om rättsstatsprincipen och konsekvenserna av EU-domstolens dom</w:t>
      </w:r>
      <w:r w:rsidRPr="00032DB8">
        <w:rPr>
          <w:rStyle w:val="FootnoteReference"/>
        </w:rPr>
        <w:footnoteReference w:id="20"/>
      </w:r>
      <w:r w:rsidRPr="00032DB8">
        <w:t>,</w:t>
      </w:r>
    </w:p>
    <w:p w14:paraId="5A439973" w14:textId="77777777" w:rsidR="00BF16A3" w:rsidRPr="00032DB8" w:rsidRDefault="00BF16A3" w:rsidP="00BF16A3">
      <w:pPr>
        <w:pStyle w:val="NormalHanging12a"/>
      </w:pPr>
      <w:r w:rsidRPr="00032DB8">
        <w:t>–</w:t>
      </w:r>
      <w:r w:rsidRPr="00032DB8">
        <w:tab/>
        <w:t>med beaktande av sin resolution av den 9 juni 2022 om rättsstatsprincipen och det potentiella godkännandet av Polens nationella återhämtningsplan</w:t>
      </w:r>
      <w:r w:rsidRPr="00032DB8">
        <w:rPr>
          <w:rStyle w:val="FootnoteReference"/>
        </w:rPr>
        <w:footnoteReference w:id="21"/>
      </w:r>
      <w:r w:rsidRPr="00032DB8">
        <w:t>,</w:t>
      </w:r>
    </w:p>
    <w:p w14:paraId="6E62AA2A" w14:textId="77777777" w:rsidR="00BF16A3" w:rsidRPr="00032DB8" w:rsidRDefault="00BF16A3" w:rsidP="00BF16A3">
      <w:pPr>
        <w:pStyle w:val="NormalHanging12a"/>
      </w:pPr>
      <w:r w:rsidRPr="00032DB8">
        <w:t>–</w:t>
      </w:r>
      <w:r w:rsidRPr="00032DB8">
        <w:tab/>
        <w:t xml:space="preserve">med beaktande av sin resolution av den 6 juli 2022 om </w:t>
      </w:r>
      <w:proofErr w:type="spellStart"/>
      <w:r w:rsidRPr="00032DB8">
        <w:t>intersektionell</w:t>
      </w:r>
      <w:proofErr w:type="spellEnd"/>
      <w:r w:rsidRPr="00032DB8">
        <w:t xml:space="preserve"> diskriminering i Europeiska unionen: den socioekonomiska situationen för kvinnor med härkomst i Afrika, Mellanöstern, Latinamerika och Asien</w:t>
      </w:r>
      <w:r w:rsidRPr="00032DB8">
        <w:rPr>
          <w:rStyle w:val="FootnoteReference"/>
        </w:rPr>
        <w:footnoteReference w:id="22"/>
      </w:r>
      <w:r w:rsidRPr="00032DB8">
        <w:t>,</w:t>
      </w:r>
    </w:p>
    <w:p w14:paraId="5A2701D8" w14:textId="77777777" w:rsidR="00BF16A3" w:rsidRPr="00032DB8" w:rsidRDefault="00BF16A3" w:rsidP="00BF16A3">
      <w:pPr>
        <w:pStyle w:val="NormalHanging12a"/>
      </w:pPr>
      <w:r w:rsidRPr="00032DB8">
        <w:t>–</w:t>
      </w:r>
      <w:r w:rsidRPr="00032DB8">
        <w:tab/>
        <w:t>med beaktande av sin resolution av den 15 september 2022 om förslaget till rådets beslut om att enligt artikel 7.1 i fördraget om Europeiska unionen fastställa huruvida det finns en klar risk för att Ungern allvarligt åsidosätter unionens värden</w:t>
      </w:r>
      <w:r w:rsidRPr="00032DB8">
        <w:rPr>
          <w:rStyle w:val="FootnoteReference"/>
        </w:rPr>
        <w:footnoteReference w:id="23"/>
      </w:r>
      <w:r w:rsidRPr="00032DB8">
        <w:t>,</w:t>
      </w:r>
    </w:p>
    <w:p w14:paraId="257EAD96" w14:textId="77777777" w:rsidR="00BF16A3" w:rsidRPr="00032DB8" w:rsidRDefault="00BF16A3" w:rsidP="00BF16A3">
      <w:pPr>
        <w:pStyle w:val="NormalHanging12a"/>
      </w:pPr>
      <w:r w:rsidRPr="00032DB8">
        <w:t>–</w:t>
      </w:r>
      <w:r w:rsidRPr="00032DB8">
        <w:tab/>
        <w:t>med beaktande av sin resolution av den 5 oktober 2022 om situationen för romer som lever i bosättningar i EU</w:t>
      </w:r>
      <w:r w:rsidRPr="00032DB8">
        <w:rPr>
          <w:rStyle w:val="FootnoteReference"/>
        </w:rPr>
        <w:footnoteReference w:id="24"/>
      </w:r>
      <w:r w:rsidRPr="00032DB8">
        <w:t>,</w:t>
      </w:r>
    </w:p>
    <w:p w14:paraId="07D61F79" w14:textId="77777777" w:rsidR="00BF16A3" w:rsidRPr="00032DB8" w:rsidRDefault="00BF16A3" w:rsidP="00BF16A3">
      <w:pPr>
        <w:pStyle w:val="NormalHanging12a"/>
      </w:pPr>
      <w:r w:rsidRPr="00032DB8">
        <w:lastRenderedPageBreak/>
        <w:t>–</w:t>
      </w:r>
      <w:r w:rsidRPr="00032DB8">
        <w:tab/>
        <w:t>med beaktande av sin resolution av den 15 december 2022 om misstankar mot Qatar angående korruption och det generella behovet av transparens och ansvarsskyldighet i EU:s institutioner</w:t>
      </w:r>
      <w:r w:rsidRPr="00032DB8">
        <w:rPr>
          <w:rStyle w:val="FootnoteReference"/>
        </w:rPr>
        <w:footnoteReference w:id="25"/>
      </w:r>
      <w:r w:rsidRPr="00032DB8">
        <w:t>,</w:t>
      </w:r>
    </w:p>
    <w:p w14:paraId="3C821F7A" w14:textId="77777777" w:rsidR="00BF16A3" w:rsidRPr="00032DB8" w:rsidRDefault="00BF16A3" w:rsidP="00BF16A3">
      <w:pPr>
        <w:pStyle w:val="NormalHanging12a"/>
      </w:pPr>
      <w:r w:rsidRPr="00032DB8">
        <w:t>–</w:t>
      </w:r>
      <w:r w:rsidRPr="00032DB8">
        <w:tab/>
        <w:t>med beaktande av sin resolution av den 7 juli 2022 om beslutet från Förenta staternas högsta domstol att upphäva aborträtten i USA och behovet att skydda aborträtten och kvinnors hälsa i EU</w:t>
      </w:r>
      <w:r w:rsidRPr="00032DB8">
        <w:rPr>
          <w:rStyle w:val="FootnoteReference"/>
        </w:rPr>
        <w:footnoteReference w:id="26"/>
      </w:r>
      <w:r w:rsidRPr="00032DB8">
        <w:t>,</w:t>
      </w:r>
    </w:p>
    <w:p w14:paraId="66FE5FD6" w14:textId="77777777" w:rsidR="00BF16A3" w:rsidRPr="00032DB8" w:rsidRDefault="00BF16A3" w:rsidP="00BF16A3">
      <w:pPr>
        <w:pStyle w:val="NormalHanging12a"/>
      </w:pPr>
      <w:r w:rsidRPr="00032DB8">
        <w:t>–</w:t>
      </w:r>
      <w:r w:rsidRPr="00032DB8">
        <w:tab/>
        <w:t>med beaktande av sin resolution av den 3 maj 2022 om förföljelse av minoriteter på grund av trosuppfattning eller religion</w:t>
      </w:r>
      <w:r w:rsidRPr="00032DB8">
        <w:rPr>
          <w:rStyle w:val="FootnoteReference"/>
        </w:rPr>
        <w:footnoteReference w:id="27"/>
      </w:r>
      <w:r w:rsidRPr="00032DB8">
        <w:t>,</w:t>
      </w:r>
    </w:p>
    <w:p w14:paraId="47AF90C0" w14:textId="77777777" w:rsidR="00BF16A3" w:rsidRPr="00032DB8" w:rsidRDefault="00BF16A3" w:rsidP="00BF16A3">
      <w:pPr>
        <w:pStyle w:val="NormalHanging12a"/>
      </w:pPr>
      <w:r w:rsidRPr="00032DB8">
        <w:t>–</w:t>
      </w:r>
      <w:r w:rsidRPr="00032DB8">
        <w:tab/>
        <w:t>med beaktande av sin resolution av den 5 maj 2022 om de pågående utfrågningarna inom ramen för artikel 7.1 i EU-fördraget: Polen och Ungern</w:t>
      </w:r>
      <w:r w:rsidRPr="00032DB8">
        <w:rPr>
          <w:rStyle w:val="FootnoteReference"/>
        </w:rPr>
        <w:footnoteReference w:id="28"/>
      </w:r>
      <w:r w:rsidRPr="00032DB8">
        <w:t>,</w:t>
      </w:r>
    </w:p>
    <w:p w14:paraId="3550E0D4" w14:textId="77777777" w:rsidR="00BF16A3" w:rsidRPr="00032DB8" w:rsidRDefault="00BF16A3" w:rsidP="00BF16A3">
      <w:pPr>
        <w:pStyle w:val="NormalHanging12a"/>
        <w:rPr>
          <w:szCs w:val="24"/>
        </w:rPr>
      </w:pPr>
      <w:r w:rsidRPr="00032DB8">
        <w:t>–</w:t>
      </w:r>
      <w:r w:rsidRPr="00032DB8">
        <w:tab/>
        <w:t>med beaktande av sitt beslut (EU) 2023/325 av den 18 oktober 2022 om ansvarsfrihet för genomförandet av budgeten för Europeiska gräns- och kustbevakningsbyrån (</w:t>
      </w:r>
      <w:proofErr w:type="spellStart"/>
      <w:r w:rsidRPr="00032DB8">
        <w:t>Frontex</w:t>
      </w:r>
      <w:proofErr w:type="spellEnd"/>
      <w:r w:rsidRPr="00032DB8">
        <w:t>) för budgetåret 2020</w:t>
      </w:r>
      <w:r w:rsidRPr="00032DB8">
        <w:rPr>
          <w:vertAlign w:val="superscript"/>
        </w:rPr>
        <w:footnoteReference w:id="29"/>
      </w:r>
      <w:r w:rsidRPr="00032DB8">
        <w:t>,</w:t>
      </w:r>
    </w:p>
    <w:p w14:paraId="7ACDFF00" w14:textId="77777777" w:rsidR="00BF16A3" w:rsidRPr="00032DB8" w:rsidRDefault="00BF16A3" w:rsidP="00BF16A3">
      <w:pPr>
        <w:pStyle w:val="NormalHanging12a"/>
        <w:rPr>
          <w:szCs w:val="24"/>
        </w:rPr>
      </w:pPr>
      <w:r w:rsidRPr="00032DB8">
        <w:t>–</w:t>
      </w:r>
      <w:r w:rsidRPr="00032DB8">
        <w:tab/>
        <w:t xml:space="preserve">med beaktande av sin resolution av den 20 oktober 2022 om ökande hatbrott mot </w:t>
      </w:r>
      <w:proofErr w:type="spellStart"/>
      <w:r w:rsidRPr="00032DB8">
        <w:t>hbtqi</w:t>
      </w:r>
      <w:proofErr w:type="spellEnd"/>
      <w:r w:rsidRPr="00032DB8">
        <w:noBreakHyphen/>
        <w:t>personer i Europa i ljuset av det homofobiska mordet nyligen i Slovakien</w:t>
      </w:r>
      <w:r w:rsidRPr="00032DB8">
        <w:rPr>
          <w:vertAlign w:val="superscript"/>
        </w:rPr>
        <w:footnoteReference w:id="30"/>
      </w:r>
      <w:r w:rsidRPr="00032DB8">
        <w:t>,</w:t>
      </w:r>
    </w:p>
    <w:p w14:paraId="4BBCA8F9" w14:textId="77777777" w:rsidR="00BF16A3" w:rsidRPr="00032DB8" w:rsidRDefault="00BF16A3" w:rsidP="00BF16A3">
      <w:pPr>
        <w:pStyle w:val="NormalHanging12a"/>
        <w:rPr>
          <w:szCs w:val="24"/>
        </w:rPr>
      </w:pPr>
      <w:r w:rsidRPr="00032DB8">
        <w:t>–</w:t>
      </w:r>
      <w:r w:rsidRPr="00032DB8">
        <w:tab/>
        <w:t>med beaktande av sin resolution av den 10 november 2022 om rättvisa oavsett ras, icke</w:t>
      </w:r>
      <w:r w:rsidRPr="00032DB8">
        <w:noBreakHyphen/>
        <w:t>diskriminering och antirasism i EU</w:t>
      </w:r>
      <w:r w:rsidRPr="00032DB8">
        <w:rPr>
          <w:rStyle w:val="FootnoteReference"/>
        </w:rPr>
        <w:footnoteReference w:id="31"/>
      </w:r>
      <w:r w:rsidRPr="00032DB8">
        <w:t>,</w:t>
      </w:r>
    </w:p>
    <w:p w14:paraId="1FAB299B" w14:textId="77777777" w:rsidR="00BF16A3" w:rsidRPr="00032DB8" w:rsidRDefault="00BF16A3" w:rsidP="00BF16A3">
      <w:pPr>
        <w:pStyle w:val="NormalHanging12a"/>
        <w:rPr>
          <w:szCs w:val="24"/>
        </w:rPr>
      </w:pPr>
      <w:r w:rsidRPr="00032DB8">
        <w:t>–</w:t>
      </w:r>
      <w:r w:rsidRPr="00032DB8">
        <w:tab/>
        <w:t>med beaktande av sin resolution av den 13 december 2022 om lika rättigheter för personer med funktionsnedsättning</w:t>
      </w:r>
      <w:r w:rsidRPr="00032DB8">
        <w:rPr>
          <w:vertAlign w:val="superscript"/>
        </w:rPr>
        <w:footnoteReference w:id="32"/>
      </w:r>
      <w:r w:rsidRPr="00032DB8">
        <w:t>,</w:t>
      </w:r>
    </w:p>
    <w:p w14:paraId="0467EE49" w14:textId="77777777" w:rsidR="00BF16A3" w:rsidRPr="00032DB8" w:rsidRDefault="00BF16A3" w:rsidP="00BF16A3">
      <w:pPr>
        <w:pStyle w:val="NormalHanging12a"/>
      </w:pPr>
      <w:r w:rsidRPr="00032DB8">
        <w:t>–</w:t>
      </w:r>
      <w:r w:rsidRPr="00032DB8">
        <w:tab/>
        <w:t>med beaktande av sin resolution av den 19 april 2023 om bekämpning av diskriminering i EU – det sedan länge emotsedda övergripande antidiskrimineringsdirektivet</w:t>
      </w:r>
      <w:r w:rsidRPr="00032DB8">
        <w:rPr>
          <w:rStyle w:val="FootnoteReference"/>
        </w:rPr>
        <w:footnoteReference w:id="33"/>
      </w:r>
      <w:r w:rsidRPr="00032DB8">
        <w:t>,</w:t>
      </w:r>
    </w:p>
    <w:p w14:paraId="222D2B3B" w14:textId="77777777" w:rsidR="00BF16A3" w:rsidRPr="00032DB8" w:rsidRDefault="00BF16A3" w:rsidP="00BF16A3">
      <w:pPr>
        <w:pStyle w:val="NormalHanging12a"/>
        <w:rPr>
          <w:szCs w:val="24"/>
        </w:rPr>
      </w:pPr>
      <w:r w:rsidRPr="00032DB8">
        <w:t>–</w:t>
      </w:r>
      <w:r w:rsidRPr="00032DB8">
        <w:tab/>
        <w:t>med beaktande av sin ståndpunkt av den 10 maj 2023 om utkastet till rådets beslut om ingående på Europeiska unionens vägnar av Europarådets konvention om förebyggande och bekämpning av våld mot kvinnor och av våld i hemmet vad gäller unionens institutioner och offentliga förvaltning</w:t>
      </w:r>
      <w:r w:rsidRPr="00032DB8">
        <w:rPr>
          <w:rStyle w:val="FootnoteReference"/>
        </w:rPr>
        <w:footnoteReference w:id="34"/>
      </w:r>
      <w:r w:rsidRPr="00032DB8">
        <w:t xml:space="preserve"> samt vad avser frågor som rör straffrättsligt samarbete, asyl och non-</w:t>
      </w:r>
      <w:proofErr w:type="spellStart"/>
      <w:r w:rsidRPr="00032DB8">
        <w:t>refoulement</w:t>
      </w:r>
      <w:proofErr w:type="spellEnd"/>
      <w:r w:rsidRPr="00032DB8">
        <w:t>,</w:t>
      </w:r>
    </w:p>
    <w:p w14:paraId="39E03F90" w14:textId="77777777" w:rsidR="00BF16A3" w:rsidRPr="00032DB8" w:rsidRDefault="00BF16A3" w:rsidP="00BF16A3">
      <w:pPr>
        <w:pStyle w:val="NormalHanging12a"/>
      </w:pPr>
      <w:r w:rsidRPr="00032DB8">
        <w:t>–</w:t>
      </w:r>
      <w:r w:rsidRPr="00032DB8">
        <w:tab/>
        <w:t>med beaktande av sin resolution av den 11 maj 2023 om huruvida ett adekvat skydd säkerställs genom ramen för dataskydd mellan EU och USA</w:t>
      </w:r>
      <w:r w:rsidRPr="00032DB8">
        <w:rPr>
          <w:rStyle w:val="FootnoteReference"/>
          <w:szCs w:val="24"/>
        </w:rPr>
        <w:footnoteReference w:id="35"/>
      </w:r>
      <w:r w:rsidRPr="00032DB8">
        <w:t>,</w:t>
      </w:r>
    </w:p>
    <w:p w14:paraId="6AF35BF0" w14:textId="77777777" w:rsidR="00BF16A3" w:rsidRPr="00032DB8" w:rsidRDefault="00BF16A3" w:rsidP="00BF16A3">
      <w:pPr>
        <w:pStyle w:val="NormalHanging12a"/>
        <w:rPr>
          <w:szCs w:val="24"/>
        </w:rPr>
      </w:pPr>
      <w:r w:rsidRPr="00032DB8">
        <w:t>–</w:t>
      </w:r>
      <w:r w:rsidRPr="00032DB8">
        <w:tab/>
        <w:t xml:space="preserve">med beaktande av betänkandet och rekommendationen av den 22 maj 2023 om </w:t>
      </w:r>
      <w:r w:rsidRPr="00032DB8">
        <w:lastRenderedPageBreak/>
        <w:t xml:space="preserve">utredningen av påstådda överträdelser och missförhållanden vid tillämpningen av unionsrätten i fråga om användningen av Pegasus och liknande spionprogram, </w:t>
      </w:r>
    </w:p>
    <w:p w14:paraId="151B0438" w14:textId="77777777" w:rsidR="00BF16A3" w:rsidRPr="00032DB8" w:rsidRDefault="00BF16A3" w:rsidP="00BF16A3">
      <w:pPr>
        <w:pStyle w:val="NormalHanging12a"/>
        <w:rPr>
          <w:szCs w:val="24"/>
        </w:rPr>
      </w:pPr>
      <w:r w:rsidRPr="00032DB8">
        <w:t>–</w:t>
      </w:r>
      <w:r w:rsidRPr="00032DB8">
        <w:tab/>
        <w:t>med beaktande av sin resolution av den 1 juni 2023 om åsidosättanden av rättsstatsprincipen och de grundläggande rättigheterna i Ungern – frysning av EU</w:t>
      </w:r>
      <w:r w:rsidRPr="00032DB8">
        <w:noBreakHyphen/>
        <w:t>medel</w:t>
      </w:r>
      <w:r w:rsidRPr="00032DB8">
        <w:rPr>
          <w:rStyle w:val="FootnoteReference"/>
        </w:rPr>
        <w:footnoteReference w:id="36"/>
      </w:r>
      <w:r w:rsidRPr="00032DB8">
        <w:t>,</w:t>
      </w:r>
    </w:p>
    <w:p w14:paraId="487D9FE6" w14:textId="77777777" w:rsidR="00BF16A3" w:rsidRPr="00032DB8" w:rsidRDefault="00BF16A3" w:rsidP="00BF16A3">
      <w:pPr>
        <w:pStyle w:val="NormalHanging12a"/>
        <w:rPr>
          <w:szCs w:val="24"/>
        </w:rPr>
      </w:pPr>
      <w:r w:rsidRPr="00032DB8">
        <w:t>–</w:t>
      </w:r>
      <w:r w:rsidRPr="00032DB8">
        <w:tab/>
        <w:t>med beaktande av sin resolution av den 13 juli 2023 om allmänhetens tillgång till handlingar – årsrapport för åren 2019–2021</w:t>
      </w:r>
      <w:r w:rsidRPr="00032DB8">
        <w:rPr>
          <w:rStyle w:val="FootnoteReference"/>
        </w:rPr>
        <w:footnoteReference w:id="37"/>
      </w:r>
      <w:r w:rsidRPr="00032DB8">
        <w:t xml:space="preserve">, </w:t>
      </w:r>
    </w:p>
    <w:p w14:paraId="166C264E" w14:textId="77777777" w:rsidR="00BF16A3" w:rsidRPr="00032DB8" w:rsidRDefault="00BF16A3" w:rsidP="00BF16A3">
      <w:pPr>
        <w:pStyle w:val="NormalHanging12a"/>
        <w:rPr>
          <w:szCs w:val="24"/>
        </w:rPr>
      </w:pPr>
      <w:r w:rsidRPr="00032DB8">
        <w:t>–</w:t>
      </w:r>
      <w:r w:rsidRPr="00032DB8">
        <w:tab/>
        <w:t>med beaktande av sin resolution av den 4 oktober 2023 om segregering och diskriminering av romska barn inom utbildningsväsendet</w:t>
      </w:r>
      <w:r w:rsidRPr="00032DB8">
        <w:rPr>
          <w:rStyle w:val="FootnoteReference"/>
        </w:rPr>
        <w:footnoteReference w:id="38"/>
      </w:r>
      <w:r w:rsidRPr="00032DB8">
        <w:t>,</w:t>
      </w:r>
    </w:p>
    <w:p w14:paraId="4E063974" w14:textId="77777777" w:rsidR="00BF16A3" w:rsidRPr="00032DB8" w:rsidRDefault="00BF16A3" w:rsidP="00BF16A3">
      <w:pPr>
        <w:pStyle w:val="NormalHanging12a"/>
      </w:pPr>
      <w:r w:rsidRPr="00032DB8">
        <w:t>–</w:t>
      </w:r>
      <w:r w:rsidRPr="00032DB8">
        <w:tab/>
        <w:t>med beaktande av artikel 54 i arbetsordningen,</w:t>
      </w:r>
    </w:p>
    <w:p w14:paraId="5FD6FD0B" w14:textId="77777777" w:rsidR="00BF16A3" w:rsidRPr="00032DB8" w:rsidRDefault="00BF16A3" w:rsidP="00BF16A3">
      <w:pPr>
        <w:pStyle w:val="NormalHanging12a"/>
      </w:pPr>
      <w:r w:rsidRPr="00032DB8">
        <w:t>–</w:t>
      </w:r>
      <w:r w:rsidRPr="00032DB8">
        <w:tab/>
        <w:t>med beaktande av betänkandet från utskottet för konstitutionella frågor,</w:t>
      </w:r>
    </w:p>
    <w:p w14:paraId="55B66A08" w14:textId="77777777" w:rsidR="00BF16A3" w:rsidRPr="00032DB8" w:rsidRDefault="00BF16A3" w:rsidP="00BF16A3">
      <w:pPr>
        <w:pStyle w:val="NormalHanging12a"/>
      </w:pPr>
      <w:r w:rsidRPr="00032DB8">
        <w:t>–</w:t>
      </w:r>
      <w:r w:rsidRPr="00032DB8">
        <w:tab/>
        <w:t>med beaktande av betänkandet från utskottet för medborgerliga fri- och rättigheter samt rättsliga och inrikes frågor (A9-0376/2023), och av följande skäl:</w:t>
      </w:r>
    </w:p>
    <w:p w14:paraId="520EA958" w14:textId="77777777" w:rsidR="00BF16A3" w:rsidRPr="00032DB8" w:rsidRDefault="00BF16A3" w:rsidP="00BF16A3">
      <w:pPr>
        <w:pStyle w:val="NormalHanging12a"/>
      </w:pPr>
      <w:r w:rsidRPr="00032DB8">
        <w:t>A.</w:t>
      </w:r>
      <w:r w:rsidRPr="00032DB8">
        <w:tab/>
        <w:t>Europeiska unionen bygger på värdena respekt för människans värdighet, frihet, demokrati, jämlikhet, rättsstatsprincipen och de mänskliga rättigheterna, vilket inkluderar rättigheterna för personer som tillhör minoriteter, enligt vad som fastställs i artikel 2 i EU-fördraget och stadgan och fastslås i internationella människorättsfördrag. EU och medlemsstaterna bör dela, upprätthålla och aktivt främja dessa värden i sina interna och yttre åtgärder. Under de senaste åren har det skett en oroväckande tillbakagång i vissa medlemsstater när det gäller respekten för dessa värden.</w:t>
      </w:r>
    </w:p>
    <w:p w14:paraId="17837927" w14:textId="77777777" w:rsidR="00BF16A3" w:rsidRPr="00032DB8" w:rsidRDefault="00BF16A3" w:rsidP="00BF16A3">
      <w:pPr>
        <w:pStyle w:val="NormalHanging12a"/>
        <w:rPr>
          <w:szCs w:val="24"/>
        </w:rPr>
      </w:pPr>
      <w:r w:rsidRPr="00032DB8">
        <w:t>B.</w:t>
      </w:r>
      <w:r w:rsidRPr="00032DB8">
        <w:tab/>
        <w:t>Demokrati, rättsstatlighet och grundläggande rättigheter är ömsesidigt förstärkande värden. Om de undergrävs uppstår ett systemhot mot unionen och alla människors fri- och rättigheter i EU. Respekten för rättsstatsprincipen är bindande för unionen som helhet och dess medlemsstater på alla förvaltningsnivåer.</w:t>
      </w:r>
    </w:p>
    <w:p w14:paraId="29CB7B07" w14:textId="77777777" w:rsidR="00BF16A3" w:rsidRPr="00032DB8" w:rsidRDefault="00BF16A3" w:rsidP="00BF16A3">
      <w:pPr>
        <w:pStyle w:val="NormalHanging12a"/>
        <w:rPr>
          <w:szCs w:val="24"/>
        </w:rPr>
      </w:pPr>
      <w:r w:rsidRPr="00032DB8">
        <w:t>C.</w:t>
      </w:r>
      <w:r w:rsidRPr="00032DB8">
        <w:tab/>
        <w:t>Fria, oberoende och öppna val är en hörnsten i demokratin.</w:t>
      </w:r>
    </w:p>
    <w:p w14:paraId="7E3B754F" w14:textId="11B3D393" w:rsidR="00BF16A3" w:rsidRPr="00032DB8" w:rsidRDefault="00BF16A3" w:rsidP="00BF16A3">
      <w:pPr>
        <w:pStyle w:val="NormalHanging12a"/>
        <w:rPr>
          <w:szCs w:val="24"/>
        </w:rPr>
      </w:pPr>
      <w:r w:rsidRPr="00032DB8">
        <w:t>D.</w:t>
      </w:r>
      <w:r w:rsidRPr="00032DB8">
        <w:tab/>
        <w:t>Den ökade spridningen av desinformation är ett hot mot unionens demokratiska funktion. Att minska informationsmanipulationen är en fråga av allmänintresse. Desinformation gör det svårare för EU:s medborgare och invånare att fatta faktabaserade beslut och fritt kunna delta i demokratiska processer. Oberoende och pluralistiska medier är ett kraftfullt verktyg i kampen mot desinformation.</w:t>
      </w:r>
    </w:p>
    <w:p w14:paraId="4A1059A0" w14:textId="77777777" w:rsidR="00BF16A3" w:rsidRPr="00032DB8" w:rsidRDefault="00BF16A3" w:rsidP="00BF16A3">
      <w:pPr>
        <w:pStyle w:val="NormalHanging12a"/>
      </w:pPr>
      <w:r w:rsidRPr="00032DB8">
        <w:t>E.</w:t>
      </w:r>
      <w:r w:rsidRPr="00032DB8">
        <w:tab/>
        <w:t xml:space="preserve">Mediefrihet, mediepluralism och journalisters oberoende och säkerhet är avgörande delar av rätten till yttrande- och informationsfrihet och väsentliga för EU:s och dess medlemsstaters demokratiska funktion. Under de senaste åren har journalister och andra medieaktörer i många medlemsstater och andra länder i allt högre grad utsatts för hot, otillbörliga påtryckningar, skrämselförsök, våld och andra former av inblandning i sitt arbete, särskilt när de riktat in sig på maktmissbruk, korruption, kränkningar av de grundläggande rättigheterna och brottslig verksamhet. Munkavleprocesser är </w:t>
      </w:r>
      <w:r w:rsidRPr="00032DB8">
        <w:lastRenderedPageBreak/>
        <w:t>fortfarande ett akut problem i hela EU. Den alarmerande situationen när det gäller hot och angrepp är inte uteslutande begränsad till professionella journalister och andra traditionella medieaktörer. Definitionen av medieaktörer har utvidgats till följd av att nya medieformer har vuxit fram i den digitala tidsåldern, och omfattar därför andra aktörer som bidrar till den offentliga debatten och som bedriver journalistisk verksamhet eller utövar funktioner som allmänintressets väktare.</w:t>
      </w:r>
    </w:p>
    <w:p w14:paraId="704B27C3" w14:textId="77777777" w:rsidR="00BF16A3" w:rsidRPr="00032DB8" w:rsidRDefault="00BF16A3" w:rsidP="00D725BE">
      <w:pPr>
        <w:spacing w:after="240"/>
        <w:ind w:left="567" w:hanging="567"/>
      </w:pPr>
      <w:r w:rsidRPr="00032DB8">
        <w:t>F.</w:t>
      </w:r>
      <w:r w:rsidRPr="00032DB8">
        <w:tab/>
        <w:t xml:space="preserve">Statliga organ i några länder, både medlemsstater och tredjeländer, har använt Pegasus och andra spionprogram mot journalister, politiker, tjänstemän inom brottsbekämpningen, diplomater, jurister, affärspersoner, aktörer i det civila samhället och andra aktörer, i politiska och till och med brottsliga syften. Sådana metoder är ytterst oroväckande och visar på risken att övervakningsteknik missbrukas för att undergräva grundläggande mänskliga rättigheter, demokrati och valprocesser. </w:t>
      </w:r>
    </w:p>
    <w:p w14:paraId="7CF873B4" w14:textId="77777777" w:rsidR="00BF16A3" w:rsidRPr="00032DB8" w:rsidRDefault="00BF16A3" w:rsidP="00CC3C04">
      <w:pPr>
        <w:pStyle w:val="NormalHanging12a"/>
      </w:pPr>
      <w:r w:rsidRPr="00032DB8">
        <w:t>G.</w:t>
      </w:r>
      <w:r w:rsidRPr="00032DB8">
        <w:tab/>
        <w:t>Korruption är ett allvarligt hot mot demokratin och rättsstatsprincipen. Kampen mot korruption i vissa medlemsstater fortsätter att ge upphov till allvarlig oro. I flera medlemsstater är mekanismerna för att stoppa korruptionen svaga, och det finns alltjämt en utbredd brist på skydd för visselblåsare. Villkorlighetsförordningen syftar till att skydda unionens budget mot överträdelser av rättsstatsprincipen.</w:t>
      </w:r>
    </w:p>
    <w:p w14:paraId="627BBCEB" w14:textId="77777777" w:rsidR="00BF16A3" w:rsidRPr="00032DB8" w:rsidRDefault="00BF16A3" w:rsidP="00BF16A3">
      <w:pPr>
        <w:pStyle w:val="NormalHanging12a"/>
        <w:rPr>
          <w:szCs w:val="24"/>
        </w:rPr>
      </w:pPr>
      <w:r w:rsidRPr="00032DB8">
        <w:t>H.</w:t>
      </w:r>
      <w:r w:rsidRPr="00032DB8">
        <w:tab/>
        <w:t>Journalister, medieföretag och bloggare, människorättsförsvarare, organisationer i det civila samhället, aktivister, fackföreningar, konstnärer, forskare, visselblåsare och politiker utsätts i allt högre grad för hot, trakasserier och andra former av skrämseltaktik på grund av sitt deltagande i den offentliga debatten.</w:t>
      </w:r>
    </w:p>
    <w:p w14:paraId="400B7F61" w14:textId="77777777" w:rsidR="00BF16A3" w:rsidRPr="00032DB8" w:rsidRDefault="00BF16A3" w:rsidP="00BF16A3">
      <w:pPr>
        <w:pStyle w:val="NormalHanging12a"/>
      </w:pPr>
      <w:r w:rsidRPr="00032DB8">
        <w:t>I.</w:t>
      </w:r>
      <w:r w:rsidRPr="00032DB8">
        <w:tab/>
        <w:t>Rättsväsendets oberoende – ett grundläggande krav för den demokratiska maktfördelningsprincipen och centralt för att säkerställa respekten för de grundläggande rättigheterna – hotas allvarligt och undergrävs till och med strukturellt i allt fler medlemsstater.</w:t>
      </w:r>
    </w:p>
    <w:p w14:paraId="14227752" w14:textId="77777777" w:rsidR="00BF16A3" w:rsidRPr="00032DB8" w:rsidRDefault="00BF16A3" w:rsidP="00BF16A3">
      <w:pPr>
        <w:pStyle w:val="NormalHanging12a"/>
        <w:rPr>
          <w:szCs w:val="24"/>
        </w:rPr>
      </w:pPr>
      <w:r w:rsidRPr="00032DB8">
        <w:t>J.</w:t>
      </w:r>
      <w:r w:rsidRPr="00032DB8">
        <w:tab/>
        <w:t>Domstolen har erinrat om</w:t>
      </w:r>
      <w:r w:rsidRPr="00032DB8">
        <w:rPr>
          <w:vertAlign w:val="superscript"/>
        </w:rPr>
        <w:footnoteReference w:id="39"/>
      </w:r>
      <w:r w:rsidRPr="00032DB8">
        <w:t xml:space="preserve"> att rätten till föreningsfrihet, som fastställs i artikel 12.1 i stadgan, är en av grunderna för ett demokratiskt och pluralistiskt samhälle, eftersom den gör det möjligt för EU-invånarna att agera kollektivt på områden av gemensamt intresse och därigenom bidra till att det offentliga livet fungerar väl. I några medlemsstater har det rapporterats om allt fler angrepp mot mötes- och föreningsfriheten genom oproportionerlig användning av våld mot fredliga demonstranter, inbegripet misshandel av demonstranter. </w:t>
      </w:r>
    </w:p>
    <w:p w14:paraId="0948386B" w14:textId="77777777" w:rsidR="00BF16A3" w:rsidRPr="00032DB8" w:rsidRDefault="00BF16A3" w:rsidP="00BF16A3">
      <w:pPr>
        <w:pStyle w:val="NormalHanging12a"/>
        <w:rPr>
          <w:szCs w:val="24"/>
        </w:rPr>
      </w:pPr>
      <w:r w:rsidRPr="00032DB8">
        <w:t>K.</w:t>
      </w:r>
      <w:r w:rsidRPr="00032DB8">
        <w:tab/>
        <w:t>Vissa medlemsstater har infört restriktioner i det avsiktliga syftet att begränsa det medborgerliga utrymmet. Det medborgerliga utrymmet i många medlemsstater blir föremål för rättsliga, administrativa och skattemässiga trakasserier, kriminalisering och negativ retorik som syftar till att stigmatisera och undergräva legitimiteten hos civilsamhällesorganisationer, aktivister och människorättsförsvarare och försvåra för dem att utföra sitt arbete.</w:t>
      </w:r>
    </w:p>
    <w:p w14:paraId="32A91A1E" w14:textId="77777777" w:rsidR="00BF16A3" w:rsidRPr="00032DB8" w:rsidRDefault="00BF16A3" w:rsidP="00BF16A3">
      <w:pPr>
        <w:pStyle w:val="NormalHanging12a"/>
        <w:rPr>
          <w:szCs w:val="24"/>
        </w:rPr>
      </w:pPr>
      <w:r w:rsidRPr="00032DB8">
        <w:t>L.</w:t>
      </w:r>
      <w:r w:rsidRPr="00032DB8">
        <w:tab/>
        <w:t xml:space="preserve">I mars 2023 gjorde Europarådets kommissarie för mänskliga rättigheter bedömningen att situationen för människorättsförsvarare i Europa har försämrats på ett oroväckande sätt, och att regeringarna i allt högre grad tenderar att åsidosätta sina åtaganden om </w:t>
      </w:r>
      <w:r w:rsidRPr="00032DB8">
        <w:lastRenderedPageBreak/>
        <w:t>mänskliga rättigheter och prioritera den nationella säkerheten och den allmänna säkerheten framför mänskliga rättigheter. Kommissarien rapporterade att människorättsförsvarare i allt högre utsträckning hindras från att arbeta fritt och säkert och att de utsätts för olika former av repressalier, bland annat rättsliga trakasserier, åtal, otillbörliga kontroller och övervakning, smutskastningskampanjer, hot och skrämselförsök i medlemsstaterna och grannländerna. Det är fortfarande ett stort problem att de kränkningar som statliga och icke-statliga aktörer begår mot människorättsförsvarare inte utreds på ett effektivt sätt. Detta undergräver demokratin och är en del av ett större problem med polariseringen i samhället, som kännetecknas av att olika samhällsgrupper eller minoritetsgrupper utsätts för hat och våld i allt högre utsträckning.</w:t>
      </w:r>
    </w:p>
    <w:p w14:paraId="1C5BC20C" w14:textId="77777777" w:rsidR="00BF16A3" w:rsidRPr="00032DB8" w:rsidRDefault="00BF16A3" w:rsidP="00BF16A3">
      <w:pPr>
        <w:pStyle w:val="NormalHanging12a"/>
      </w:pPr>
      <w:r w:rsidRPr="00032DB8">
        <w:t>M.</w:t>
      </w:r>
      <w:r w:rsidRPr="00032DB8">
        <w:tab/>
        <w:t>Det har förekommit flera incidenter där migranter har dött och de mänskliga rättigheterna har kränkts vid de europeiska gränserna, detta eftersom förvaltningen har varit ineffektiv och myndigheterna har brukat oproportionerligt våld. Teknik, även artificiell intelligens, används i allt högre grad för att övervaka migranter vid EU:s yttre och inre gränser. Kriminalisering av icke-statliga organisationer eller andra icke-statliga aktörer som utför sök- och räddningsinsatser under iakttagande av den relevanta rättsliga ramen utgör en överträdelse av internationell rätt</w:t>
      </w:r>
      <w:r w:rsidRPr="00032DB8">
        <w:rPr>
          <w:vertAlign w:val="superscript"/>
        </w:rPr>
        <w:footnoteReference w:id="40"/>
      </w:r>
      <w:r w:rsidRPr="00032DB8">
        <w:t xml:space="preserve"> och är därför inte tillåten enligt EU-rätten. Domstolen har erinrat om att tredjelandsmedborgare endast får fängslas om det finns en specifik rättslig grund för att begränsa deras rätt till frihet och inte när det endast finns ett allmänt kriterium</w:t>
      </w:r>
      <w:r w:rsidRPr="00032DB8">
        <w:rPr>
          <w:vertAlign w:val="superscript"/>
        </w:rPr>
        <w:footnoteReference w:id="41"/>
      </w:r>
      <w:r w:rsidRPr="00032DB8">
        <w:t>.</w:t>
      </w:r>
    </w:p>
    <w:p w14:paraId="07301556" w14:textId="77777777" w:rsidR="00BF16A3" w:rsidRPr="00032DB8" w:rsidRDefault="00BF16A3" w:rsidP="00BF16A3">
      <w:pPr>
        <w:pStyle w:val="NormalHanging12a"/>
        <w:rPr>
          <w:szCs w:val="24"/>
        </w:rPr>
      </w:pPr>
      <w:r w:rsidRPr="00032DB8">
        <w:t>N.</w:t>
      </w:r>
      <w:r w:rsidRPr="00032DB8">
        <w:tab/>
        <w:t>Antalet dödsfall vid Europas sjögränser minskade något under 2022 jämfört med 2021, men var fortfarande högre än under de tre åren före 2021</w:t>
      </w:r>
      <w:r w:rsidRPr="00032DB8">
        <w:rPr>
          <w:vertAlign w:val="superscript"/>
        </w:rPr>
        <w:footnoteReference w:id="42"/>
      </w:r>
      <w:r w:rsidRPr="00032DB8">
        <w:t>. De flesta dödsfallen inträffade i de centrala delarna av Medelhavet, utanför den nordafrikanska kusten</w:t>
      </w:r>
      <w:r w:rsidRPr="00032DB8">
        <w:rPr>
          <w:vertAlign w:val="superscript"/>
        </w:rPr>
        <w:footnoteReference w:id="43"/>
      </w:r>
      <w:r w:rsidRPr="00032DB8">
        <w:t xml:space="preserve">. </w:t>
      </w:r>
    </w:p>
    <w:p w14:paraId="5AAF48F3" w14:textId="77777777" w:rsidR="00BF16A3" w:rsidRPr="00032DB8" w:rsidRDefault="00BF16A3" w:rsidP="00BF16A3">
      <w:pPr>
        <w:pStyle w:val="NormalHanging12a"/>
        <w:rPr>
          <w:szCs w:val="24"/>
        </w:rPr>
      </w:pPr>
      <w:r w:rsidRPr="00032DB8">
        <w:t>O.</w:t>
      </w:r>
      <w:r w:rsidRPr="00032DB8">
        <w:tab/>
        <w:t xml:space="preserve">Det har utarbetats flera rapporter om och gjorts flera utredningar av </w:t>
      </w:r>
      <w:proofErr w:type="spellStart"/>
      <w:r w:rsidRPr="00032DB8">
        <w:t>Frontex</w:t>
      </w:r>
      <w:proofErr w:type="spellEnd"/>
      <w:r w:rsidRPr="00032DB8">
        <w:t xml:space="preserve"> i frågor som rör de grundläggande rättigheterna, bland annat av Europeiska byrån för bedrägeribekämpning (Olaf) och Europeiska ombudsmannen. </w:t>
      </w:r>
      <w:proofErr w:type="spellStart"/>
      <w:r w:rsidRPr="00032DB8">
        <w:t>Frontex</w:t>
      </w:r>
      <w:proofErr w:type="spellEnd"/>
      <w:r w:rsidRPr="00032DB8">
        <w:t xml:space="preserve"> tidigare direktör avgick från sin tjänst i april 2022. Alla EU-byråer måste respektera de grundläggande rättigheterna och utkrävas ansvar när det förekommer kränkningar av de grundläggande rättigheterna.</w:t>
      </w:r>
    </w:p>
    <w:p w14:paraId="118E81C6" w14:textId="77777777" w:rsidR="00BF16A3" w:rsidRPr="00032DB8" w:rsidRDefault="00BF16A3" w:rsidP="00BF16A3">
      <w:pPr>
        <w:pStyle w:val="NormalHanging12a"/>
      </w:pPr>
      <w:r w:rsidRPr="00032DB8">
        <w:t>P.</w:t>
      </w:r>
      <w:r w:rsidRPr="00032DB8">
        <w:tab/>
        <w:t xml:space="preserve">Det har gjorts organiserade inskränkningar i kvinnors och flickors rättigheter under de senaste åren. I vissa medlemsstater har det gjorts försök att göra ytterligare inskränkningar i sexuell och reproduktiv hälsa och rättigheter, såsom i det befintliga rättsliga skyddet för kvinnors tillgång till abortvård. Under de senaste åren har flera kvinnor dött till följd av att ha förvägrats säker och laglig abort i vissa medlemsstater. </w:t>
      </w:r>
      <w:r w:rsidRPr="00032DB8">
        <w:lastRenderedPageBreak/>
        <w:t>Könsrelaterat våld, inklusive sexuellt våld och våldtäkt, förekommer fortfarande i stor utsträckning i hela EU. Några medlemsstater har fortfarande inte ratificerat Europarådets konvention om förebyggande och bekämpning av våld mot kvinnor och våld i hemmet (Istanbulkonventionen). Rörelser som motsätter sig främjandet och tillhandahållandet av sexualundervisning växer i EU.</w:t>
      </w:r>
    </w:p>
    <w:p w14:paraId="23154732" w14:textId="77777777" w:rsidR="00BF16A3" w:rsidRPr="00032DB8" w:rsidRDefault="00BF16A3" w:rsidP="00BF16A3">
      <w:pPr>
        <w:pStyle w:val="NormalHanging12a"/>
        <w:rPr>
          <w:szCs w:val="24"/>
        </w:rPr>
      </w:pPr>
      <w:r w:rsidRPr="00032DB8">
        <w:t>Q.</w:t>
      </w:r>
      <w:r w:rsidRPr="00032DB8">
        <w:tab/>
        <w:t>Könsrelaterat våld är både en orsak till och en konsekvens av de strukturella ojämlikheter som bottnar i könsstereotyper och maktasymmetrier och som bland annat förekommer inom den privata, sociala, offentliga och ekonomiska sfären.</w:t>
      </w:r>
    </w:p>
    <w:p w14:paraId="025920D6" w14:textId="77777777" w:rsidR="00BF16A3" w:rsidRPr="00032DB8" w:rsidRDefault="00BF16A3" w:rsidP="00BF16A3">
      <w:pPr>
        <w:pStyle w:val="NormalHanging12a"/>
      </w:pPr>
      <w:r w:rsidRPr="00032DB8">
        <w:t>R.</w:t>
      </w:r>
      <w:r w:rsidRPr="00032DB8">
        <w:tab/>
        <w:t xml:space="preserve">FRA:s undersökningsuppgifter visar att förekomsten av diskriminering på grund av ras, etniskt ursprung eller religiösa övertygelser (däribland diskriminering riktad mot romer, muslimer, judar och personer av afrikansk härkomst) ligger på en konstant hög nivå, både över tid och mellan olika befolkningsgrupper i olika medlemsstater, i synnerhet bland personer från socioekonomiskt missgynnade miljöer. Rasminoriteter och etniska minoriteter utsätts för systemisk rasism, hatbrott och hatpropaganda, bristande tillgång till rättslig prövning och ihållande socioekonomiska ojämlikheter på områden såsom bostäder, hälso- och sjukvård, sysselsättning och utbildning, vilka måste erkännas som allvarliga hinder för att de ska kunna åtnjuta sina grundläggande rättigheter fullt ut och som avgörande hinder för inkludering och jämlikhet. Antisemitism, </w:t>
      </w:r>
      <w:proofErr w:type="spellStart"/>
      <w:r w:rsidRPr="00032DB8">
        <w:t>antiziganism</w:t>
      </w:r>
      <w:proofErr w:type="spellEnd"/>
      <w:r w:rsidRPr="00032DB8">
        <w:t xml:space="preserve">, </w:t>
      </w:r>
      <w:proofErr w:type="spellStart"/>
      <w:r w:rsidRPr="00032DB8">
        <w:t>islamofobi</w:t>
      </w:r>
      <w:proofErr w:type="spellEnd"/>
      <w:r w:rsidRPr="00032DB8">
        <w:t xml:space="preserve"> och rasism är ihållande former av hat och diskriminering. Högerextremism är ett särskilt hot mot personer som drabbas av diskriminering och mot samhället som helhet. Enligt FRA finns tecken på systemisk rasism i EU, även inom brottsbekämpningen. </w:t>
      </w:r>
      <w:proofErr w:type="spellStart"/>
      <w:r w:rsidRPr="00032DB8">
        <w:t>Intersektionell</w:t>
      </w:r>
      <w:proofErr w:type="spellEnd"/>
      <w:r w:rsidRPr="00032DB8">
        <w:t xml:space="preserve"> diskriminering måste beaktas i politik och åtgärder som syftar till att bekämpa rasism och diskriminering.</w:t>
      </w:r>
    </w:p>
    <w:p w14:paraId="304D52C9" w14:textId="77777777" w:rsidR="00BF16A3" w:rsidRPr="00032DB8" w:rsidRDefault="00BF16A3" w:rsidP="00BF16A3">
      <w:pPr>
        <w:pStyle w:val="NormalHanging12a"/>
        <w:rPr>
          <w:szCs w:val="24"/>
        </w:rPr>
      </w:pPr>
      <w:r w:rsidRPr="00032DB8">
        <w:t>S.</w:t>
      </w:r>
      <w:r w:rsidRPr="00032DB8">
        <w:tab/>
        <w:t>Personer med funktionsnedsättning som bor i EU råkar fortfarande ut för diskriminering, däribland genom att nekas skälig anpassning och utsättas för trakasserier och många och tvärgående former av diskriminering i alla delar av tillvaron. Det rör sig om socioekonomiska nackdelar, social isolering, dålig behandling och våld inklusive könsrelaterat våld, påtvingad sterilisering och abort, bristande tillgång till samhällstjänster, bostäder av låg kvalitet, institutionalisering, otillräcklig hälso- och sjukvård samt förnekande av möjligheten att bidra till och engagera sig aktivt i samhället.</w:t>
      </w:r>
    </w:p>
    <w:p w14:paraId="216DC6D6" w14:textId="77777777" w:rsidR="00BF16A3" w:rsidRPr="00032DB8" w:rsidRDefault="00BF16A3" w:rsidP="00BF16A3">
      <w:pPr>
        <w:pStyle w:val="NormalHanging12a"/>
        <w:rPr>
          <w:szCs w:val="24"/>
        </w:rPr>
      </w:pPr>
      <w:r w:rsidRPr="00032DB8">
        <w:t>T.</w:t>
      </w:r>
      <w:r w:rsidRPr="00032DB8">
        <w:tab/>
        <w:t>I Europa lever en betydande andel av romerna</w:t>
      </w:r>
      <w:r w:rsidRPr="00032DB8">
        <w:rPr>
          <w:vertAlign w:val="superscript"/>
        </w:rPr>
        <w:footnoteReference w:id="44"/>
      </w:r>
      <w:r w:rsidRPr="00032DB8">
        <w:t xml:space="preserve"> under ytterst otrygga förhållanden såväl på landsbygden som i städerna och under mycket dåliga socioekonomiska förhållanden. De flesta romer berövas sina grundläggande mänskliga rättigheter på livets alla områden. Bruket att placera barn i segregerade skolor och den diskriminerande praxisen att placera barn från etniska minoriteter i skolor för barn med psykisk funktionsnedsättning kvarstår i vissa medlemsstater.</w:t>
      </w:r>
    </w:p>
    <w:p w14:paraId="0B71B3BF" w14:textId="77777777" w:rsidR="00BF16A3" w:rsidRPr="00032DB8" w:rsidRDefault="00BF16A3" w:rsidP="00BF16A3">
      <w:pPr>
        <w:pStyle w:val="NormalHanging12a"/>
        <w:rPr>
          <w:szCs w:val="24"/>
        </w:rPr>
      </w:pPr>
      <w:r w:rsidRPr="00032DB8">
        <w:t>U.</w:t>
      </w:r>
      <w:r w:rsidRPr="00032DB8">
        <w:tab/>
        <w:t xml:space="preserve">Trenden med ökande diskriminering, hatpropaganda och våld mot </w:t>
      </w:r>
      <w:proofErr w:type="spellStart"/>
      <w:r w:rsidRPr="00032DB8">
        <w:t>hbtqi</w:t>
      </w:r>
      <w:proofErr w:type="spellEnd"/>
      <w:r w:rsidRPr="00032DB8">
        <w:t xml:space="preserve">-personer och försvarare av </w:t>
      </w:r>
      <w:proofErr w:type="spellStart"/>
      <w:r w:rsidRPr="00032DB8">
        <w:t>hbtqi</w:t>
      </w:r>
      <w:proofErr w:type="spellEnd"/>
      <w:r w:rsidRPr="00032DB8">
        <w:t xml:space="preserve">-personers rättigheter kvarstår i hela EU. </w:t>
      </w:r>
      <w:proofErr w:type="spellStart"/>
      <w:r w:rsidRPr="00032DB8">
        <w:t>Hbtqi</w:t>
      </w:r>
      <w:proofErr w:type="spellEnd"/>
      <w:r w:rsidRPr="00032DB8">
        <w:t xml:space="preserve">-personer diskrimineras och utestängs fortfarande i flera medlemsstater när det gäller socialt skydd, social trygghet, tillgång till hälso- och sjukvård, utbildning, rättsligt skydd samt </w:t>
      </w:r>
      <w:r w:rsidRPr="00032DB8">
        <w:lastRenderedPageBreak/>
        <w:t xml:space="preserve">tillgång till och tillhandahållande av varor och andra tjänster som är tillgängliga för allmänheten, inbegripet bostäder. Domstolens rättspraxis som skyddar de sociala rättigheterna och privatlivet för samkönade par och barn till samkönade föräldrar, till exempel </w:t>
      </w:r>
      <w:proofErr w:type="spellStart"/>
      <w:r w:rsidRPr="00032DB8">
        <w:t>Coman</w:t>
      </w:r>
      <w:proofErr w:type="spellEnd"/>
      <w:r w:rsidRPr="00032DB8">
        <w:t>-målet (C-673/16) och Baby Sara-målet (C-490/20), tillämpas inte. Kirurgiska ingrepp och medicinska behandlingar utförs på intersexuella barn utan att de först har gett sitt personliga, fullständiga och informerade samtycke. Intersexuell könsstympning kan få livslånga konsekvenser, såsom psykiska trauman och fysiska funktionsnedsättningar.</w:t>
      </w:r>
    </w:p>
    <w:p w14:paraId="24095C1D" w14:textId="77777777" w:rsidR="00BF16A3" w:rsidRPr="00032DB8" w:rsidRDefault="00BF16A3" w:rsidP="00BF16A3">
      <w:pPr>
        <w:pStyle w:val="NormalHanging12a"/>
      </w:pPr>
      <w:r w:rsidRPr="00032DB8">
        <w:t>V.</w:t>
      </w:r>
      <w:r w:rsidRPr="00032DB8">
        <w:tab/>
        <w:t>Incidenter med hatbrott och hatpropaganda har stadigt blivit vanligare i hela EU under de senaste åren</w:t>
      </w:r>
      <w:r w:rsidRPr="00032DB8">
        <w:rPr>
          <w:vertAlign w:val="superscript"/>
        </w:rPr>
        <w:footnoteReference w:id="45"/>
      </w:r>
      <w:r w:rsidRPr="00032DB8">
        <w:t>, till stor del på grund av att allt fler använder sociala medier och det faktum att hatpropaganda frodas på nätet. De sociala medieplattformarnas affärsmodell, som bygger på individuellt riktad reklam, bidrar till att sprida och förstärka hatpropaganda som uppviglar till diskriminering och våld. Utbildningssystemen spelar en avgörande roll när det gäller att tillhandahålla digital utbildning, digital kompetens och digitala färdigheter för alla, främja användarnas förståelse för digital teknik, övervinna ojämlikhet, förbättra den digitala integrationen samt stärka och skydda enskilda individer och deras rättigheter, samtidigt som deras ansvar tydliggörs. Hatpropaganda kan leda till hatbrott. Enligt FRA blir upp till nio av tio hatbrott och hatmotiverade attacker i EU inte anmälda och därför inte bestraffade.</w:t>
      </w:r>
    </w:p>
    <w:p w14:paraId="161F8115" w14:textId="77777777" w:rsidR="00BF16A3" w:rsidRPr="00032DB8" w:rsidRDefault="00BF16A3" w:rsidP="00BF16A3">
      <w:pPr>
        <w:pStyle w:val="NormalHanging12a"/>
        <w:rPr>
          <w:szCs w:val="24"/>
        </w:rPr>
      </w:pPr>
      <w:r w:rsidRPr="00032DB8">
        <w:t>W.</w:t>
      </w:r>
      <w:r w:rsidRPr="00032DB8">
        <w:tab/>
        <w:t>Artikel 21 i stadgan förbjuder all diskriminering på grund av språk eller tillhörighet till en nationell minoritet. I artikel 22 i stadgan säkerställs respekten för språklig mångfald.</w:t>
      </w:r>
    </w:p>
    <w:p w14:paraId="51A7AD1D" w14:textId="77777777" w:rsidR="00BF16A3" w:rsidRPr="00032DB8" w:rsidRDefault="00BF16A3" w:rsidP="00BF16A3">
      <w:pPr>
        <w:pStyle w:val="NormalHanging12a"/>
        <w:rPr>
          <w:szCs w:val="24"/>
        </w:rPr>
      </w:pPr>
      <w:r w:rsidRPr="00032DB8">
        <w:t>X.</w:t>
      </w:r>
      <w:r w:rsidRPr="00032DB8">
        <w:tab/>
        <w:t>EU bygger på främjandet av sociala, kulturella och ekonomiska rättigheter. Antalet människor som lever i fattigdom i EU är fortfarande högt, och mer än ett av fem barn riskerar att drabbas av fattigdom och nästan en av fyra EU-medborgare löper risk att drabbas av fattigdom eller social utestängning. Fattigdomscykeln späder på andra ojämlikheter, såsom i fråga om tillgången till utbildning, bostäder till rimliga kostnader, hälso- och sjukvård och sysselsättning. Energikrisen och inflationen har gjort att fler människor har drabbats av otrygghet, fattigdom och social utestängning. I artikel 151 i EUF-fördraget hänvisas till de grundläggande sociala rättigheter som anges i den europeiska sociala stadgan. Den europeiska pelaren för sociala rättigheter och genomförandet av den tillhörande handlingsplanen är viktiga instrument för att integrera sociala prioriteringar i all EU-politik och en vägledning för det faktiska genomförandet av pelarens 20 principer.</w:t>
      </w:r>
    </w:p>
    <w:p w14:paraId="28A90B00" w14:textId="77777777" w:rsidR="00BF16A3" w:rsidRPr="00032DB8" w:rsidRDefault="00BF16A3" w:rsidP="00BF16A3">
      <w:pPr>
        <w:pStyle w:val="NormalHanging12a"/>
      </w:pPr>
      <w:r w:rsidRPr="00032DB8">
        <w:t>Y.</w:t>
      </w:r>
      <w:r w:rsidRPr="00032DB8">
        <w:tab/>
        <w:t>EU:s anslutning till den europeiska konventionen om skydd för de mänskliga rättigheterna och de grundläggande friheterna är en skyldighet enligt artikel 6.2 i EU</w:t>
      </w:r>
      <w:r w:rsidRPr="00032DB8">
        <w:noBreakHyphen/>
        <w:t>fördraget och fortsätter att ha hög prioritet.</w:t>
      </w:r>
    </w:p>
    <w:p w14:paraId="7817D431" w14:textId="77777777" w:rsidR="00BF16A3" w:rsidRPr="00032DB8" w:rsidRDefault="00BF16A3" w:rsidP="00BF16A3">
      <w:pPr>
        <w:pStyle w:val="NormalHanging12a"/>
        <w:rPr>
          <w:szCs w:val="24"/>
        </w:rPr>
      </w:pPr>
      <w:r w:rsidRPr="00032DB8">
        <w:t>Z.</w:t>
      </w:r>
      <w:r w:rsidRPr="00032DB8">
        <w:tab/>
        <w:t xml:space="preserve">Medlemsstaterna och EU:s institutioner och organ, däribland domstolen, FRA och </w:t>
      </w:r>
      <w:proofErr w:type="spellStart"/>
      <w:r w:rsidRPr="00032DB8">
        <w:t>Eppo</w:t>
      </w:r>
      <w:proofErr w:type="spellEnd"/>
      <w:r w:rsidRPr="00032DB8">
        <w:t>, har alla en avgörande roll att spela när det gäller att upprätthålla EU:s värden och säkerställa respekten för de grundläggande rättigheterna.</w:t>
      </w:r>
    </w:p>
    <w:p w14:paraId="453449CC" w14:textId="77777777" w:rsidR="00BF16A3" w:rsidRPr="00032DB8" w:rsidRDefault="00BF16A3" w:rsidP="00BF16A3">
      <w:pPr>
        <w:pStyle w:val="NormalHanging12a"/>
        <w:rPr>
          <w:szCs w:val="24"/>
        </w:rPr>
      </w:pPr>
      <w:r w:rsidRPr="00032DB8">
        <w:t>AA.</w:t>
      </w:r>
      <w:r w:rsidRPr="00032DB8">
        <w:tab/>
        <w:t xml:space="preserve">Europeiska ombudsmannen genomförde en utredning av de personliga textmeddelandena och samtalen mellan kommissionens ordförande och Pfizers VD i samband med upphandlingen av covid-19-vacciner, som kommissionen senare vägrade </w:t>
      </w:r>
      <w:r w:rsidRPr="00032DB8">
        <w:lastRenderedPageBreak/>
        <w:t>att offentliggöra. I juli 2022 konstaterade ombudsmannen att denna vägran utgjorde ett administrativt missförhållande</w:t>
      </w:r>
      <w:r w:rsidRPr="00032DB8">
        <w:rPr>
          <w:vertAlign w:val="superscript"/>
        </w:rPr>
        <w:footnoteReference w:id="46"/>
      </w:r>
      <w:r w:rsidRPr="00032DB8">
        <w:t>.</w:t>
      </w:r>
    </w:p>
    <w:p w14:paraId="01FFE377" w14:textId="77777777" w:rsidR="00BF16A3" w:rsidRPr="00032DB8" w:rsidRDefault="00BF16A3" w:rsidP="00BF16A3">
      <w:pPr>
        <w:pStyle w:val="NormalHanging12a"/>
        <w:rPr>
          <w:szCs w:val="24"/>
        </w:rPr>
      </w:pPr>
      <w:r w:rsidRPr="00032DB8">
        <w:t>AB.</w:t>
      </w:r>
      <w:r w:rsidRPr="00032DB8">
        <w:tab/>
        <w:t>Sedan flera år tillbaka har rättsstatsprincipen urholkats i flera medlemsstater till följd av de berörda regeringarnas systematiska agerande, särskilt i Ungern och Polen, som omfattas av pågående förfaranden enligt artikel 7.1 i EU-fördraget. Farhågorna kring efterlevnaden av rättsstatsprincipen och respekten för de grundläggande rättigheterna växer snabbt i andra medlemsstater. Det är mycket viktigt att se till att medlemsstaterna uppfyller OSSE:s åtaganden och andra internationella skyldigheter och normer i fråga om demokratiska val, inklusive Venedigkommissionen.</w:t>
      </w:r>
    </w:p>
    <w:p w14:paraId="50C6033A" w14:textId="77777777" w:rsidR="00BF16A3" w:rsidRPr="00032DB8" w:rsidRDefault="00BF16A3" w:rsidP="00BF16A3">
      <w:pPr>
        <w:pStyle w:val="NormalHanging12a"/>
        <w:rPr>
          <w:szCs w:val="24"/>
        </w:rPr>
      </w:pPr>
      <w:r w:rsidRPr="00032DB8">
        <w:t>AC.</w:t>
      </w:r>
      <w:r w:rsidRPr="00032DB8">
        <w:tab/>
        <w:t xml:space="preserve">Fattigdom är en form av strukturell och social orättvisa som bottnar i bristande jämställdhet, diskriminering och ojämlika möjligheter att få tillgång till varor och tjänster, och innebär därmed att de grundläggande rättigheterna kränks. För att råda bot på fattigdomen måste ett </w:t>
      </w:r>
      <w:proofErr w:type="spellStart"/>
      <w:r w:rsidRPr="00032DB8">
        <w:t>intersektionellt</w:t>
      </w:r>
      <w:proofErr w:type="spellEnd"/>
      <w:r w:rsidRPr="00032DB8">
        <w:t xml:space="preserve"> förhållningssätt antas och särskild uppmärksamhet ägnas åt personer som befinner sig i utsatta situationer, såsom barn, kvinnor, </w:t>
      </w:r>
      <w:proofErr w:type="spellStart"/>
      <w:r w:rsidRPr="00032DB8">
        <w:t>rasifierade</w:t>
      </w:r>
      <w:proofErr w:type="spellEnd"/>
      <w:r w:rsidRPr="00032DB8">
        <w:t xml:space="preserve"> och etniska grupper, </w:t>
      </w:r>
      <w:proofErr w:type="spellStart"/>
      <w:r w:rsidRPr="00032DB8">
        <w:t>hbtqi</w:t>
      </w:r>
      <w:proofErr w:type="spellEnd"/>
      <w:r w:rsidRPr="00032DB8">
        <w:t>-personer, migranter och asylsökande och personer med funktionsnedsättning samt personer från socioekonomiskt missgynnade miljöer.</w:t>
      </w:r>
    </w:p>
    <w:p w14:paraId="5776AE59" w14:textId="77777777" w:rsidR="00BF16A3" w:rsidRPr="00032DB8" w:rsidRDefault="00BF16A3" w:rsidP="00BF16A3">
      <w:pPr>
        <w:pStyle w:val="NormalHanging12a"/>
        <w:rPr>
          <w:szCs w:val="24"/>
        </w:rPr>
      </w:pPr>
      <w:r w:rsidRPr="00032DB8">
        <w:t>AD.</w:t>
      </w:r>
      <w:r w:rsidRPr="00032DB8">
        <w:tab/>
        <w:t xml:space="preserve">Enligt Europeiska miljöbyråns rapport </w:t>
      </w:r>
      <w:r w:rsidRPr="00032DB8">
        <w:rPr>
          <w:i/>
          <w:iCs/>
        </w:rPr>
        <w:t xml:space="preserve">Air </w:t>
      </w:r>
      <w:proofErr w:type="spellStart"/>
      <w:r w:rsidRPr="00032DB8">
        <w:rPr>
          <w:i/>
          <w:iCs/>
        </w:rPr>
        <w:t>quality</w:t>
      </w:r>
      <w:proofErr w:type="spellEnd"/>
      <w:r w:rsidRPr="00032DB8">
        <w:rPr>
          <w:i/>
          <w:iCs/>
        </w:rPr>
        <w:t xml:space="preserve"> in </w:t>
      </w:r>
      <w:proofErr w:type="spellStart"/>
      <w:r w:rsidRPr="00032DB8">
        <w:rPr>
          <w:i/>
          <w:iCs/>
        </w:rPr>
        <w:t>Europe</w:t>
      </w:r>
      <w:proofErr w:type="spellEnd"/>
      <w:r w:rsidRPr="00032DB8">
        <w:rPr>
          <w:i/>
          <w:iCs/>
        </w:rPr>
        <w:t xml:space="preserve"> 2022</w:t>
      </w:r>
      <w:r w:rsidRPr="00032DB8">
        <w:t xml:space="preserve"> berodde 238 000 </w:t>
      </w:r>
      <w:proofErr w:type="spellStart"/>
      <w:r w:rsidRPr="00032DB8">
        <w:t>förtida</w:t>
      </w:r>
      <w:proofErr w:type="spellEnd"/>
      <w:r w:rsidRPr="00032DB8">
        <w:t xml:space="preserve"> dödsfall i unionen enbart under 2020 på exponering för luftföroreningar med fina partiklar.</w:t>
      </w:r>
    </w:p>
    <w:p w14:paraId="7F0B7AD9" w14:textId="77777777" w:rsidR="00BF16A3" w:rsidRPr="00032DB8" w:rsidRDefault="00BF16A3" w:rsidP="00BF16A3">
      <w:pPr>
        <w:pStyle w:val="Normal12a24b"/>
        <w:rPr>
          <w:i/>
        </w:rPr>
      </w:pPr>
      <w:r w:rsidRPr="00032DB8">
        <w:rPr>
          <w:rStyle w:val="Bold"/>
          <w:i/>
        </w:rPr>
        <w:t>Rättsstatsprincipen och tillgång till rättslig prövning</w:t>
      </w:r>
    </w:p>
    <w:p w14:paraId="7674D3F6" w14:textId="77777777" w:rsidR="00BF16A3" w:rsidRPr="00032DB8" w:rsidRDefault="00BF16A3" w:rsidP="00BF16A3">
      <w:pPr>
        <w:pStyle w:val="NormalHanging12a"/>
      </w:pPr>
      <w:r w:rsidRPr="00032DB8">
        <w:t>1.</w:t>
      </w:r>
      <w:r w:rsidRPr="00032DB8">
        <w:tab/>
        <w:t>Europaparlamentet påminner om de fria mediernas betydelse för att upprätthålla demokratin, utkräva ansvar av offentliga och privata institutioner och ge medborgarna tillgång till faktabaserad information. Parlamentet betonar mediepluralismens och den journalistiska frihetens betydelse. Parlamentet fördömer skarpt att det under 2022 uppnåddes ett nytt globalt rekord när det gäller antalet fängslade journalister, och kräver att fullständig rättvisa skipas när det gäller mord på undersökande journalister i EU.</w:t>
      </w:r>
    </w:p>
    <w:p w14:paraId="7AF46B64" w14:textId="4B1B2810" w:rsidR="00BF16A3" w:rsidRPr="00032DB8" w:rsidRDefault="00BF16A3" w:rsidP="00BF16A3">
      <w:pPr>
        <w:pStyle w:val="NormalHanging12a"/>
        <w:rPr>
          <w:szCs w:val="24"/>
        </w:rPr>
      </w:pPr>
      <w:r w:rsidRPr="00032DB8">
        <w:t>2.</w:t>
      </w:r>
      <w:r w:rsidRPr="00032DB8">
        <w:tab/>
        <w:t xml:space="preserve">Parlamentet uppmanar medlemsstaterna att genomföra kommissionens rekommendation om att skydda journalister och människorättsförsvarare som deltar i den offentliga debatten mot uppenbart ogrundade rättsprocesser och rättegångsmissbruk, och särskilt att avskaffa fängelsestraff för förtal, avkriminalisera förtal och i stället stödja civilrättsliga eller administrativa förfaranden. Parlamentet uppmanar med kraft kommissionen att behandla det allvarliga problemet med att munkavleprocesser drivs genom straffrättsliga förfaranden, genom att lägga fram ett förslag om åtgärder för att säkerställa att ärekränkning, förtal och förolämpningar, vilka utgör brott i de flesta medlemsstater, inte kan användas för munkavleprocesser genom offentliga eller privata åtal. Parlamentet betonar att munkavleprocesser endast är en metod som används för att tysta journalister, och uppmanar kommissionen att fortsätta att undersöka andra metoder och att ingripa. Parlamentet uppmanar politiker att offentligt fördöma hot och attacker </w:t>
      </w:r>
      <w:r w:rsidRPr="00032DB8">
        <w:lastRenderedPageBreak/>
        <w:t>mot journalister.</w:t>
      </w:r>
    </w:p>
    <w:p w14:paraId="0DC8D23E" w14:textId="77777777" w:rsidR="00BF16A3" w:rsidRPr="00032DB8" w:rsidRDefault="00BF16A3" w:rsidP="00BF16A3">
      <w:pPr>
        <w:pStyle w:val="NormalHanging12a"/>
        <w:rPr>
          <w:szCs w:val="24"/>
        </w:rPr>
      </w:pPr>
      <w:r w:rsidRPr="00032DB8">
        <w:t>3.</w:t>
      </w:r>
      <w:r w:rsidRPr="00032DB8">
        <w:tab/>
        <w:t>Europaparlamentet upprepar sin oro över kränkningarna av de grundläggande rättigheterna i samband med att Pegasus och liknande spionprogram används för att rikta in sig på enskilda och högprofilerade personer, såsom journalister, bloggare, människorättsförsvarare, politiker eller andra aktörer. Parlamentet understryker att nationella regeringars olagliga användning av spionprogram direkt och indirekt påverkar integriteten i beslutsprocessen, vilket undergräver demokratin i EU och visar på det akuta behovet av att öka insynen i och det rättsliga ansvaret för övervakningsbranschen.</w:t>
      </w:r>
    </w:p>
    <w:p w14:paraId="6C365230" w14:textId="77777777" w:rsidR="00BF16A3" w:rsidRPr="00032DB8" w:rsidRDefault="00BF16A3" w:rsidP="00BF16A3">
      <w:pPr>
        <w:pStyle w:val="NormalHanging12a"/>
        <w:rPr>
          <w:szCs w:val="24"/>
        </w:rPr>
      </w:pPr>
      <w:r w:rsidRPr="00032DB8">
        <w:t>4.</w:t>
      </w:r>
      <w:r w:rsidRPr="00032DB8">
        <w:tab/>
        <w:t>Europaparlamentet uppmanar medlemsstaterna, särskilt Grekland, Ungern, Polen, Spanien och Cypern, att följa sina respektive rekommendationer i betänkandet om användningen av Pegasus och liknande spionprogram. Parlamentet påminner om sina rekommendationer om att gemensamma EU-normer bör följas, eftersom individuella rättigheter inte får äventyras genom att obehindrat tillträde till övervakning tillåts.</w:t>
      </w:r>
    </w:p>
    <w:p w14:paraId="7AFBE815" w14:textId="77777777" w:rsidR="00BF16A3" w:rsidRPr="00032DB8" w:rsidRDefault="00BF16A3" w:rsidP="00BF16A3">
      <w:pPr>
        <w:pStyle w:val="NormalHanging12a"/>
        <w:rPr>
          <w:szCs w:val="24"/>
        </w:rPr>
      </w:pPr>
      <w:r w:rsidRPr="00032DB8">
        <w:t>5.</w:t>
      </w:r>
      <w:r w:rsidRPr="00032DB8">
        <w:tab/>
        <w:t>Europaparlamentet uppmanar med kraft medlemsstaterna att ta fram nationella handlingsplaner för journalisters säkerhet för att därigenom skapa en gynnsam miljö för pluralistiska och oberoende medier, så att de kan blomstra och fullgöra sin viktiga övervakande roll när det gäller att utkräva ansvar av regeringar och andra aktörer.</w:t>
      </w:r>
    </w:p>
    <w:p w14:paraId="2D035628" w14:textId="77777777" w:rsidR="00BF16A3" w:rsidRPr="00032DB8" w:rsidRDefault="00BF16A3" w:rsidP="00BF16A3">
      <w:pPr>
        <w:pStyle w:val="NormalHanging12a"/>
        <w:rPr>
          <w:szCs w:val="24"/>
        </w:rPr>
      </w:pPr>
      <w:r w:rsidRPr="00032DB8">
        <w:t>6.</w:t>
      </w:r>
      <w:r w:rsidRPr="00032DB8">
        <w:tab/>
        <w:t>Europaparlamentet påminner om att handeln med och användningen av spionprogram måste regleras strikt. Parlamentet understryker att användning av spionprogram endast får tillåtas i särskilda undantagsfall i samband med utredningar av en begränsad och sluten förteckning över tydligt och exakt definierade grova brott, samt att sådan användning måste vara motiverad från fall till fall, förenlig med stadgan och annan relevant unionsrätt samt på förhand ha beordrats av en oberoende och opartisk rättslig myndighet i kombination med effektiva, kända och tillgängliga korrigerande åtgärder. Parlamentet framhåller att all övervakning med spionprogram måste granskas i efterhand av en oberoende tillsynsmyndighet, vilken måste säkerställa att all godkänd övervakning utförs i överensstämmelse med de grundläggande rättigheterna och i enlighet med de villkor som föreskrivs av domstolen, Europeiska domstolen för de mänskliga rättigheterna och Venedigkommissionen. Parlamentet insisterar på att enskilda personer som är måltavlor för spionprogram ska ges tillgång till verkliga och meningsfulla rättsmedel.</w:t>
      </w:r>
    </w:p>
    <w:p w14:paraId="740CFEFD" w14:textId="77777777" w:rsidR="00BF16A3" w:rsidRPr="00032DB8" w:rsidRDefault="00BF16A3" w:rsidP="00BF16A3">
      <w:pPr>
        <w:pStyle w:val="NormalHanging12a"/>
        <w:rPr>
          <w:szCs w:val="24"/>
        </w:rPr>
      </w:pPr>
      <w:r w:rsidRPr="00032DB8">
        <w:t>7.</w:t>
      </w:r>
      <w:r w:rsidRPr="00032DB8">
        <w:tab/>
        <w:t xml:space="preserve">Europaparlamentet betonar att korruption är oförenligt med värdena demokrati och rättsstatsprincipen, eftersom det spär på ojämlikheter och urholkar medborgarnas förtroende för god samhällsstyrning. Parlamentet är djupt oroat över den ökande korruptionen i flera medlemsstater, särskilt när det gäller fall där höga tjänstemän och politiker är inblandade. Parlamentet upprepar sitt fördömande av de påstådda korruptionsfall som involverar nuvarande och före detta ledamöter av Europaparlamentet. Parlamentet lyfter mot bakgrund av detta fram antagandet av ändringarna av sin arbetsordning, som syftar till att stärka institutionens integritet, oberoende och ansvarsskyldighet. Parlamentet är oroat över att genomförandet av EU:s ram för korruptionsbekämpning varierar mellan medlemsstaterna. Parlamentet begär att nolltolerans mot korruption ska vara grundregeln. Parlamentet efterlyser inrättandet av ett oberoende organ för etiska frågor. Parlamentet uppmanar medlemsstaterna att säkerställa att direktivet om skydd för visselblåsare genomförs fullt </w:t>
      </w:r>
      <w:r w:rsidRPr="00032DB8">
        <w:lastRenderedPageBreak/>
        <w:t>ut</w:t>
      </w:r>
      <w:r w:rsidRPr="00032DB8">
        <w:rPr>
          <w:rStyle w:val="FootnoteReference"/>
        </w:rPr>
        <w:footnoteReference w:id="47"/>
      </w:r>
      <w:r w:rsidRPr="00032DB8">
        <w:t>.</w:t>
      </w:r>
    </w:p>
    <w:p w14:paraId="319F3489" w14:textId="77777777" w:rsidR="00BF16A3" w:rsidRPr="00032DB8" w:rsidRDefault="00BF16A3" w:rsidP="00BF16A3">
      <w:pPr>
        <w:pStyle w:val="NormalHanging12a"/>
      </w:pPr>
      <w:r w:rsidRPr="00032DB8">
        <w:t>8.</w:t>
      </w:r>
      <w:r w:rsidRPr="00032DB8">
        <w:tab/>
        <w:t>Europaparlamentet betonar att rättsväsendets oberoende och effektiva kontroller och motvikter, som kan skilja sig åt mellan medlemsstaterna, är viktiga delar av rättsstatsprincipen. Parlamentet framhåller att allvarliga farhågor kvarstår när det gäller rättsstatsprincipen och rättsväsendets oberoende i flera medlemsstater. Parlamentet fördömer alla försök från medlemsstaternas regeringar att utöva politiskt inflytande eller kontroll över rättsväsendets oberoende beslutsfattande, antingen direkt eller genom en organisation.</w:t>
      </w:r>
    </w:p>
    <w:p w14:paraId="43AF32BA" w14:textId="77777777" w:rsidR="00BF16A3" w:rsidRPr="00032DB8" w:rsidRDefault="00BF16A3" w:rsidP="00BF16A3">
      <w:pPr>
        <w:pStyle w:val="NormalHanging12a"/>
        <w:rPr>
          <w:szCs w:val="24"/>
        </w:rPr>
      </w:pPr>
      <w:r w:rsidRPr="00032DB8">
        <w:t>9.</w:t>
      </w:r>
      <w:r w:rsidRPr="00032DB8">
        <w:tab/>
        <w:t>Europaparlamentet stöder inrättandet av en EU-strategi som säkerställer att konkreta och samordnade åtgärder vidtas på EU-nivå, bland annat via inrättandet av en skyddsmekanism för människorättsförsvarare i Europa, och som utgår från exemplen i EU:s utrikespolitik, så att förebyggande åtgärder, direkt stöd och ansvarsutkrävande säkras.</w:t>
      </w:r>
    </w:p>
    <w:p w14:paraId="3339E3EF" w14:textId="77777777" w:rsidR="00BF16A3" w:rsidRPr="00032DB8" w:rsidRDefault="00BF16A3" w:rsidP="00BF16A3">
      <w:pPr>
        <w:pStyle w:val="NormalHanging12a"/>
      </w:pPr>
      <w:r w:rsidRPr="00032DB8">
        <w:t>10.</w:t>
      </w:r>
      <w:r w:rsidRPr="00032DB8">
        <w:tab/>
        <w:t xml:space="preserve">Europaparlamentet ställer sig bakom att faciliteten för återhämtning och </w:t>
      </w:r>
      <w:proofErr w:type="spellStart"/>
      <w:r w:rsidRPr="00032DB8">
        <w:t>resiliens</w:t>
      </w:r>
      <w:proofErr w:type="spellEnd"/>
      <w:r w:rsidRPr="00032DB8">
        <w:t xml:space="preserve"> och de övergripande nödvändiga villkoren används för att frysa EU-finansiering med syftet att bekämpa korruption och tillbakagång när det gäller rättsstatsprincipen i medlemsstaterna. Parlamentet betonar att medel som begränsas genom olika villkorlighetsåtgärder endast får frigöras när viktiga nödvändiga villkor har uppfyllts. Parlamentet uppmanar med kraft medlemsstaterna att slutföra lämpliga åtgärder för att därmed uppnå de delmål som anges i deras respektive återhämtnings- och </w:t>
      </w:r>
      <w:proofErr w:type="spellStart"/>
      <w:r w:rsidRPr="00032DB8">
        <w:t>resiliensplaner</w:t>
      </w:r>
      <w:proofErr w:type="spellEnd"/>
      <w:r w:rsidRPr="00032DB8">
        <w:t>. Parlamentet uppmanar Europeiska rådet att vidta åtgärder och att slå fast om Ungern allvarligt och ihållande har åsidosatt EU:s värden enligt artikel 7.2 i EU</w:t>
      </w:r>
      <w:r w:rsidRPr="00032DB8">
        <w:noBreakHyphen/>
        <w:t xml:space="preserve">fördraget. Parlamentet beklagar djupt att de ungerska myndigheterna systematiskt skuldbelägger </w:t>
      </w:r>
      <w:proofErr w:type="spellStart"/>
      <w:r w:rsidRPr="00032DB8">
        <w:t>hbtqi</w:t>
      </w:r>
      <w:proofErr w:type="spellEnd"/>
      <w:r w:rsidRPr="00032DB8">
        <w:t>-personer. Parlamentet understryker att rådet delar ansvaret för att skydda de värden som fastställs i artikel 2 i EU-fördraget och att underlåtenhet att göra detta skulle få långvariga och potentiellt skadliga konsekvenser. Parlamentet insisterar på att dess roll och befogenheter respekteras.</w:t>
      </w:r>
    </w:p>
    <w:p w14:paraId="4EEA23E9" w14:textId="77777777" w:rsidR="00BF16A3" w:rsidRPr="00032DB8" w:rsidRDefault="00BF16A3" w:rsidP="00BF16A3">
      <w:pPr>
        <w:pStyle w:val="NormalHanging12a"/>
        <w:rPr>
          <w:szCs w:val="24"/>
        </w:rPr>
      </w:pPr>
      <w:r w:rsidRPr="00032DB8">
        <w:t>11.</w:t>
      </w:r>
      <w:r w:rsidRPr="00032DB8">
        <w:tab/>
        <w:t>Europaparlamentet beklagar djupt att vissa medlemsstater förlänger undantagsåtgärder utöver vad som är nödvändigt och proportionerligt och att de skyndar på att anta lagstiftning utan att ordentliga samråd hålls.</w:t>
      </w:r>
    </w:p>
    <w:p w14:paraId="0770848E" w14:textId="77777777" w:rsidR="00BF16A3" w:rsidRPr="00032DB8" w:rsidRDefault="00BF16A3" w:rsidP="00BF16A3">
      <w:pPr>
        <w:pStyle w:val="NormalHanging12a"/>
        <w:rPr>
          <w:szCs w:val="24"/>
        </w:rPr>
      </w:pPr>
      <w:r w:rsidRPr="00032DB8">
        <w:t>12.</w:t>
      </w:r>
      <w:r w:rsidRPr="00032DB8">
        <w:tab/>
        <w:t>Europaparlamentet framhåller på nytt det överhängande behovet av att det inrättas en EU-mekanism för demokrati, rättsstatlighet och grundläggande rättigheter och uppmanar med kraft kommissionen och rådet att omedelbart inleda förhandlingar med parlamentet om detta avtal.</w:t>
      </w:r>
    </w:p>
    <w:p w14:paraId="0299E613" w14:textId="77777777" w:rsidR="00BF16A3" w:rsidRPr="00032DB8" w:rsidRDefault="00BF16A3" w:rsidP="00BF16A3">
      <w:pPr>
        <w:pStyle w:val="NormalHanging12a"/>
        <w:rPr>
          <w:szCs w:val="24"/>
        </w:rPr>
      </w:pPr>
      <w:r w:rsidRPr="00032DB8">
        <w:t>13.</w:t>
      </w:r>
      <w:r w:rsidRPr="00032DB8">
        <w:tab/>
        <w:t>Europaparlamentet välkomnar domstolens införande av sändningar och direktströmning under 2022 för att ge allmänheten delvis tillgång till domstolens dömande verksamhet.</w:t>
      </w:r>
    </w:p>
    <w:p w14:paraId="651C1A00" w14:textId="77777777" w:rsidR="00BF16A3" w:rsidRPr="00032DB8" w:rsidRDefault="00BF16A3" w:rsidP="00BF16A3">
      <w:pPr>
        <w:pStyle w:val="Normal12a24b"/>
        <w:rPr>
          <w:i/>
        </w:rPr>
      </w:pPr>
      <w:r w:rsidRPr="00032DB8">
        <w:rPr>
          <w:rStyle w:val="Bold"/>
          <w:i/>
        </w:rPr>
        <w:t>Friheter</w:t>
      </w:r>
    </w:p>
    <w:p w14:paraId="021E6D90" w14:textId="77777777" w:rsidR="00BF16A3" w:rsidRPr="00032DB8" w:rsidRDefault="00BF16A3" w:rsidP="00BF16A3">
      <w:pPr>
        <w:pStyle w:val="NormalHanging12a"/>
        <w:rPr>
          <w:szCs w:val="24"/>
        </w:rPr>
      </w:pPr>
      <w:r w:rsidRPr="00032DB8">
        <w:t>14.</w:t>
      </w:r>
      <w:r w:rsidRPr="00032DB8">
        <w:tab/>
        <w:t xml:space="preserve">Europaparlamentet uttrycker djup oro över de växande hoten mot förenings-, yttrande- och mötesfriheten. Parlamentet upprepar att rätten till fredliga sammankomster endast </w:t>
      </w:r>
      <w:r w:rsidRPr="00032DB8">
        <w:lastRenderedPageBreak/>
        <w:t>kan begränsas om det föreskrivs i lag och om det är nödvändigt och proportionerligt för att skydda ett allmänt intresse som erkänns av unionen eller andras rättigheter och friheter. Parlamentet fördömer att brottsbekämpande myndigheter i vissa fall har gjort våldsamma och oproportionerliga ingripanden i samband med fredliga protester, och fördömer fall av godtyckliga massgripanden av potentiella demonstranter. Parlamentet uppmuntrar de berörda nationella myndigheterna att se till att öppna, opartiska, oberoende och effektiva utredningar görs av misstänkt eller påstådd användning av oproportionerligt våld. Parlamentet uppmanar medlemsstaterna att använda alternativa metoder för att upprätthålla den allmänna ordningen som redan har visat sig vara effektiva i andra medlemsstater.</w:t>
      </w:r>
    </w:p>
    <w:p w14:paraId="645DE595" w14:textId="77777777" w:rsidR="00BF16A3" w:rsidRPr="00032DB8" w:rsidRDefault="00BF16A3" w:rsidP="00BF16A3">
      <w:pPr>
        <w:pStyle w:val="NormalHanging12a"/>
      </w:pPr>
      <w:r w:rsidRPr="00032DB8">
        <w:t>15.</w:t>
      </w:r>
      <w:r w:rsidRPr="00032DB8">
        <w:tab/>
        <w:t xml:space="preserve">Europaparlamentet betonar att information måste vara allmänt tillgänglig och mångsidig om rätten till yttrande- och informationsfrihet, som är grundläggande i alla demokratier, ska kunna säkras. Parlamentet understryker att den konstnärliga friheten måste tryggas. Parlamentet betonar att desinformation kan ha en mycket störande inverkan på de demokratiska samhällenas, ekonomiernas och politiska systemens funktion. Parlamentet upprepar att mediekompetens och digital kompetens behöver ingå i medborgarutbildningen om spridningen av desinformation ska kunna motverkas. Parlamentet upprepar sina rekommendationer om att verkningsfulla åtgärder bör vidtas för att bekämpa desinformation från illasinnade utländska makter, särskilt med tanke på det kommande valet till Europaparlamentet. Parlamentet understryker att ett oberoende och pluralistiskt medielandskap, både online och </w:t>
      </w:r>
      <w:proofErr w:type="spellStart"/>
      <w:r w:rsidRPr="00032DB8">
        <w:t>offline</w:t>
      </w:r>
      <w:proofErr w:type="spellEnd"/>
      <w:r w:rsidRPr="00032DB8">
        <w:t>, är oumbärligt för att effektivt motverka desinformation och propaganda och att det därför måste främjas, bland annat genom ändamålsenliga åtgärder mot mediekoncentrationer.</w:t>
      </w:r>
    </w:p>
    <w:p w14:paraId="013D6EC9" w14:textId="77777777" w:rsidR="00BF16A3" w:rsidRPr="00032DB8" w:rsidRDefault="00BF16A3" w:rsidP="00BF16A3">
      <w:pPr>
        <w:pStyle w:val="NormalHanging12a"/>
        <w:rPr>
          <w:szCs w:val="24"/>
        </w:rPr>
      </w:pPr>
      <w:r w:rsidRPr="00032DB8">
        <w:t>16.</w:t>
      </w:r>
      <w:r w:rsidRPr="00032DB8">
        <w:tab/>
        <w:t xml:space="preserve"> Europaparlamentet betonar att nationella tillsynsmyndigheter och/eller tillsynsorgan enligt unionsrätten måste vara funktionellt oberoende av sina regeringar och att de inte får begära eller ta emot instruktioner från något annat organ. Parlamentet lyfter fram att det är av yttersta vikt att medlemsstaternas och kommissionens mediereglering och medietillsyn är politiskt oberoende, att det redaktionella oberoendet värnas i hela EU, att journalister skyddas mot övervakning samt att journalisters källor skyddas. Parlamentet efterlyser i detta avseende antagandet av en robust europeisk mediefrihetsakt för att trygga mediernas oberoende, mångfald och frihet i hela EU och skapa insyn i ägandet och finansieringen.</w:t>
      </w:r>
    </w:p>
    <w:p w14:paraId="2CCFBD7B" w14:textId="77777777" w:rsidR="00BF16A3" w:rsidRPr="00032DB8" w:rsidRDefault="00BF16A3" w:rsidP="00BF16A3">
      <w:pPr>
        <w:pStyle w:val="NormalHanging12a"/>
        <w:rPr>
          <w:szCs w:val="24"/>
        </w:rPr>
      </w:pPr>
      <w:r w:rsidRPr="00032DB8">
        <w:t>17.</w:t>
      </w:r>
      <w:r w:rsidRPr="00032DB8">
        <w:tab/>
        <w:t>Europaparlamentet understryker civilsamhällesorganisationernas avgörande roll i att främja aktivt medborgarskap, grundläggande rättigheter och demokratiskt deltagande i Europa. Parlamentet uppmanar med kraft kommissionen att lägga fram en strategi och att fastställa miniminormer för skydd av civilsamhällesorganisationer i alla medlemsstater för att därigenom verka för en rättslig och politisk miljö som är fri från avkylande effekter, hot och attacker samt att ge civilsamhällesorganisationer hållbar och icke-diskriminerande tillgång till resurser och uppmuntra dem att delta i den civila dialogen och i det politiska beslutsfattandet. Parlamentet beklagar att situationen för människorättsförsvarare i EU har försämrats på ett oroväckande sätt under de senaste åren. Parlamentet uppmanar med kraft kommissionen och medlemsstaterna att vidta de åtgärder som krävs för att se till att människorättsförsvarare kan arbeta obehindrat och i trygghet.</w:t>
      </w:r>
    </w:p>
    <w:p w14:paraId="38A4F4D2" w14:textId="77777777" w:rsidR="00BF16A3" w:rsidRPr="00032DB8" w:rsidRDefault="00BF16A3" w:rsidP="00BF16A3">
      <w:pPr>
        <w:pStyle w:val="NormalHanging12a"/>
        <w:rPr>
          <w:szCs w:val="24"/>
        </w:rPr>
      </w:pPr>
      <w:r w:rsidRPr="00032DB8">
        <w:t>18.</w:t>
      </w:r>
      <w:r w:rsidRPr="00032DB8">
        <w:tab/>
        <w:t xml:space="preserve">Europaparlamentet påminner om att alla enligt artikel 6 i stadgan har rätt till frihet och säkerhet, vilket innebär att alla inom EU bör skyddas från olagliga och godtyckliga gripanden. Parlamentet uppmanar medlemsstaterna att följa kommissionens </w:t>
      </w:r>
      <w:r w:rsidRPr="00032DB8">
        <w:lastRenderedPageBreak/>
        <w:t>rekommendation om misstänktas och tilltalades processuella rättigheter, så att förhållandena vid frihetsberövande förbättras och rätten till frihet och säkerhet därmed kan skyddas i större utsträckning.</w:t>
      </w:r>
    </w:p>
    <w:p w14:paraId="2B50F92A" w14:textId="77777777" w:rsidR="00BF16A3" w:rsidRPr="00032DB8" w:rsidRDefault="00BF16A3" w:rsidP="00BF16A3">
      <w:pPr>
        <w:pStyle w:val="NormalHanging12a"/>
      </w:pPr>
      <w:r w:rsidRPr="00032DB8">
        <w:t>19.</w:t>
      </w:r>
      <w:r w:rsidRPr="00032DB8">
        <w:tab/>
        <w:t>Europaparlamentet fördömer den ökade diskrimineringen på grund av religion eller trosuppfattning och de allt fler rasistiska incidenterna i EU. Parlamentet uppmanar i detta avseende kommissionen och medlemsstaterna att vidta kraftfulla åtgärder, även på internationell nivå. Parlamentet påminner om att var och en enligt artikel 10 i stadgan har rätt till tankefrihet, samvetsfrihet och religionsfrihet. Parlamentet beklagar att fall av diskriminering och rasistiska och främlingsfientliga brott ofta inte rapporteras till myndigheterna, vilket i praktiken leder till straffrihet. Parlamentet beklagar att inte alla medlemsstater fullt ut har införlivat rambeslutet om bekämpande av vissa former av och uttryck för rasism och främlingsfientlighet enligt strafflagstiftningen.</w:t>
      </w:r>
    </w:p>
    <w:p w14:paraId="5C738C62" w14:textId="77777777" w:rsidR="00BF16A3" w:rsidRPr="00032DB8" w:rsidRDefault="00BF16A3" w:rsidP="00BF16A3">
      <w:pPr>
        <w:pStyle w:val="NormalHanging12a"/>
        <w:rPr>
          <w:szCs w:val="24"/>
        </w:rPr>
      </w:pPr>
      <w:r w:rsidRPr="00032DB8">
        <w:t>20.</w:t>
      </w:r>
      <w:r w:rsidRPr="00032DB8">
        <w:tab/>
        <w:t>Europaparlamentet är oroat över det ökande antalet fall av polisbrutalitet mot den romska befolkningen. Parlamentet uppmanar medlemsstaterna att noggrant utreda dessa incidenter för att se till att det inte råder straffrihet för införande och/eller genomförande av repressiva, våldsamma åtgärder mot romer eller romska befolkningsgrupper. Parlamentet uppmanar vidare medlemsstaterna att komma till rätta med diskriminerande polisinspelningar, anmälningar, åtal och domstolsutslag samt den bristande tillgången till rättslig prövning för romer.</w:t>
      </w:r>
    </w:p>
    <w:p w14:paraId="57DD7A6B" w14:textId="77777777" w:rsidR="00BF16A3" w:rsidRPr="00032DB8" w:rsidRDefault="00BF16A3" w:rsidP="00BF16A3">
      <w:pPr>
        <w:pStyle w:val="NormalHanging12a"/>
        <w:rPr>
          <w:szCs w:val="24"/>
        </w:rPr>
      </w:pPr>
      <w:r w:rsidRPr="00032DB8">
        <w:t>21.</w:t>
      </w:r>
      <w:r w:rsidRPr="00032DB8">
        <w:tab/>
        <w:t xml:space="preserve">Europaparlamentet påpekar att rätten till skydd av personuppgifter blir allt viktigare till följd av </w:t>
      </w:r>
      <w:proofErr w:type="spellStart"/>
      <w:r w:rsidRPr="00032DB8">
        <w:t>datafieringen</w:t>
      </w:r>
      <w:proofErr w:type="spellEnd"/>
      <w:r w:rsidRPr="00032DB8">
        <w:t xml:space="preserve"> av vardagslivet och olika dataskandaler. Parlamentet upprepar sin oro över den inkonsekventa tillämpningen av den allmänna dataskyddsförordningen. Parlamentet står bakom initiativen för att stärka lagstiftningsprocessen om ett </w:t>
      </w:r>
      <w:proofErr w:type="spellStart"/>
      <w:r w:rsidRPr="00032DB8">
        <w:t>EU</w:t>
      </w:r>
      <w:r w:rsidRPr="00032DB8">
        <w:noBreakHyphen/>
        <w:t>regelverk</w:t>
      </w:r>
      <w:proofErr w:type="spellEnd"/>
      <w:r w:rsidRPr="00032DB8">
        <w:t xml:space="preserve"> för artificiell intelligens som ger ett starkt skydd för de grundläggande rättigheterna.</w:t>
      </w:r>
    </w:p>
    <w:p w14:paraId="66AE4D82" w14:textId="77777777" w:rsidR="00BF16A3" w:rsidRPr="00032DB8" w:rsidRDefault="00BF16A3" w:rsidP="00BF16A3">
      <w:pPr>
        <w:pStyle w:val="NormalHanging12a"/>
      </w:pPr>
      <w:r w:rsidRPr="00032DB8">
        <w:t>22.</w:t>
      </w:r>
      <w:r w:rsidRPr="00032DB8">
        <w:tab/>
        <w:t>Europaparlamentet fördömer kraftfullt de utbredda kränkningarna av de grundläggande rättigheterna och användningen av oproportionerligt våld mot migranter och flyktingar vid EU:s gränser, såsom godtyckliga frihetsberövanden, omänskliga levnadsvillkor och bristande tillgång till hälso- och sjukvård, olagliga återsändanden och våldsamma avvisningar. Parlamentet är mycket oroat över att medlemsstaterna kodifierar användningen av avvisningar i den nationella lagstiftningen. Parlamentet fördömer alla lagar i medlemsstaterna som undergräver ett verkligt skydd av de mänskliga rättigheterna för flyktingar, asylsökande och migranter på land och till havs, samt kriminaliseringen av biståndsarbetare och aktivister. Parlamentet betonar att nästan en tredjedel av de asylsökande är barn och upprepar att förvar av barn i samband med invandring inte bör tillåtas.</w:t>
      </w:r>
    </w:p>
    <w:p w14:paraId="47E070FB" w14:textId="77777777" w:rsidR="00BF16A3" w:rsidRPr="00032DB8" w:rsidRDefault="00BF16A3" w:rsidP="00BF16A3">
      <w:pPr>
        <w:pStyle w:val="NormalHanging12a"/>
        <w:rPr>
          <w:szCs w:val="24"/>
        </w:rPr>
      </w:pPr>
      <w:r w:rsidRPr="00032DB8">
        <w:t>23.</w:t>
      </w:r>
      <w:r w:rsidRPr="00032DB8">
        <w:tab/>
        <w:t>Europaparlamentet uppmanar EU och medlemsstaterna att se till att effektiva tillsynsmekanismer införs så att respekten för de grundläggande rättigheterna säkerställs vid de yttre gränserna, något som även bör omfatta tillsyn över gränsövervakningsverksamhet. Parlamentet uppmanar vidare kommissionen och medlemsstaterna att se till att de personer vars uppgifter lagras i databaserna i EU:s storskaliga informationssystem informeras om sina rättigheter och har tillgång till de rättsmedel som finns att nyttja.</w:t>
      </w:r>
    </w:p>
    <w:p w14:paraId="085B3796" w14:textId="77777777" w:rsidR="00BF16A3" w:rsidRPr="00032DB8" w:rsidRDefault="00BF16A3" w:rsidP="00BF16A3">
      <w:pPr>
        <w:pStyle w:val="NormalHanging12a"/>
        <w:rPr>
          <w:szCs w:val="24"/>
        </w:rPr>
      </w:pPr>
      <w:r w:rsidRPr="00032DB8">
        <w:t>24.</w:t>
      </w:r>
      <w:r w:rsidRPr="00032DB8">
        <w:tab/>
        <w:t xml:space="preserve">Europaparlamentet beklagar djupt de många dödsfallen till havs bland flyktingar och migranter, som ofta är offer för människohandel och utsätts för omänsklig och </w:t>
      </w:r>
      <w:r w:rsidRPr="00032DB8">
        <w:lastRenderedPageBreak/>
        <w:t>förnedrande behandling utan att deras säkerhet beaktas. Parlamentet framhåller på nytt skyldigheten enligt internationell rätt att bistå personer i nöd och efterlyser omgående permanenta och samordnade sök- och räddningsinsatser med snabba landstigningar, och uppmanar medlemsstaterna att vidta alla tänkbara åtgärder för att undsätta de människor som riskerar livet till havs. Parlamentet vill se att rätten till asyl för alla som räddats till havs respekteras genom att en bedömning av de individuella omständigheterna görs från fall till fall.</w:t>
      </w:r>
    </w:p>
    <w:p w14:paraId="2E702646" w14:textId="77777777" w:rsidR="00BF16A3" w:rsidRPr="00032DB8" w:rsidRDefault="00BF16A3" w:rsidP="00BF16A3">
      <w:pPr>
        <w:pStyle w:val="NormalHanging12a"/>
        <w:rPr>
          <w:szCs w:val="24"/>
        </w:rPr>
      </w:pPr>
      <w:r w:rsidRPr="00032DB8">
        <w:t>25.</w:t>
      </w:r>
      <w:r w:rsidRPr="00032DB8">
        <w:tab/>
        <w:t>Europaparlamentet noterar att flera medlemsstater hänvisar till den nationella säkerheten som en avgörande faktor för inrikespolitiken, såsom migrationen. Parlamentet betonar att alla åtgärder som vidtas på grundval av den nationella säkerheten måste vara nödvändiga och proportionerliga och att de inte får undergräva de rättigheter som fastställs i stadgan. Parlamentet påminner om att det i artikel 19 i stadgan föreskrivs skydd vid avlägsnande, utvisning och utlämning genom att ett förbud fastställs mot kollektiva utvisningar, vilket innebär att det måste göras individuella bedömningar och att ansökningar om internationellt skydd inte får avslås enbart på grundval av en viss nationalitet.</w:t>
      </w:r>
    </w:p>
    <w:p w14:paraId="1F79086C" w14:textId="77777777" w:rsidR="00BF16A3" w:rsidRPr="00032DB8" w:rsidRDefault="00BF16A3" w:rsidP="00BF16A3">
      <w:pPr>
        <w:pStyle w:val="NormalHanging12a"/>
        <w:rPr>
          <w:szCs w:val="24"/>
        </w:rPr>
      </w:pPr>
      <w:r w:rsidRPr="00032DB8">
        <w:t>26.</w:t>
      </w:r>
      <w:r w:rsidRPr="00032DB8">
        <w:tab/>
        <w:t>Europaparlamentet välkomnar aktiveringen av EU:s direktiv om tillfälligt skydd</w:t>
      </w:r>
      <w:r w:rsidRPr="00032DB8">
        <w:rPr>
          <w:rStyle w:val="FootnoteReference"/>
        </w:rPr>
        <w:footnoteReference w:id="48"/>
      </w:r>
      <w:r w:rsidRPr="00032DB8">
        <w:t xml:space="preserve"> efter kriget i Ukraina, och konstaterar att direktivet syftar till att ge alla flyktingar och asylsökande oavsett ursprung tillgång till skydd. Parlamentet påminner om att ett jämställdhetsperspektiv måste beaktas när det gäller tillgång till bostäder, sysselsättning, utbildning, hälso- och sjukvård och sociala tjänster enligt direktivet om tillfälligt skydd. Parlamentet beklagar djupt den ojämlika behandling, den rasdiskriminering och det våld som drabbar icke-ukrainare som flyr konflikten, särskilt icke-vita och </w:t>
      </w:r>
      <w:proofErr w:type="spellStart"/>
      <w:r w:rsidRPr="00032DB8">
        <w:t>hbtqi</w:t>
      </w:r>
      <w:proofErr w:type="spellEnd"/>
      <w:r w:rsidRPr="00032DB8">
        <w:t>-personer. Parlamentet beklagar djupt att migranter och flyktingar behandlas på olika sätt i EU och vill se ett slut på denna situation.</w:t>
      </w:r>
    </w:p>
    <w:p w14:paraId="0144EB88" w14:textId="77777777" w:rsidR="00BF16A3" w:rsidRPr="00032DB8" w:rsidRDefault="00BF16A3" w:rsidP="00BF16A3">
      <w:pPr>
        <w:pStyle w:val="NormalHanging12a"/>
        <w:rPr>
          <w:szCs w:val="24"/>
        </w:rPr>
      </w:pPr>
      <w:r w:rsidRPr="00032DB8">
        <w:t>27.</w:t>
      </w:r>
      <w:r w:rsidRPr="00032DB8">
        <w:tab/>
        <w:t>Europaparlamentet välkomnar rekommendationen från Europarådets ministerkommitté om skydd av rättigheterna för kvinnor och flickor som migrerar, flyr och söker asyl, i vilken medlemsstaterna uppmanas att vidta åtgärder för att förhindra diskriminering av kvinnor som befinner sig i sådana situationer, bland annat genom att främja tillgången till sysselsättning och sexuell och reproduktiv hälso- och sjukvård och underlätta tillgången till tjänster och rättslig prövning för personer som överlevt könsrelaterat våld</w:t>
      </w:r>
      <w:r w:rsidRPr="00032DB8">
        <w:rPr>
          <w:vertAlign w:val="superscript"/>
        </w:rPr>
        <w:footnoteReference w:id="49"/>
      </w:r>
      <w:r w:rsidRPr="00032DB8">
        <w:t>.</w:t>
      </w:r>
    </w:p>
    <w:p w14:paraId="4C0C8125" w14:textId="77777777" w:rsidR="00BF16A3" w:rsidRPr="00032DB8" w:rsidRDefault="00BF16A3" w:rsidP="00BF16A3">
      <w:pPr>
        <w:pStyle w:val="NormalHanging12a"/>
        <w:rPr>
          <w:szCs w:val="24"/>
        </w:rPr>
      </w:pPr>
      <w:r w:rsidRPr="00032DB8">
        <w:t>28.</w:t>
      </w:r>
      <w:r w:rsidRPr="00032DB8">
        <w:tab/>
        <w:t>Europaparlamentet noterar med oro den stora befolkningen statslösa personer i EU, särskilt barn som föds statslösa. Parlamentet uppmanar kommissionen att ta fram en övergripande strategi och handlingsplan för att komma till rätta med statslösheten i EU och skydda statslösa personer från utvisning. Parlamentet uppmanar medlemsstaterna att på lämpligt sätt identifiera, erkänna och skydda statslösa personer och att ta upp statslösa personers särskilda utsatthet till behandling.</w:t>
      </w:r>
    </w:p>
    <w:p w14:paraId="16C33FE3" w14:textId="77777777" w:rsidR="00BF16A3" w:rsidRPr="00032DB8" w:rsidRDefault="00BF16A3" w:rsidP="00BF16A3">
      <w:pPr>
        <w:pStyle w:val="Normal12a24b"/>
        <w:rPr>
          <w:i/>
        </w:rPr>
      </w:pPr>
      <w:r w:rsidRPr="00032DB8">
        <w:rPr>
          <w:rStyle w:val="Bold"/>
          <w:i/>
        </w:rPr>
        <w:lastRenderedPageBreak/>
        <w:t>Jämställdhet och värdighet</w:t>
      </w:r>
    </w:p>
    <w:p w14:paraId="5B76A56E" w14:textId="77777777" w:rsidR="00BF16A3" w:rsidRPr="00032DB8" w:rsidRDefault="00BF16A3" w:rsidP="00BF16A3">
      <w:pPr>
        <w:pStyle w:val="NormalHanging12a"/>
      </w:pPr>
      <w:r w:rsidRPr="00032DB8">
        <w:t>29.</w:t>
      </w:r>
      <w:r w:rsidRPr="00032DB8">
        <w:tab/>
        <w:t xml:space="preserve">Europaparlamentet uppmanar kommissionen att se till att rätten till icke-diskriminering och likabehandling respekteras i hela EU. Parlamentet beklagar djupt att förslaget om det övergripande antidiskrimineringsdirektivet har blockerats i rådet sedan 2008. Parlamentet anser att alla uppdateringar som kommissionen gör av förslaget måste bygga på parlamentets ståndpunkt, behandla </w:t>
      </w:r>
      <w:proofErr w:type="spellStart"/>
      <w:r w:rsidRPr="00032DB8">
        <w:t>intersektionell</w:t>
      </w:r>
      <w:proofErr w:type="spellEnd"/>
      <w:r w:rsidRPr="00032DB8">
        <w:t xml:space="preserve"> diskriminering och uttryckligen förbjuda diskriminering på alla de kombinationer av diskrimineringsgrunder som anges i stadgan. Parlamentet beklagar att rådet har ignorerat dessa krav och uppmanar rådet att integrera dem i sitt mandat och vidta alla lämpliga åtgärder för att bekämpa diskriminering i EU.</w:t>
      </w:r>
    </w:p>
    <w:p w14:paraId="71B54F1D" w14:textId="77777777" w:rsidR="00BF16A3" w:rsidRPr="00032DB8" w:rsidRDefault="00BF16A3" w:rsidP="00BF16A3">
      <w:pPr>
        <w:pStyle w:val="NormalHanging12a"/>
        <w:rPr>
          <w:szCs w:val="24"/>
        </w:rPr>
      </w:pPr>
      <w:r w:rsidRPr="00032DB8">
        <w:t>30.</w:t>
      </w:r>
      <w:r w:rsidRPr="00032DB8">
        <w:tab/>
        <w:t>Europaparlamentet uppmanar kommissionen att övervaka och säkerställa en ordentlig uppföljning av genomförandet av medlemsstaternas nationella handlingsplaner mot rasism och EU:s handlingsplan mot rasism. Parlamentet uppmanar vidare kommissionen att integrera antirasism och antidiskriminering i all EU-politik. Parlamentet uppmanar de kommande rådsordförandeskapen att allvarligt överväga att inrätta en rådskonstellation för jämställdhet och jämlikhet.</w:t>
      </w:r>
    </w:p>
    <w:p w14:paraId="53A909CA" w14:textId="77777777" w:rsidR="00BF16A3" w:rsidRPr="00032DB8" w:rsidRDefault="00BF16A3" w:rsidP="00BF16A3">
      <w:pPr>
        <w:pStyle w:val="NormalHanging12a"/>
        <w:rPr>
          <w:szCs w:val="24"/>
        </w:rPr>
      </w:pPr>
      <w:r w:rsidRPr="00032DB8">
        <w:t>31.</w:t>
      </w:r>
      <w:r w:rsidRPr="00032DB8">
        <w:tab/>
        <w:t>Europaparlamentet uppmanar kommissionen och medlemsstaterna att med hjälp av ändamålsenliga lagstiftningsåtgärder och politiska åtgärder motverka rasdiskriminering inom alla samhällsområden, med särskilt fokus på utbildning och förebyggande av skolsegregering, både i medlemsstaterna och i utvidgningsländerna.</w:t>
      </w:r>
    </w:p>
    <w:p w14:paraId="16E966C6" w14:textId="77777777" w:rsidR="00BF16A3" w:rsidRPr="00032DB8" w:rsidRDefault="00BF16A3" w:rsidP="00BF16A3">
      <w:pPr>
        <w:pStyle w:val="NormalHanging12a"/>
        <w:rPr>
          <w:szCs w:val="24"/>
        </w:rPr>
      </w:pPr>
      <w:r w:rsidRPr="00032DB8">
        <w:t>32.</w:t>
      </w:r>
      <w:r w:rsidRPr="00032DB8">
        <w:tab/>
        <w:t xml:space="preserve">När det gäller digitalisering påminner Europaparlamentet om att man behöver vara ytterst uppmärksam på diskriminerande snedvridningar som integreras i ny teknik och ställa krav på att utvecklare och spridare av sådan teknik tillhandahåller offentligt tillgänglig information om hur systemen tränas. Parlamentet uppmanar kommissionen och medlemsstaterna att vidta åtgärder för att förhindra att ny teknik, inklusive artificiell intelligens (AI), förvärrar diskriminering, befintliga ojämlikheter och fattigdom. Parlamentet uppmanar kommissionen och medlemsstaterna att se till att AI-system vägleds av principerna om transparens, förklarbarhet, rättvisa och ansvarsskyldighet och att det införs konsekvensbedömningar avseende grundläggande rättigheter. Parlamentet uppmanar vidare kommissionen och medlemsstaterna att motverka klyftorna mellan könen och den bristande mångfalden inom sektorerna för informations- och kommunikationsteknik (IKT) och naturvetenskap, teknik, ingenjörsvetenskap och matematik, särskilt när det gäller utvecklingen av ny teknik och i synnerhet på beslutsfattande positioner. </w:t>
      </w:r>
    </w:p>
    <w:p w14:paraId="13186BFC" w14:textId="77777777" w:rsidR="00BF16A3" w:rsidRPr="00032DB8" w:rsidRDefault="00BF16A3" w:rsidP="00BF16A3">
      <w:pPr>
        <w:pStyle w:val="NormalHanging12a"/>
        <w:widowControl/>
        <w:rPr>
          <w:szCs w:val="24"/>
        </w:rPr>
      </w:pPr>
      <w:r w:rsidRPr="00032DB8">
        <w:t>33.</w:t>
      </w:r>
      <w:r w:rsidRPr="00032DB8">
        <w:tab/>
        <w:t>Europaparlamentet påminner om vikten av att barn som tillhör nationella minoriteter kan gå i särskilda skolor som erbjuder utbildning på barnets språk. Parlamentet uppmuntrar till att företrädare för nationella minoriteter inkluderas i beslutsprocesser som rör deras utbildningssystem.</w:t>
      </w:r>
    </w:p>
    <w:p w14:paraId="2AF362E9" w14:textId="77777777" w:rsidR="00BF16A3" w:rsidRPr="00032DB8" w:rsidRDefault="00BF16A3" w:rsidP="00BF16A3">
      <w:pPr>
        <w:pStyle w:val="NormalHanging12a"/>
      </w:pPr>
      <w:r w:rsidRPr="00032DB8">
        <w:t>34.</w:t>
      </w:r>
      <w:r w:rsidRPr="00032DB8">
        <w:tab/>
        <w:t>Europaparlamentet påminner om att könsrelaterat våld är mycket vanligt i alla EU</w:t>
      </w:r>
      <w:r w:rsidRPr="00032DB8">
        <w:noBreakHyphen/>
        <w:t xml:space="preserve">medlemsstater. Parlamentet fördömer skarpt den snabba tillbakagången när det gäller kvinnors och </w:t>
      </w:r>
      <w:proofErr w:type="spellStart"/>
      <w:r w:rsidRPr="00032DB8">
        <w:t>hbtqi</w:t>
      </w:r>
      <w:proofErr w:type="spellEnd"/>
      <w:r w:rsidRPr="00032DB8">
        <w:t xml:space="preserve">-personers rättigheter i flera medlemsstater. Parlamentet fördömer kraftfullt att kvinnor förvägras säkra och lagliga aborter, eftersom detta är en form av könsrelaterat våld. Parlamentet framhåller att Europadomstolen har slagit fast att restriktiva abortlagar och ett bristfälligt genomförande kränker kvinnors rätt till kroppsligt självbestämmande och kroppslig integritet. Parlamentet upprepar sitt </w:t>
      </w:r>
      <w:r w:rsidRPr="00032DB8">
        <w:lastRenderedPageBreak/>
        <w:t>fördömande av den polska lag som i stort sett föreskriver ett totalförbud mot abort. Parlamentet påminner om att invånare som stöder tillgången till abort när det inte är fritt och lagligt inte bör lagföras. Parlamentet upprepar sitt krav på att aborträtten ska ingå i stadgan.</w:t>
      </w:r>
    </w:p>
    <w:p w14:paraId="56265F9B" w14:textId="77777777" w:rsidR="00BF16A3" w:rsidRPr="00032DB8" w:rsidRDefault="00BF16A3" w:rsidP="00BF16A3">
      <w:pPr>
        <w:pStyle w:val="NormalHanging12a"/>
        <w:rPr>
          <w:szCs w:val="24"/>
        </w:rPr>
      </w:pPr>
      <w:r w:rsidRPr="00032DB8">
        <w:t>35.</w:t>
      </w:r>
      <w:r w:rsidRPr="00032DB8">
        <w:tab/>
        <w:t>Europaparlamentet välkomnar kommissionens förslag till direktiv om bekämpning av våld mot kvinnor och våld i nära relationer och vill se ett snabbt slutförande av förhandlingarna samt ett införande av könsrelaterat våld i förteckningen över EU-brott. Parlamentet betonar att de skyldigheter som fastställs i Istanbulkonventionen bör fastställas som minimistandard i ett sådant direktiv och att direktivet bör syfta till att stärka dessa standarder för att därigenom höja skyddsnivån. Parlamentet välkomnar EU:s ratificering av Istanbulkonventionen, som trädde i kraft den 1 oktober 2023. Parlamentet uppmanar medlemsstaterna att snabbt ratificera konventionen för att skydda kvinnor mot våld.</w:t>
      </w:r>
    </w:p>
    <w:p w14:paraId="192EAAC8" w14:textId="77777777" w:rsidR="00BF16A3" w:rsidRPr="00032DB8" w:rsidRDefault="00BF16A3" w:rsidP="00BF16A3">
      <w:pPr>
        <w:pStyle w:val="NormalHanging12a"/>
        <w:rPr>
          <w:szCs w:val="24"/>
        </w:rPr>
      </w:pPr>
      <w:r w:rsidRPr="00032DB8">
        <w:t>36.</w:t>
      </w:r>
      <w:r w:rsidRPr="00032DB8">
        <w:tab/>
        <w:t xml:space="preserve">Europaparlamentet understryker att personer med funktionsnedsättning, särskilt kvinnor med funktionsnedsättning, fortfarande utsätts för flerfaldig och </w:t>
      </w:r>
      <w:proofErr w:type="spellStart"/>
      <w:r w:rsidRPr="00032DB8">
        <w:t>intersektionell</w:t>
      </w:r>
      <w:proofErr w:type="spellEnd"/>
      <w:r w:rsidRPr="00032DB8">
        <w:t xml:space="preserve"> diskriminering på grund av funktionsnedsättning, kön, ras, etniskt ursprung, ålder, religion eller övertygelse, sexuell läggning, migrationsstatus eller socioekonomisk bakgrund. Parlamentet betonar att kvinnor och flickor med funktionsnedsättning är särskilt utsatta för könsrelaterat våld, inbegripet fysiskt, sexuellt, psykiskt och ekonomiskt våld. Parlamentet uppmanar kommissionen och medlemsstaterna att se till att mekanismer för att anmäla våld mot personer med funktionsnedsättning, liksom stödtjänster för brottsoffren, införs och görs tillgängliga.</w:t>
      </w:r>
    </w:p>
    <w:p w14:paraId="2E5A7C98" w14:textId="77777777" w:rsidR="00BF16A3" w:rsidRPr="00032DB8" w:rsidRDefault="00BF16A3" w:rsidP="00BF16A3">
      <w:pPr>
        <w:pStyle w:val="NormalHanging12a"/>
        <w:rPr>
          <w:szCs w:val="24"/>
        </w:rPr>
      </w:pPr>
      <w:r w:rsidRPr="00032DB8">
        <w:t>37.</w:t>
      </w:r>
      <w:r w:rsidRPr="00032DB8">
        <w:tab/>
        <w:t>Europaparlamentet betonar att barnets rättigheter är universella och att alla barn bör åtnjuta samma rättigheter utan att diskrimineras, såsom rätten till erkännande av föräldraskap, även när det gäller samkönade par. Parlamentet välkomnar kommissionens förslag till förordning om behörighet, tillämplig lag, erkännande av domar samt godkännande av officiella handlingar i samband med föräldraskap och om införande av ett europeiskt intyg om föräldraskap för att skydda alla barns rättigheter genom att se till att föräldraband, bland annat och i synnerhet till samkönade föräldrar, som är etablerade i en medlemsstat erkänns i alla EU-medlemsstater.</w:t>
      </w:r>
    </w:p>
    <w:p w14:paraId="606AA710" w14:textId="77777777" w:rsidR="00BF16A3" w:rsidRPr="00032DB8" w:rsidRDefault="00BF16A3" w:rsidP="00BF16A3">
      <w:pPr>
        <w:pStyle w:val="NormalHanging12a"/>
        <w:rPr>
          <w:szCs w:val="24"/>
        </w:rPr>
      </w:pPr>
      <w:r w:rsidRPr="00032DB8">
        <w:t>38.</w:t>
      </w:r>
      <w:r w:rsidRPr="00032DB8">
        <w:tab/>
        <w:t>Europaparlamentet uppmanar medlemsstaterna att straffbelägga tvångssteriliseringar. Parlamentet upprepar sin ståndpunkt att tvångssterilisering bör ingå som ett brott enligt artikel 83.1 i EUF-fördraget i direktivet om bekämpning av våld mot kvinnor och våld i nära relationer.</w:t>
      </w:r>
    </w:p>
    <w:p w14:paraId="7697F477" w14:textId="77777777" w:rsidR="00BF16A3" w:rsidRPr="00032DB8" w:rsidRDefault="00BF16A3" w:rsidP="00BF16A3">
      <w:pPr>
        <w:pStyle w:val="NormalHanging12a"/>
        <w:rPr>
          <w:szCs w:val="24"/>
        </w:rPr>
      </w:pPr>
      <w:r w:rsidRPr="00032DB8">
        <w:t>39.</w:t>
      </w:r>
      <w:r w:rsidRPr="00032DB8">
        <w:tab/>
        <w:t xml:space="preserve">Europaparlamentet påminner om att hatbrott och hatpropaganda som motiveras av rasism, främlingsfientlighet eller religiös intolerans eller av fientlighet eller fördomar som baseras på en persons funktionsnedsättning, sexuella läggning, könsidentitet, </w:t>
      </w:r>
      <w:proofErr w:type="spellStart"/>
      <w:r w:rsidRPr="00032DB8">
        <w:t>könsuttryck</w:t>
      </w:r>
      <w:proofErr w:type="spellEnd"/>
      <w:r w:rsidRPr="00032DB8">
        <w:t xml:space="preserve"> eller könskarakteristika är extrema exempel på diskriminering. Parlamentet konstaterar att medlemsstaterna har en skyldighet att bekämpa och utreda hatbrott, straffa gärningspersonerna och vidta förebyggande åtgärder. Parlamentet betonar att de brottsbekämpande myndigheterna måste registrera hatbrott på lämpligt sätt för att man bättre ska kunna förstå företeelsens karaktär och utbredning och dess inverkan på brottsoffren, och därigenom ta itu med de bakomliggande orsakerna.</w:t>
      </w:r>
    </w:p>
    <w:p w14:paraId="3E8A6966" w14:textId="77777777" w:rsidR="00BF16A3" w:rsidRPr="00032DB8" w:rsidRDefault="00BF16A3" w:rsidP="00BF16A3">
      <w:pPr>
        <w:pStyle w:val="NormalHanging12a"/>
      </w:pPr>
      <w:r w:rsidRPr="00032DB8">
        <w:t>40.</w:t>
      </w:r>
      <w:r w:rsidRPr="00032DB8">
        <w:tab/>
        <w:t xml:space="preserve">Europaparlamentet välkomnar kommissionens initiativ att utvidga förteckningen över EU-brott i artikel 83.1 i EUF-fördraget till att omfatta hatpropaganda och hatbrott, </w:t>
      </w:r>
      <w:r w:rsidRPr="00032DB8">
        <w:lastRenderedPageBreak/>
        <w:t>vilket understryker behovet av att se till att det finns kraftfulla straffrättsliga åtgärder inom EU mot hatpropaganda och hatbrott. Parlamentet beklagar djupt att godkännandet av initiativet har försenats och upprepar sin uppmaning till rådet att arbeta ihärdigt för att nå samförstånd.</w:t>
      </w:r>
    </w:p>
    <w:p w14:paraId="5EFA44BF" w14:textId="77777777" w:rsidR="00BF16A3" w:rsidRPr="00032DB8" w:rsidRDefault="00BF16A3" w:rsidP="00BF16A3">
      <w:pPr>
        <w:pStyle w:val="NormalHanging12a"/>
        <w:rPr>
          <w:szCs w:val="24"/>
        </w:rPr>
      </w:pPr>
      <w:r w:rsidRPr="00032DB8">
        <w:t>41.</w:t>
      </w:r>
      <w:r w:rsidRPr="00032DB8">
        <w:tab/>
        <w:t>Europaparlamentet påminner om att EU:s lagstiftning om hatpropaganda och hatbrott bör skydda den mänskliga värdigheten på ett universellt plan och bekämpa hat och intolerans oavsett motiv, med särskilt fokus på de personer, grupper och samhällen som är måltavlor. Parlamentet fördömer skarpt alla former av hatpropaganda och smutskastningskampanjer i offentliga medier mot journalister, politiker, offentliga tjänstemän, aktivister och andra aktörer.</w:t>
      </w:r>
    </w:p>
    <w:p w14:paraId="422C334C" w14:textId="77777777" w:rsidR="00BF16A3" w:rsidRPr="00032DB8" w:rsidRDefault="00BF16A3" w:rsidP="00BF16A3">
      <w:pPr>
        <w:pStyle w:val="NormalHanging12a"/>
        <w:rPr>
          <w:szCs w:val="24"/>
        </w:rPr>
      </w:pPr>
      <w:r w:rsidRPr="00032DB8">
        <w:t>42.</w:t>
      </w:r>
      <w:r w:rsidRPr="00032DB8">
        <w:tab/>
        <w:t xml:space="preserve">Europaparlamentet uppmanar kommissionen att effektivt övervaka genomförandet av de åtgärder som ingår i de olika jämställdhetsstrategierna, såsom EU:s jämlikhetsstrategi för </w:t>
      </w:r>
      <w:proofErr w:type="spellStart"/>
      <w:r w:rsidRPr="00032DB8">
        <w:t>hbtqi</w:t>
      </w:r>
      <w:proofErr w:type="spellEnd"/>
      <w:r w:rsidRPr="00032DB8">
        <w:t>-personer 2020–2025, EU:s jämställdhetsstrategi 2020–2025, strategin för romers jämlikhet och inkludering samt EU:s handlingsplan mot rasism 2020–2025. Parlamentet uppmanar med kraft medlemsstaterna att snabbt utarbeta och genomföra nationella handlingsplaner mot rasism.</w:t>
      </w:r>
    </w:p>
    <w:p w14:paraId="34B8B145" w14:textId="77777777" w:rsidR="00BF16A3" w:rsidRPr="00032DB8" w:rsidRDefault="00BF16A3" w:rsidP="00BF16A3">
      <w:pPr>
        <w:pStyle w:val="NormalHanging12a"/>
      </w:pPr>
      <w:r w:rsidRPr="00032DB8">
        <w:t>43.</w:t>
      </w:r>
      <w:r w:rsidRPr="00032DB8">
        <w:tab/>
        <w:t>Europaparlamentet välkomnar att kommissionen för första gången åberopade en isolerad överträdelse av artikel 2 i EU-fördraget när den hänvisade den ungerska ”barnskyddslagen”, som dolde andra ändamål, till EU-domstolen.</w:t>
      </w:r>
    </w:p>
    <w:p w14:paraId="2C75628F" w14:textId="77777777" w:rsidR="00BF16A3" w:rsidRPr="00032DB8" w:rsidRDefault="00BF16A3" w:rsidP="00BF16A3">
      <w:pPr>
        <w:pStyle w:val="Normal12a24b"/>
        <w:rPr>
          <w:b/>
          <w:i/>
        </w:rPr>
      </w:pPr>
      <w:r w:rsidRPr="00032DB8">
        <w:rPr>
          <w:rStyle w:val="Bold"/>
          <w:i/>
        </w:rPr>
        <w:t>Sociala, ekonomiska och miljömässiga rättigheter</w:t>
      </w:r>
    </w:p>
    <w:p w14:paraId="2E52CE29" w14:textId="77777777" w:rsidR="00BF16A3" w:rsidRPr="00032DB8" w:rsidRDefault="00BF16A3" w:rsidP="00BF16A3">
      <w:pPr>
        <w:pStyle w:val="NormalHanging12a"/>
      </w:pPr>
      <w:r w:rsidRPr="00032DB8">
        <w:t>44.</w:t>
      </w:r>
      <w:r w:rsidRPr="00032DB8">
        <w:tab/>
        <w:t xml:space="preserve">Europaparlamentet erkänner att fattigdom är en annan form av diskriminering som leder till kränkningar av de grundläggande rättigheterna och till ojämlika möjligheter att få tillgång till varor och tjänster. Parlamentet betonar barns särskilda utsatthet och den inverkan som fattigdom har på barn och deras fysiska och psykiska utveckling. Parlamentet uppmanar kommissionen, rådet och medlemsstaterna att utveckla strategier för att minska fattigdomen och den sociala utestängningen, med beaktande av ett </w:t>
      </w:r>
      <w:proofErr w:type="spellStart"/>
      <w:r w:rsidRPr="00032DB8">
        <w:t>intersektionellt</w:t>
      </w:r>
      <w:proofErr w:type="spellEnd"/>
      <w:r w:rsidRPr="00032DB8">
        <w:t xml:space="preserve"> förhållningssätt och med särskilt fokus på personer som befinner sig i utsatta situationer. Parlamentet välkomnar godkännandet av den europeiska barngarantin, men anser att det krävs fler insatser, särskilt på området socialt skydd. Parlamentet uppmanar medlemsstaterna att säkerställa lika tillgång och möjligheter till utbildning och sysselsättning av god kvalitet, eftersom detta spelar en avgörande roll för att minska ojämlikheten och lyfta människor ur fattigdom.</w:t>
      </w:r>
    </w:p>
    <w:p w14:paraId="39BBB5F0" w14:textId="77777777" w:rsidR="00BF16A3" w:rsidRPr="00032DB8" w:rsidRDefault="00BF16A3" w:rsidP="00BF16A3">
      <w:pPr>
        <w:pStyle w:val="NormalHanging12a"/>
        <w:rPr>
          <w:szCs w:val="24"/>
        </w:rPr>
      </w:pPr>
      <w:r w:rsidRPr="00032DB8">
        <w:t>45.</w:t>
      </w:r>
      <w:r w:rsidRPr="00032DB8">
        <w:tab/>
        <w:t>Europaparlamentet är djupt oroat över att fattigdomen, ojämlikheterna och den sociala utestängningen ökar i EU. Parlamentet uppmanar medlemsstaterna att vidta åtgärder mot ”mensfattigdom” och att avskaffa momsen på hygienprodukter. Parlamentet betonar att covid-19-pandemins långsiktiga ekonomiska konsekvenser och de stigande livsmedels- och energipriserna allvarligt har påverkat rättigheterna för låginkomsttagare och människor som lever i fattigdom, bland annat rätten till en dräglig levnadsstandard, mat, hälso- och sjukvård, bostad och social trygghet. Parlamentet uppmanar kommissionen och rådet att utarbeta en makroekonomisk politik som inte bara styrs av ekonomisk tillväxt utan även av sociala normer, och påminner om de sociala normernas betydelse inom ramen för den europeiska planeringsterminen.</w:t>
      </w:r>
    </w:p>
    <w:p w14:paraId="713F971E" w14:textId="77777777" w:rsidR="00BF16A3" w:rsidRPr="00032DB8" w:rsidRDefault="00BF16A3" w:rsidP="00BF16A3">
      <w:pPr>
        <w:pStyle w:val="NormalHanging12a"/>
        <w:rPr>
          <w:szCs w:val="24"/>
        </w:rPr>
      </w:pPr>
      <w:r w:rsidRPr="00032DB8">
        <w:t>46.</w:t>
      </w:r>
      <w:r w:rsidRPr="00032DB8">
        <w:tab/>
        <w:t xml:space="preserve">Europaparlamentet välkomnar rådets rekommendation av den 30 januari 2023 om </w:t>
      </w:r>
      <w:r w:rsidRPr="00032DB8">
        <w:lastRenderedPageBreak/>
        <w:t>tillräcklig minimiinkomst</w:t>
      </w:r>
      <w:r w:rsidRPr="00032DB8">
        <w:rPr>
          <w:vertAlign w:val="superscript"/>
        </w:rPr>
        <w:footnoteReference w:id="50"/>
      </w:r>
      <w:r w:rsidRPr="00032DB8">
        <w:t xml:space="preserve"> som säkerställer aktiv inkludering som ett steg framåt i genomförandet av princip 14 i den europeiska pelaren för sociala rättigheter. Parlamentet beklagar dock bristen på konkreta åtgärder för att komma till rätta med den strukturella diskrimineringen av utsatta grupper. Parlamentet uppmanar medlemsstaterna att samla in disaggregerade data om minimiinkomst bland dessa grupper.</w:t>
      </w:r>
    </w:p>
    <w:p w14:paraId="2F955F6C" w14:textId="77777777" w:rsidR="00BF16A3" w:rsidRPr="00032DB8" w:rsidRDefault="00BF16A3" w:rsidP="00BF16A3">
      <w:pPr>
        <w:pStyle w:val="NormalHanging12a"/>
        <w:rPr>
          <w:szCs w:val="24"/>
        </w:rPr>
      </w:pPr>
      <w:r w:rsidRPr="00032DB8">
        <w:t>47.</w:t>
      </w:r>
      <w:r w:rsidRPr="00032DB8">
        <w:tab/>
        <w:t>Europaparlamentet betonar att digitaliseringen är en övergripande process som påverkar tillgången till alla tjänster, särskilt hälso- och sjukvård, och utövandet av de grundläggande rättigheterna. Parlamentet understryker att den digitala fattigdomen i EU bör övervakas och bedömas med avseende på tillgången till väsentliga tjänster och grundläggande rättigheter, bland annat när det rör sig om äldre, personer som bor i avlägsna områden, personer som lever i hemlöshet och romer. Parlamentet påminner om att medlemsstaterna enligt konventionen om rättigheter för personer med funktionsnedsättning är skyldiga att se till att personer med funktionsnedsättning har full tillgång till samhället. Parlamentet påminner om att teknikberoende är ett folkhälsoproblem som särskilt drabbar minderåriga och deras fysiska och psykiska integritet.</w:t>
      </w:r>
    </w:p>
    <w:p w14:paraId="107A8017" w14:textId="77777777" w:rsidR="00BF16A3" w:rsidRPr="00032DB8" w:rsidRDefault="00BF16A3" w:rsidP="00BF16A3">
      <w:pPr>
        <w:pStyle w:val="NormalHanging12a"/>
        <w:rPr>
          <w:szCs w:val="24"/>
        </w:rPr>
      </w:pPr>
      <w:r w:rsidRPr="00032DB8">
        <w:t>48.</w:t>
      </w:r>
      <w:r w:rsidRPr="00032DB8">
        <w:tab/>
        <w:t>Europaparlamentet konstaterar att bostäder inte är en handelsvara utan en nödvändighet, och att en bostad är en förutsättning för att man ska kunna delta fullt ut i samhället. Parlamentet uppmanar medlemsstaterna att öka investeringarna i subventionerade bostäder till rimliga kostnader för att få bukt med andelen av befolkningen i hushåll med hög boendeutgift i förhållande till den disponibla inkomsten, särskilt bland missgynnade och utsatta grupper, och för att undvika konkurrens mellan dessa grupper.</w:t>
      </w:r>
    </w:p>
    <w:p w14:paraId="46909B44" w14:textId="77777777" w:rsidR="00BF16A3" w:rsidRPr="00032DB8" w:rsidRDefault="00BF16A3" w:rsidP="00BF16A3">
      <w:pPr>
        <w:pStyle w:val="NormalHanging12a"/>
        <w:rPr>
          <w:szCs w:val="24"/>
        </w:rPr>
      </w:pPr>
      <w:r w:rsidRPr="00032DB8">
        <w:t>49.</w:t>
      </w:r>
      <w:r w:rsidRPr="00032DB8">
        <w:tab/>
        <w:t>Europaparlamentet välkomnar att FN:s råd för mänskliga rättigheter erkände den universella rätten till en hälsosam och hållbar miljö den 8 oktober 2021. Parlamentet betonar att miljöskador och vissa myndigheters underlåtenhet att tillhandahålla information om allvarliga miljörisker som individer exponeras för kan få allvarliga och skadliga konsekvenser för enskilda personer. Parlamentet påminner om att EU:s luftkvalitetsnormer senast 2030 behöver ha anpassats fullt ut till Världshälsoorganisationens senaste riktlinjer.</w:t>
      </w:r>
    </w:p>
    <w:p w14:paraId="34A16049" w14:textId="77777777" w:rsidR="00BF16A3" w:rsidRPr="00032DB8" w:rsidRDefault="00BF16A3" w:rsidP="00BF16A3">
      <w:pPr>
        <w:pStyle w:val="Normal12a24b"/>
        <w:rPr>
          <w:i/>
        </w:rPr>
      </w:pPr>
      <w:r w:rsidRPr="00032DB8">
        <w:rPr>
          <w:rStyle w:val="Bold"/>
          <w:i/>
        </w:rPr>
        <w:t>Institutionella skyddsåtgärder för grundläggande rättigheter</w:t>
      </w:r>
    </w:p>
    <w:p w14:paraId="2DF7AF88" w14:textId="77777777" w:rsidR="00BF16A3" w:rsidRPr="00032DB8" w:rsidRDefault="00BF16A3" w:rsidP="00BF16A3">
      <w:pPr>
        <w:pStyle w:val="NormalHanging12a"/>
        <w:rPr>
          <w:szCs w:val="24"/>
        </w:rPr>
      </w:pPr>
      <w:r w:rsidRPr="00032DB8">
        <w:t>50.</w:t>
      </w:r>
      <w:r w:rsidRPr="00032DB8">
        <w:tab/>
        <w:t>Europaparlamentet välkomnar de framsteg som gjorts sedan förhandlingarna om EU:s anslutning till Europakonventionen återupptogs i juni 2020 och den preliminära överenskommelsen om utkastet till reviderade anslutningsinstrument som nåddes i mars 2023. Parlamentet uppmanar kommissionen och rådet att så snart som möjligt lösa den kvarstående frågan om situationen för EU:s rättsakter på området för den gemensamma utrikes- och säkerhetspolitiken för att slutföra anslutningsprocessen.</w:t>
      </w:r>
    </w:p>
    <w:p w14:paraId="1215B42C" w14:textId="77777777" w:rsidR="00BF16A3" w:rsidRPr="00032DB8" w:rsidRDefault="00BF16A3" w:rsidP="00BF16A3">
      <w:pPr>
        <w:pStyle w:val="NormalHanging12a"/>
      </w:pPr>
      <w:r w:rsidRPr="00032DB8">
        <w:t>51.</w:t>
      </w:r>
      <w:r w:rsidRPr="00032DB8">
        <w:tab/>
        <w:t xml:space="preserve">Europaparlamentet stöder FRA:s arbete med att analysera uppgifter för att dokumentera diskriminering och välkomnar den fortsatta utvecklingen på detta område. Parlamentet välkomnar kommissionens förslag till två direktiv om standarder för likabehandlingsorgan, som syftar till att säkerställa genomförandet och efterlevnaden av EU:s antidiskrimineringsregler. Parlamentet uppmanar nationella organ som samarbetar </w:t>
      </w:r>
      <w:r w:rsidRPr="00032DB8">
        <w:lastRenderedPageBreak/>
        <w:t>med FRA att lämna opartiska uppgifter. Parlamentet uppmanar FRA att konsultera ytterligare källor när allvarliga farhågor kvarstår om uppgifternas kvalitet.</w:t>
      </w:r>
    </w:p>
    <w:p w14:paraId="65ADC590" w14:textId="77777777" w:rsidR="00BF16A3" w:rsidRPr="00032DB8" w:rsidRDefault="00BF16A3" w:rsidP="00BF16A3">
      <w:pPr>
        <w:pStyle w:val="NormalHanging12a"/>
      </w:pPr>
      <w:r w:rsidRPr="00032DB8">
        <w:t>52.</w:t>
      </w:r>
      <w:r w:rsidRPr="00032DB8">
        <w:tab/>
        <w:t>Europaparlamentet betonar vikten av att stödja och stärka samarbetet mellan EU</w:t>
      </w:r>
      <w:r w:rsidRPr="00032DB8">
        <w:noBreakHyphen/>
        <w:t xml:space="preserve">institutionerna, medlemsstaterna, Olaf och </w:t>
      </w:r>
      <w:proofErr w:type="spellStart"/>
      <w:r w:rsidRPr="00032DB8">
        <w:t>Eppo</w:t>
      </w:r>
      <w:proofErr w:type="spellEnd"/>
      <w:r w:rsidRPr="00032DB8">
        <w:t>. Parlamentet uppmanar kommissionen att lägga fram en rapport med en bedömning av möjligheten och formerna för att utvidga Europeiska åklagarmyndighetens mandat, i enlighet med artikel 86 i EUF-fördraget, till allvarliga miljöbrott som skadar unionens intressen eller påverkar en konsekvent tillämpning av EU:s miljöpolitik.</w:t>
      </w:r>
    </w:p>
    <w:p w14:paraId="56810D63" w14:textId="77777777" w:rsidR="00BF16A3" w:rsidRPr="00032DB8" w:rsidRDefault="00BF16A3" w:rsidP="00BF16A3">
      <w:pPr>
        <w:pStyle w:val="NormalHanging12a"/>
        <w:rPr>
          <w:szCs w:val="24"/>
        </w:rPr>
      </w:pPr>
      <w:r w:rsidRPr="00032DB8">
        <w:t>53.</w:t>
      </w:r>
      <w:r w:rsidRPr="00032DB8">
        <w:tab/>
        <w:t xml:space="preserve">Europaparlamentet begär att FRA inrättas som en oberoende människorättsmyndighet, i likhet med nationella människorättsinstitutioner och i överensstämmelse med FN:s generalförsamlings </w:t>
      </w:r>
      <w:proofErr w:type="spellStart"/>
      <w:r w:rsidRPr="00032DB8">
        <w:t>Parisprinciper</w:t>
      </w:r>
      <w:proofErr w:type="spellEnd"/>
      <w:r w:rsidRPr="00032DB8">
        <w:t xml:space="preserve"> från 1993, för att skydda och främja stadgeenlig politik och praxis från unionens institutioner, organ och byråer och från medlemsstaterna när de tillämpar unionsrätten. Parlamentet anser att detta kräver en rättslig fördragsgrund för inrättande av en EU-myndighet för grundläggande rättigheter som säkrar myndighetens oberoende och föreskriver det ordinarie lagstiftningsförfarandet för antagande och ändringar av dess mandat. Parlamentet vill att denna nya myndighet ska ha rätt att väcka talan rörande åsidosättande av stadgan enligt artikel 263 i EUF-fördraget. Parlamentet vill att det i myndighetens mandat ska ingå en befogenhet att hantera klagomål och obligatoriska samråd mellan kommissionen och FRA när det utarbetas förslag till rättsakter eller rekommendationer som påverkar de grundläggande rättigheterna.</w:t>
      </w:r>
    </w:p>
    <w:p w14:paraId="2FEB7445" w14:textId="77777777" w:rsidR="00BF16A3" w:rsidRPr="00032DB8" w:rsidRDefault="00BF16A3" w:rsidP="00BF16A3">
      <w:pPr>
        <w:pStyle w:val="NormalHanging12a"/>
      </w:pPr>
      <w:r w:rsidRPr="00032DB8">
        <w:t>54.</w:t>
      </w:r>
      <w:r w:rsidRPr="00032DB8">
        <w:tab/>
        <w:t>Europaparlamentet påminner om vikten av att domstolens relevanta rättspraxis upprätthåller respekten för de grundläggande rättigheterna och vidare definierar rättsstatsprincipen. Parlamentet är bekymrat över att vissa medlemsstater alltjämt vägrar att genomföra inhemska domar samt domar från EU-domstolen och Europadomstolen, något som bidrar till att rättsstatsprincipen urholkas. Parlamentet betonar att underlåtenhet att genomföra domar kan leda till att kränkningar av de mänskliga rättigheterna inte åtgärdas. Parlamentet betonar att EU-rättens företräde utgör grunden för EU:s rättsordning. Parlamentet uppmanar kommissionen att säkerställa lämplig uppföljning om denna princip inte tillämpas.</w:t>
      </w:r>
    </w:p>
    <w:p w14:paraId="76D844B8" w14:textId="77777777" w:rsidR="00BF16A3" w:rsidRPr="00032DB8" w:rsidRDefault="00BF16A3" w:rsidP="00BF16A3">
      <w:pPr>
        <w:pStyle w:val="NormalHanging12a"/>
        <w:widowControl/>
      </w:pPr>
      <w:r w:rsidRPr="00032DB8">
        <w:t>55.</w:t>
      </w:r>
      <w:r w:rsidRPr="00032DB8">
        <w:tab/>
        <w:t>Europaparlamentet framhåller den roll som nationella och lokala förvaltningar, medlemsstaternas parlament och brottsbekämpande myndigheter har när det gäller att främja och skydda rättigheterna i stadgan.</w:t>
      </w:r>
    </w:p>
    <w:p w14:paraId="61D135E3" w14:textId="77777777" w:rsidR="00BF16A3" w:rsidRPr="00032DB8" w:rsidRDefault="00BF16A3" w:rsidP="00BF16A3">
      <w:pPr>
        <w:pStyle w:val="NormalHanging12a"/>
      </w:pPr>
      <w:r w:rsidRPr="00032DB8">
        <w:t>56.</w:t>
      </w:r>
      <w:r w:rsidRPr="00032DB8">
        <w:tab/>
        <w:t>Europaparlamentet noterar FRA:s iakttagelse att medlemsstaterna tycks sakna struktur i genomförandet av kommissionens strategi för att stärka tillämpningen av stadgan, t.ex. i form av tydliga mål, milstolpar och tidsfrister. Parlamentet uppmanar medlemsstaterna att fullt ut genomföra strategin.</w:t>
      </w:r>
    </w:p>
    <w:p w14:paraId="320D26CC" w14:textId="77777777" w:rsidR="00BF16A3" w:rsidRPr="00032DB8" w:rsidRDefault="00BF16A3" w:rsidP="00BF16A3">
      <w:pPr>
        <w:pStyle w:val="NormalHanging12a"/>
        <w:rPr>
          <w:szCs w:val="24"/>
        </w:rPr>
      </w:pPr>
      <w:r w:rsidRPr="00032DB8">
        <w:t>57.</w:t>
      </w:r>
      <w:r w:rsidRPr="00032DB8">
        <w:tab/>
        <w:t>Europaparlamentet påminner om att rätten att delta i det demokratiska livet och skyldigheten att se till att beslut fattas så öppet och så nära medborgarna som möjligt skyddas enligt fördragen och artikel 10 i EU-fördraget i synnerhet. Parlamentet uppmanar EU-institutionerna och medlemsstaterna att avsätta tillräckligt med tid för offentliga samråd, säkerställa insyn och offentliggöra offentliga handlingar på ett proaktivt sätt.</w:t>
      </w:r>
    </w:p>
    <w:p w14:paraId="3D963813" w14:textId="77777777" w:rsidR="00BF16A3" w:rsidRPr="00032DB8" w:rsidRDefault="00BF16A3" w:rsidP="00BF16A3">
      <w:pPr>
        <w:pStyle w:val="NormalHanging12a"/>
        <w:jc w:val="center"/>
      </w:pPr>
      <w:r w:rsidRPr="00032DB8">
        <w:t>°</w:t>
      </w:r>
    </w:p>
    <w:p w14:paraId="46F2142F" w14:textId="77777777" w:rsidR="00BF16A3" w:rsidRPr="00032DB8" w:rsidRDefault="00BF16A3" w:rsidP="00BF16A3">
      <w:pPr>
        <w:pStyle w:val="NormalHanging12a"/>
        <w:jc w:val="center"/>
      </w:pPr>
      <w:r w:rsidRPr="00032DB8">
        <w:lastRenderedPageBreak/>
        <w:t>°</w:t>
      </w:r>
      <w:r w:rsidRPr="00032DB8">
        <w:tab/>
        <w:t>°</w:t>
      </w:r>
    </w:p>
    <w:p w14:paraId="4FFD1C66" w14:textId="77777777" w:rsidR="00BF16A3" w:rsidRPr="00032DB8" w:rsidRDefault="00BF16A3" w:rsidP="00BF16A3">
      <w:pPr>
        <w:pStyle w:val="NormalHanging12a"/>
      </w:pPr>
      <w:r w:rsidRPr="00032DB8">
        <w:t>58.</w:t>
      </w:r>
      <w:r w:rsidRPr="00032DB8">
        <w:tab/>
        <w:t>Europaparlamentet uppdrar åt talmannen att översända denna resolution till rådet och kommissionen.</w:t>
      </w:r>
    </w:p>
    <w:p w14:paraId="3C376047" w14:textId="77777777" w:rsidR="00E365E1" w:rsidRPr="00032DB8" w:rsidRDefault="00E365E1" w:rsidP="001E2618"/>
    <w:sectPr w:rsidR="00E365E1" w:rsidRPr="00032DB8" w:rsidSect="00032DB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0D1E3B" w14:textId="77777777" w:rsidR="001E2618" w:rsidRPr="00032DB8" w:rsidRDefault="001E2618">
      <w:r w:rsidRPr="00032DB8">
        <w:separator/>
      </w:r>
    </w:p>
  </w:endnote>
  <w:endnote w:type="continuationSeparator" w:id="0">
    <w:p w14:paraId="522809DC" w14:textId="77777777" w:rsidR="001E2618" w:rsidRPr="00032DB8" w:rsidRDefault="001E2618">
      <w:r w:rsidRPr="00032D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6E6956" w14:textId="77777777" w:rsidR="00064002" w:rsidRPr="00032DB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E1A9E" w14:textId="77777777" w:rsidR="00064002" w:rsidRPr="00032DB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9557A" w14:textId="77777777" w:rsidR="00064002" w:rsidRPr="00032DB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05C231" w14:textId="77777777" w:rsidR="001E2618" w:rsidRPr="00032DB8" w:rsidRDefault="001E2618">
      <w:r w:rsidRPr="00032DB8">
        <w:separator/>
      </w:r>
    </w:p>
  </w:footnote>
  <w:footnote w:type="continuationSeparator" w:id="0">
    <w:p w14:paraId="5989D1E7" w14:textId="77777777" w:rsidR="001E2618" w:rsidRPr="00032DB8" w:rsidRDefault="001E2618">
      <w:r w:rsidRPr="00032DB8">
        <w:continuationSeparator/>
      </w:r>
    </w:p>
  </w:footnote>
  <w:footnote w:id="1">
    <w:p w14:paraId="025D9A3C" w14:textId="77777777" w:rsidR="00BF16A3" w:rsidRPr="0043595F" w:rsidRDefault="00BF16A3" w:rsidP="00032DB8">
      <w:pPr>
        <w:pStyle w:val="FootnoteText"/>
        <w:ind w:left="567" w:hanging="567"/>
        <w:rPr>
          <w:sz w:val="24"/>
          <w:szCs w:val="24"/>
          <w:vertAlign w:val="superscript"/>
          <w:lang w:val="sv-SE"/>
        </w:rPr>
      </w:pPr>
      <w:r w:rsidRPr="0043595F">
        <w:rPr>
          <w:rStyle w:val="FootnoteReference"/>
          <w:sz w:val="24"/>
          <w:szCs w:val="24"/>
          <w:lang w:val="sv-SE"/>
        </w:rPr>
        <w:footnoteRef/>
      </w:r>
      <w:r w:rsidR="00032DB8" w:rsidRPr="0043595F">
        <w:rPr>
          <w:sz w:val="24"/>
          <w:szCs w:val="24"/>
          <w:lang w:val="sv-SE"/>
        </w:rPr>
        <w:t xml:space="preserve"> </w:t>
      </w:r>
      <w:r w:rsidR="00032DB8" w:rsidRPr="0043595F">
        <w:rPr>
          <w:sz w:val="24"/>
          <w:szCs w:val="24"/>
          <w:lang w:val="sv-SE"/>
        </w:rPr>
        <w:tab/>
      </w:r>
      <w:r w:rsidRPr="0043595F">
        <w:rPr>
          <w:sz w:val="24"/>
          <w:szCs w:val="24"/>
          <w:lang w:val="sv-SE"/>
        </w:rPr>
        <w:t>Se t.ex. kommissionen mot Ungern (Insyn i föreningar), mål C-78/18, ECLI:EU:C:2020:476,</w:t>
      </w:r>
    </w:p>
    <w:p w14:paraId="5BF2A512" w14:textId="66B5B561" w:rsidR="00BF16A3" w:rsidRPr="0043595F" w:rsidRDefault="00032DB8" w:rsidP="00032DB8">
      <w:pPr>
        <w:pStyle w:val="FootnoteText"/>
        <w:ind w:left="567" w:hanging="567"/>
        <w:rPr>
          <w:sz w:val="24"/>
          <w:szCs w:val="24"/>
          <w:lang w:val="sv-SE"/>
        </w:rPr>
      </w:pPr>
      <w:r w:rsidRPr="0043595F">
        <w:rPr>
          <w:sz w:val="24"/>
          <w:szCs w:val="24"/>
          <w:lang w:val="sv-SE"/>
        </w:rPr>
        <w:t xml:space="preserve"> </w:t>
      </w:r>
      <w:r w:rsidRPr="0043595F">
        <w:rPr>
          <w:sz w:val="24"/>
          <w:szCs w:val="24"/>
          <w:lang w:val="sv-SE"/>
        </w:rPr>
        <w:tab/>
      </w:r>
      <w:r w:rsidR="00BF16A3" w:rsidRPr="0043595F">
        <w:rPr>
          <w:sz w:val="24"/>
          <w:szCs w:val="24"/>
          <w:lang w:val="sv-SE"/>
        </w:rPr>
        <w:t xml:space="preserve">domstolens dom (andra avdelningen) av den 6 oktober 2022, I. L. mot </w:t>
      </w:r>
      <w:proofErr w:type="spellStart"/>
      <w:r w:rsidR="00BF16A3" w:rsidRPr="0043595F">
        <w:rPr>
          <w:sz w:val="24"/>
          <w:szCs w:val="24"/>
          <w:lang w:val="sv-SE"/>
        </w:rPr>
        <w:t>Politsei</w:t>
      </w:r>
      <w:proofErr w:type="spellEnd"/>
      <w:r w:rsidR="00BF16A3" w:rsidRPr="0043595F">
        <w:rPr>
          <w:sz w:val="24"/>
          <w:szCs w:val="24"/>
          <w:lang w:val="sv-SE"/>
        </w:rPr>
        <w:t xml:space="preserve">- ja </w:t>
      </w:r>
      <w:proofErr w:type="spellStart"/>
      <w:r w:rsidR="00BF16A3" w:rsidRPr="0043595F">
        <w:rPr>
          <w:sz w:val="24"/>
          <w:szCs w:val="24"/>
          <w:lang w:val="sv-SE"/>
        </w:rPr>
        <w:t>Piirivalveamet</w:t>
      </w:r>
      <w:proofErr w:type="spellEnd"/>
      <w:r w:rsidR="00BF16A3" w:rsidRPr="0043595F">
        <w:rPr>
          <w:sz w:val="24"/>
          <w:szCs w:val="24"/>
          <w:lang w:val="sv-SE"/>
        </w:rPr>
        <w:t xml:space="preserve">, </w:t>
      </w:r>
      <w:r w:rsidR="00CC3C04" w:rsidRPr="0043595F">
        <w:rPr>
          <w:sz w:val="24"/>
          <w:szCs w:val="24"/>
          <w:lang w:val="sv-SE"/>
        </w:rPr>
        <w:t xml:space="preserve">mål C-241/21, </w:t>
      </w:r>
      <w:r w:rsidR="00BF16A3" w:rsidRPr="0043595F">
        <w:rPr>
          <w:sz w:val="24"/>
          <w:szCs w:val="24"/>
          <w:lang w:val="sv-SE"/>
        </w:rPr>
        <w:t>ECLI:EU:C:2022:753.</w:t>
      </w:r>
    </w:p>
  </w:footnote>
  <w:footnote w:id="2">
    <w:p w14:paraId="06B38301" w14:textId="77777777" w:rsidR="00BF16A3" w:rsidRPr="0043595F" w:rsidRDefault="00BF16A3" w:rsidP="00032DB8">
      <w:pPr>
        <w:pStyle w:val="FootnoteText"/>
        <w:ind w:left="567" w:hanging="567"/>
        <w:rPr>
          <w:sz w:val="24"/>
          <w:szCs w:val="24"/>
          <w:lang w:val="sv-SE"/>
        </w:rPr>
      </w:pPr>
      <w:r w:rsidRPr="0043595F">
        <w:rPr>
          <w:rStyle w:val="FootnoteReference"/>
          <w:sz w:val="24"/>
          <w:szCs w:val="24"/>
          <w:lang w:val="sv-SE"/>
        </w:rPr>
        <w:footnoteRef/>
      </w:r>
      <w:r w:rsidR="00032DB8" w:rsidRPr="0043595F">
        <w:rPr>
          <w:sz w:val="24"/>
          <w:szCs w:val="24"/>
          <w:lang w:val="sv-SE"/>
        </w:rPr>
        <w:t xml:space="preserve"> </w:t>
      </w:r>
      <w:r w:rsidR="00032DB8" w:rsidRPr="0043595F">
        <w:rPr>
          <w:sz w:val="24"/>
          <w:szCs w:val="24"/>
          <w:lang w:val="sv-SE"/>
        </w:rPr>
        <w:tab/>
      </w:r>
      <w:r w:rsidRPr="0043595F">
        <w:rPr>
          <w:sz w:val="24"/>
          <w:szCs w:val="24"/>
          <w:lang w:val="sv-SE"/>
        </w:rPr>
        <w:t>EUT L 433 I, 22.12.2020, s. 1</w:t>
      </w:r>
      <w:hyperlink r:id="rId1" w:history="1">
        <w:r w:rsidRPr="0043595F">
          <w:rPr>
            <w:rStyle w:val="Hyperlink"/>
            <w:color w:val="auto"/>
            <w:sz w:val="24"/>
            <w:szCs w:val="24"/>
            <w:u w:val="none"/>
            <w:lang w:val="sv-SE"/>
          </w:rPr>
          <w:t>.</w:t>
        </w:r>
      </w:hyperlink>
    </w:p>
  </w:footnote>
  <w:footnote w:id="3">
    <w:p w14:paraId="2FB57137" w14:textId="77777777" w:rsidR="00BF16A3" w:rsidRPr="0043595F" w:rsidRDefault="00BF16A3" w:rsidP="00032DB8">
      <w:pPr>
        <w:pStyle w:val="FootnoteText"/>
        <w:ind w:left="567" w:hanging="567"/>
        <w:rPr>
          <w:sz w:val="24"/>
          <w:szCs w:val="24"/>
          <w:lang w:val="sv-SE"/>
        </w:rPr>
      </w:pPr>
      <w:r w:rsidRPr="0043595F">
        <w:rPr>
          <w:rStyle w:val="FootnoteReference"/>
          <w:sz w:val="24"/>
          <w:szCs w:val="24"/>
          <w:lang w:val="sv-SE"/>
        </w:rPr>
        <w:footnoteRef/>
      </w:r>
      <w:r w:rsidR="00032DB8" w:rsidRPr="0043595F">
        <w:rPr>
          <w:sz w:val="24"/>
          <w:szCs w:val="24"/>
          <w:lang w:val="sv-SE"/>
        </w:rPr>
        <w:t xml:space="preserve"> </w:t>
      </w:r>
      <w:r w:rsidR="00032DB8" w:rsidRPr="0043595F">
        <w:rPr>
          <w:sz w:val="24"/>
          <w:szCs w:val="24"/>
          <w:lang w:val="sv-SE"/>
        </w:rPr>
        <w:tab/>
      </w:r>
      <w:r w:rsidRPr="0043595F">
        <w:rPr>
          <w:sz w:val="24"/>
          <w:szCs w:val="24"/>
          <w:lang w:val="sv-SE"/>
        </w:rPr>
        <w:t>EUT L 156, 5.5.2021, s. 1</w:t>
      </w:r>
      <w:hyperlink r:id="rId2" w:history="1">
        <w:r w:rsidRPr="0043595F">
          <w:rPr>
            <w:rStyle w:val="Hyperlink"/>
            <w:color w:val="auto"/>
            <w:sz w:val="24"/>
            <w:szCs w:val="24"/>
            <w:u w:val="none"/>
            <w:lang w:val="sv-SE"/>
          </w:rPr>
          <w:t>.</w:t>
        </w:r>
      </w:hyperlink>
    </w:p>
  </w:footnote>
  <w:footnote w:id="4">
    <w:p w14:paraId="5EC51921" w14:textId="77777777" w:rsidR="00BF16A3" w:rsidRPr="0043595F" w:rsidRDefault="00BF16A3" w:rsidP="00032DB8">
      <w:pPr>
        <w:pStyle w:val="FootnoteText"/>
        <w:ind w:left="567" w:hanging="567"/>
        <w:rPr>
          <w:sz w:val="24"/>
          <w:szCs w:val="24"/>
        </w:rPr>
      </w:pPr>
      <w:r w:rsidRPr="0043595F">
        <w:rPr>
          <w:rStyle w:val="FootnoteReference"/>
          <w:sz w:val="24"/>
          <w:szCs w:val="24"/>
          <w:lang w:val="sv-SE"/>
        </w:rPr>
        <w:footnoteRef/>
      </w:r>
      <w:r w:rsidR="00032DB8" w:rsidRPr="0043595F">
        <w:rPr>
          <w:sz w:val="24"/>
          <w:szCs w:val="24"/>
        </w:rPr>
        <w:t xml:space="preserve"> </w:t>
      </w:r>
      <w:r w:rsidR="00032DB8" w:rsidRPr="0043595F">
        <w:rPr>
          <w:sz w:val="24"/>
          <w:szCs w:val="24"/>
        </w:rPr>
        <w:tab/>
      </w:r>
      <w:r w:rsidRPr="0043595F">
        <w:rPr>
          <w:sz w:val="24"/>
          <w:szCs w:val="24"/>
        </w:rPr>
        <w:t>EUT L 283, 31.10.2017, s. 1.</w:t>
      </w:r>
    </w:p>
  </w:footnote>
  <w:footnote w:id="5">
    <w:p w14:paraId="4A61F223" w14:textId="77777777" w:rsidR="00BF16A3" w:rsidRPr="0043595F" w:rsidRDefault="00BF16A3" w:rsidP="00032DB8">
      <w:pPr>
        <w:pStyle w:val="FootnoteText"/>
        <w:ind w:left="567" w:hanging="567"/>
        <w:rPr>
          <w:sz w:val="24"/>
          <w:szCs w:val="24"/>
        </w:rPr>
      </w:pPr>
      <w:r w:rsidRPr="0043595F">
        <w:rPr>
          <w:rStyle w:val="FootnoteReference"/>
          <w:sz w:val="24"/>
          <w:szCs w:val="24"/>
          <w:lang w:val="sv-SE"/>
        </w:rPr>
        <w:footnoteRef/>
      </w:r>
      <w:r w:rsidR="00032DB8" w:rsidRPr="0043595F">
        <w:rPr>
          <w:sz w:val="24"/>
          <w:szCs w:val="24"/>
        </w:rPr>
        <w:t xml:space="preserve"> </w:t>
      </w:r>
      <w:r w:rsidR="00032DB8" w:rsidRPr="0043595F">
        <w:rPr>
          <w:sz w:val="24"/>
          <w:szCs w:val="24"/>
        </w:rPr>
        <w:tab/>
      </w:r>
      <w:r w:rsidRPr="0043595F">
        <w:rPr>
          <w:sz w:val="24"/>
          <w:szCs w:val="24"/>
        </w:rPr>
        <w:t>EUT L 119, 4.5.2016, s. 1.</w:t>
      </w:r>
    </w:p>
  </w:footnote>
  <w:footnote w:id="6">
    <w:p w14:paraId="2A92F8D1" w14:textId="77777777" w:rsidR="00BF16A3" w:rsidRPr="0043595F" w:rsidRDefault="00BF16A3" w:rsidP="00032DB8">
      <w:pPr>
        <w:pStyle w:val="FootnoteText"/>
        <w:ind w:left="567" w:hanging="567"/>
        <w:rPr>
          <w:sz w:val="24"/>
          <w:szCs w:val="24"/>
        </w:rPr>
      </w:pPr>
      <w:r w:rsidRPr="0043595F">
        <w:rPr>
          <w:rStyle w:val="FootnoteReference"/>
          <w:sz w:val="24"/>
          <w:szCs w:val="24"/>
          <w:lang w:val="sv-SE"/>
        </w:rPr>
        <w:footnoteRef/>
      </w:r>
      <w:r w:rsidR="00032DB8" w:rsidRPr="0043595F">
        <w:rPr>
          <w:sz w:val="24"/>
          <w:szCs w:val="24"/>
        </w:rPr>
        <w:t xml:space="preserve"> </w:t>
      </w:r>
      <w:r w:rsidR="00032DB8" w:rsidRPr="0043595F">
        <w:rPr>
          <w:sz w:val="24"/>
          <w:szCs w:val="24"/>
        </w:rPr>
        <w:tab/>
      </w:r>
      <w:r w:rsidRPr="0043595F">
        <w:rPr>
          <w:sz w:val="24"/>
          <w:szCs w:val="24"/>
        </w:rPr>
        <w:t>EUT L 198, 28.7.2017, s. 29.</w:t>
      </w:r>
    </w:p>
  </w:footnote>
  <w:footnote w:id="7">
    <w:p w14:paraId="63602411" w14:textId="77777777" w:rsidR="00BF16A3" w:rsidRPr="0043595F" w:rsidRDefault="00BF16A3" w:rsidP="00032DB8">
      <w:pPr>
        <w:pStyle w:val="FootnoteText"/>
        <w:ind w:left="567" w:hanging="567"/>
        <w:rPr>
          <w:sz w:val="24"/>
          <w:szCs w:val="24"/>
        </w:rPr>
      </w:pPr>
      <w:r w:rsidRPr="0043595F">
        <w:rPr>
          <w:rStyle w:val="FootnoteReference"/>
          <w:sz w:val="24"/>
          <w:szCs w:val="24"/>
          <w:lang w:val="sv-SE"/>
        </w:rPr>
        <w:footnoteRef/>
      </w:r>
      <w:r w:rsidR="00032DB8" w:rsidRPr="0043595F">
        <w:rPr>
          <w:sz w:val="24"/>
          <w:szCs w:val="24"/>
        </w:rPr>
        <w:t xml:space="preserve"> </w:t>
      </w:r>
      <w:r w:rsidR="00032DB8" w:rsidRPr="0043595F">
        <w:rPr>
          <w:sz w:val="24"/>
          <w:szCs w:val="24"/>
        </w:rPr>
        <w:tab/>
      </w:r>
      <w:r w:rsidRPr="0043595F">
        <w:rPr>
          <w:sz w:val="24"/>
          <w:szCs w:val="24"/>
        </w:rPr>
        <w:t>EUT L 328, 6.12.2008, s. 55.</w:t>
      </w:r>
    </w:p>
  </w:footnote>
  <w:footnote w:id="8">
    <w:p w14:paraId="7A549E94" w14:textId="77777777" w:rsidR="00BF16A3" w:rsidRPr="0043595F" w:rsidRDefault="00BF16A3" w:rsidP="00032DB8">
      <w:pPr>
        <w:pStyle w:val="FootnoteText"/>
        <w:ind w:left="567" w:hanging="567"/>
        <w:rPr>
          <w:sz w:val="24"/>
          <w:szCs w:val="24"/>
        </w:rPr>
      </w:pPr>
      <w:r w:rsidRPr="0043595F">
        <w:rPr>
          <w:rStyle w:val="FootnoteReference"/>
          <w:sz w:val="24"/>
          <w:szCs w:val="24"/>
          <w:lang w:val="sv-SE"/>
        </w:rPr>
        <w:footnoteRef/>
      </w:r>
      <w:r w:rsidR="00032DB8" w:rsidRPr="0043595F">
        <w:rPr>
          <w:sz w:val="24"/>
          <w:szCs w:val="24"/>
        </w:rPr>
        <w:t xml:space="preserve"> </w:t>
      </w:r>
      <w:r w:rsidR="00032DB8" w:rsidRPr="0043595F">
        <w:rPr>
          <w:sz w:val="24"/>
          <w:szCs w:val="24"/>
        </w:rPr>
        <w:tab/>
      </w:r>
      <w:r w:rsidRPr="0043595F">
        <w:rPr>
          <w:sz w:val="24"/>
          <w:szCs w:val="24"/>
        </w:rPr>
        <w:t>EUT L 180, 19.7.2000, s. 22.</w:t>
      </w:r>
    </w:p>
  </w:footnote>
  <w:footnote w:id="9">
    <w:p w14:paraId="1B547E04" w14:textId="77777777" w:rsidR="00BF16A3" w:rsidRPr="0043595F" w:rsidRDefault="00BF16A3" w:rsidP="00032DB8">
      <w:pPr>
        <w:pStyle w:val="FootnoteText"/>
        <w:ind w:left="567" w:hanging="567"/>
        <w:rPr>
          <w:sz w:val="24"/>
          <w:szCs w:val="24"/>
        </w:rPr>
      </w:pPr>
      <w:r w:rsidRPr="0043595F">
        <w:rPr>
          <w:rStyle w:val="FootnoteReference"/>
          <w:sz w:val="24"/>
          <w:szCs w:val="24"/>
          <w:lang w:val="sv-SE"/>
        </w:rPr>
        <w:footnoteRef/>
      </w:r>
      <w:r w:rsidR="00032DB8" w:rsidRPr="0043595F">
        <w:rPr>
          <w:sz w:val="24"/>
          <w:szCs w:val="24"/>
        </w:rPr>
        <w:t xml:space="preserve"> </w:t>
      </w:r>
      <w:r w:rsidR="00032DB8" w:rsidRPr="0043595F">
        <w:rPr>
          <w:sz w:val="24"/>
          <w:szCs w:val="24"/>
        </w:rPr>
        <w:tab/>
      </w:r>
      <w:r w:rsidRPr="0043595F">
        <w:rPr>
          <w:sz w:val="24"/>
          <w:szCs w:val="24"/>
        </w:rPr>
        <w:t>EUT C 93, 19.3.2021, s. 1.</w:t>
      </w:r>
    </w:p>
  </w:footnote>
  <w:footnote w:id="10">
    <w:p w14:paraId="137328D0" w14:textId="77777777" w:rsidR="00BF16A3" w:rsidRPr="0043595F" w:rsidRDefault="00BF16A3" w:rsidP="00032DB8">
      <w:pPr>
        <w:pStyle w:val="FootnoteText"/>
        <w:ind w:left="567" w:hanging="567"/>
        <w:rPr>
          <w:sz w:val="24"/>
          <w:szCs w:val="24"/>
        </w:rPr>
      </w:pPr>
      <w:r w:rsidRPr="0043595F">
        <w:rPr>
          <w:rStyle w:val="FootnoteReference"/>
          <w:sz w:val="24"/>
          <w:szCs w:val="24"/>
          <w:lang w:val="sv-SE"/>
        </w:rPr>
        <w:footnoteRef/>
      </w:r>
      <w:r w:rsidR="00032DB8" w:rsidRPr="0043595F">
        <w:rPr>
          <w:sz w:val="24"/>
          <w:szCs w:val="24"/>
        </w:rPr>
        <w:t xml:space="preserve"> </w:t>
      </w:r>
      <w:r w:rsidR="00032DB8" w:rsidRPr="0043595F">
        <w:rPr>
          <w:sz w:val="24"/>
          <w:szCs w:val="24"/>
        </w:rPr>
        <w:tab/>
      </w:r>
      <w:r w:rsidRPr="0043595F">
        <w:rPr>
          <w:sz w:val="24"/>
          <w:szCs w:val="24"/>
        </w:rPr>
        <w:t>EUT L 331, 20.9.2021, s. 8.</w:t>
      </w:r>
    </w:p>
  </w:footnote>
  <w:footnote w:id="11">
    <w:p w14:paraId="43F1605F" w14:textId="77777777" w:rsidR="00BF16A3" w:rsidRPr="0043595F" w:rsidRDefault="00BF16A3" w:rsidP="00032DB8">
      <w:pPr>
        <w:pStyle w:val="FootnoteText"/>
        <w:ind w:left="567" w:hanging="567"/>
        <w:rPr>
          <w:sz w:val="24"/>
          <w:szCs w:val="24"/>
        </w:rPr>
      </w:pPr>
      <w:r w:rsidRPr="0043595F">
        <w:rPr>
          <w:rStyle w:val="FootnoteReference"/>
          <w:sz w:val="24"/>
          <w:szCs w:val="24"/>
          <w:lang w:val="sv-SE"/>
        </w:rPr>
        <w:footnoteRef/>
      </w:r>
      <w:r w:rsidR="00032DB8" w:rsidRPr="0043595F">
        <w:rPr>
          <w:sz w:val="24"/>
          <w:szCs w:val="24"/>
        </w:rPr>
        <w:t xml:space="preserve"> </w:t>
      </w:r>
      <w:r w:rsidR="00032DB8" w:rsidRPr="0043595F">
        <w:rPr>
          <w:sz w:val="24"/>
          <w:szCs w:val="24"/>
        </w:rPr>
        <w:tab/>
      </w:r>
      <w:r w:rsidRPr="0043595F">
        <w:rPr>
          <w:sz w:val="24"/>
          <w:szCs w:val="24"/>
        </w:rPr>
        <w:t>EUT L 86, 24.3.2023, s. 44.</w:t>
      </w:r>
    </w:p>
  </w:footnote>
  <w:footnote w:id="12">
    <w:p w14:paraId="1E0AE7D1" w14:textId="77777777" w:rsidR="00BF16A3" w:rsidRPr="0043595F" w:rsidRDefault="00BF16A3" w:rsidP="00032DB8">
      <w:pPr>
        <w:pStyle w:val="FootnoteText"/>
        <w:ind w:left="567" w:hanging="567"/>
        <w:rPr>
          <w:sz w:val="24"/>
          <w:szCs w:val="24"/>
          <w:lang w:val="en-GB"/>
        </w:rPr>
      </w:pPr>
      <w:r w:rsidRPr="0043595F">
        <w:rPr>
          <w:rStyle w:val="FootnoteReference"/>
          <w:sz w:val="24"/>
          <w:szCs w:val="24"/>
          <w:lang w:val="sv-SE"/>
        </w:rPr>
        <w:footnoteRef/>
      </w:r>
      <w:r w:rsidR="00032DB8" w:rsidRPr="0043595F">
        <w:rPr>
          <w:sz w:val="24"/>
          <w:szCs w:val="24"/>
          <w:lang w:val="en-GB"/>
        </w:rPr>
        <w:t xml:space="preserve"> </w:t>
      </w:r>
      <w:r w:rsidR="00032DB8" w:rsidRPr="0043595F">
        <w:rPr>
          <w:sz w:val="24"/>
          <w:szCs w:val="24"/>
          <w:lang w:val="en-GB"/>
        </w:rPr>
        <w:tab/>
      </w:r>
      <w:r w:rsidRPr="0043595F">
        <w:rPr>
          <w:sz w:val="24"/>
          <w:szCs w:val="24"/>
          <w:lang w:val="en-GB"/>
        </w:rPr>
        <w:t>EUT L 245, 22.9.2022, s. 56.</w:t>
      </w:r>
    </w:p>
  </w:footnote>
  <w:footnote w:id="13">
    <w:p w14:paraId="236C0575" w14:textId="77777777" w:rsidR="00BF16A3" w:rsidRPr="0043595F" w:rsidRDefault="00BF16A3" w:rsidP="00032DB8">
      <w:pPr>
        <w:pStyle w:val="FootnoteText"/>
        <w:ind w:left="567" w:hanging="567"/>
        <w:rPr>
          <w:sz w:val="24"/>
          <w:szCs w:val="24"/>
          <w:u w:color="0000FF"/>
          <w:lang w:val="en-GB"/>
        </w:rPr>
      </w:pPr>
      <w:r w:rsidRPr="0043595F">
        <w:rPr>
          <w:rStyle w:val="FootnoteReference"/>
          <w:sz w:val="24"/>
          <w:szCs w:val="24"/>
          <w:lang w:val="sv-SE"/>
        </w:rPr>
        <w:footnoteRef/>
      </w:r>
      <w:r w:rsidR="00032DB8" w:rsidRPr="0043595F">
        <w:rPr>
          <w:sz w:val="24"/>
          <w:szCs w:val="24"/>
          <w:lang w:val="en-GB"/>
        </w:rPr>
        <w:t xml:space="preserve"> </w:t>
      </w:r>
      <w:r w:rsidR="00032DB8" w:rsidRPr="0043595F">
        <w:rPr>
          <w:sz w:val="24"/>
          <w:szCs w:val="24"/>
          <w:lang w:val="en-GB"/>
        </w:rPr>
        <w:tab/>
      </w:r>
      <w:proofErr w:type="spellStart"/>
      <w:r w:rsidRPr="0043595F">
        <w:rPr>
          <w:sz w:val="24"/>
          <w:szCs w:val="24"/>
          <w:lang w:val="en-GB"/>
        </w:rPr>
        <w:t>Europarådet</w:t>
      </w:r>
      <w:proofErr w:type="spellEnd"/>
      <w:r w:rsidRPr="0043595F">
        <w:rPr>
          <w:sz w:val="24"/>
          <w:szCs w:val="24"/>
          <w:lang w:val="en-GB"/>
        </w:rPr>
        <w:t xml:space="preserve">, </w:t>
      </w:r>
      <w:hyperlink r:id="rId3" w:history="1">
        <w:r w:rsidRPr="0043595F">
          <w:rPr>
            <w:rStyle w:val="Hyperlink"/>
            <w:i/>
            <w:iCs/>
            <w:color w:val="auto"/>
            <w:sz w:val="24"/>
            <w:szCs w:val="24"/>
            <w:u w:val="none"/>
            <w:lang w:val="en-GB"/>
          </w:rPr>
          <w:t>Human Rights Defenders in the Council of Europe Area in Times of Crises</w:t>
        </w:r>
      </w:hyperlink>
      <w:r w:rsidRPr="0043595F">
        <w:rPr>
          <w:i/>
          <w:iCs/>
          <w:sz w:val="24"/>
          <w:szCs w:val="24"/>
          <w:lang w:val="en-GB"/>
        </w:rPr>
        <w:t xml:space="preserve"> </w:t>
      </w:r>
      <w:r w:rsidRPr="0043595F">
        <w:rPr>
          <w:sz w:val="24"/>
          <w:szCs w:val="24"/>
          <w:lang w:val="en-GB"/>
        </w:rPr>
        <w:t>(</w:t>
      </w:r>
      <w:proofErr w:type="spellStart"/>
      <w:r w:rsidRPr="0043595F">
        <w:rPr>
          <w:sz w:val="24"/>
          <w:szCs w:val="24"/>
          <w:lang w:val="en-GB"/>
        </w:rPr>
        <w:t>inte</w:t>
      </w:r>
      <w:proofErr w:type="spellEnd"/>
      <w:r w:rsidRPr="0043595F">
        <w:rPr>
          <w:sz w:val="24"/>
          <w:szCs w:val="24"/>
          <w:lang w:val="en-GB"/>
        </w:rPr>
        <w:t xml:space="preserve"> </w:t>
      </w:r>
      <w:proofErr w:type="spellStart"/>
      <w:r w:rsidRPr="0043595F">
        <w:rPr>
          <w:sz w:val="24"/>
          <w:szCs w:val="24"/>
          <w:lang w:val="en-GB"/>
        </w:rPr>
        <w:t>översatt</w:t>
      </w:r>
      <w:proofErr w:type="spellEnd"/>
      <w:r w:rsidRPr="0043595F">
        <w:rPr>
          <w:sz w:val="24"/>
          <w:szCs w:val="24"/>
          <w:lang w:val="en-GB"/>
        </w:rPr>
        <w:t xml:space="preserve"> </w:t>
      </w:r>
      <w:proofErr w:type="gramStart"/>
      <w:r w:rsidRPr="0043595F">
        <w:rPr>
          <w:sz w:val="24"/>
          <w:szCs w:val="24"/>
          <w:lang w:val="en-GB"/>
        </w:rPr>
        <w:t>till</w:t>
      </w:r>
      <w:proofErr w:type="gramEnd"/>
      <w:r w:rsidRPr="0043595F">
        <w:rPr>
          <w:sz w:val="24"/>
          <w:szCs w:val="24"/>
          <w:lang w:val="en-GB"/>
        </w:rPr>
        <w:t xml:space="preserve"> </w:t>
      </w:r>
      <w:proofErr w:type="spellStart"/>
      <w:r w:rsidRPr="0043595F">
        <w:rPr>
          <w:sz w:val="24"/>
          <w:szCs w:val="24"/>
          <w:lang w:val="en-GB"/>
        </w:rPr>
        <w:t>svenska</w:t>
      </w:r>
      <w:proofErr w:type="spellEnd"/>
      <w:r w:rsidRPr="0043595F">
        <w:rPr>
          <w:sz w:val="24"/>
          <w:szCs w:val="24"/>
          <w:lang w:val="en-GB"/>
        </w:rPr>
        <w:t>), 23 mars 2023</w:t>
      </w:r>
      <w:hyperlink r:id="rId4" w:history="1">
        <w:r w:rsidRPr="0043595F">
          <w:rPr>
            <w:rStyle w:val="Hyperlink"/>
            <w:color w:val="auto"/>
            <w:sz w:val="24"/>
            <w:szCs w:val="24"/>
            <w:u w:val="none"/>
            <w:lang w:val="en-GB"/>
          </w:rPr>
          <w:t>.</w:t>
        </w:r>
      </w:hyperlink>
    </w:p>
  </w:footnote>
  <w:footnote w:id="14">
    <w:p w14:paraId="021A2CC1" w14:textId="77777777" w:rsidR="00BF16A3" w:rsidRPr="0043595F" w:rsidRDefault="00BF16A3" w:rsidP="00032DB8">
      <w:pPr>
        <w:pStyle w:val="FootnoteText"/>
        <w:ind w:left="567" w:hanging="567"/>
        <w:rPr>
          <w:sz w:val="24"/>
          <w:szCs w:val="24"/>
        </w:rPr>
      </w:pPr>
      <w:r w:rsidRPr="0043595F">
        <w:rPr>
          <w:rStyle w:val="FootnoteReference"/>
          <w:sz w:val="24"/>
          <w:szCs w:val="24"/>
          <w:lang w:val="sv-SE"/>
        </w:rPr>
        <w:footnoteRef/>
      </w:r>
      <w:r w:rsidR="00032DB8" w:rsidRPr="0043595F">
        <w:rPr>
          <w:sz w:val="24"/>
          <w:szCs w:val="24"/>
        </w:rPr>
        <w:t xml:space="preserve"> </w:t>
      </w:r>
      <w:r w:rsidR="00032DB8" w:rsidRPr="0043595F">
        <w:rPr>
          <w:sz w:val="24"/>
          <w:szCs w:val="24"/>
        </w:rPr>
        <w:tab/>
      </w:r>
      <w:r w:rsidRPr="0043595F">
        <w:rPr>
          <w:sz w:val="24"/>
          <w:szCs w:val="24"/>
        </w:rPr>
        <w:t>EUT C 363, 28.10.2020, s. 13.</w:t>
      </w:r>
    </w:p>
  </w:footnote>
  <w:footnote w:id="15">
    <w:p w14:paraId="41339406" w14:textId="77777777" w:rsidR="00BF16A3" w:rsidRPr="0043595F" w:rsidRDefault="00BF16A3" w:rsidP="00032DB8">
      <w:pPr>
        <w:pStyle w:val="FootnoteText"/>
        <w:ind w:left="567" w:hanging="567"/>
        <w:rPr>
          <w:sz w:val="24"/>
          <w:szCs w:val="24"/>
        </w:rPr>
      </w:pPr>
      <w:r w:rsidRPr="0043595F">
        <w:rPr>
          <w:rStyle w:val="FootnoteReference"/>
          <w:sz w:val="24"/>
          <w:szCs w:val="24"/>
          <w:lang w:val="sv-SE"/>
        </w:rPr>
        <w:footnoteRef/>
      </w:r>
      <w:r w:rsidR="00032DB8" w:rsidRPr="0043595F">
        <w:rPr>
          <w:sz w:val="24"/>
          <w:szCs w:val="24"/>
        </w:rPr>
        <w:t xml:space="preserve"> </w:t>
      </w:r>
      <w:r w:rsidR="00032DB8" w:rsidRPr="0043595F">
        <w:rPr>
          <w:sz w:val="24"/>
          <w:szCs w:val="24"/>
        </w:rPr>
        <w:tab/>
      </w:r>
      <w:r w:rsidRPr="0043595F">
        <w:rPr>
          <w:sz w:val="24"/>
          <w:szCs w:val="24"/>
        </w:rPr>
        <w:t>EUT C 411, 27.11.2020, s. 38.</w:t>
      </w:r>
    </w:p>
  </w:footnote>
  <w:footnote w:id="16">
    <w:p w14:paraId="72C26E97" w14:textId="77777777" w:rsidR="00BF16A3" w:rsidRPr="0043595F" w:rsidRDefault="00BF16A3" w:rsidP="00032DB8">
      <w:pPr>
        <w:pStyle w:val="FootnoteText"/>
        <w:ind w:left="567" w:hanging="567"/>
        <w:rPr>
          <w:sz w:val="24"/>
          <w:szCs w:val="24"/>
        </w:rPr>
      </w:pPr>
      <w:r w:rsidRPr="0043595F">
        <w:rPr>
          <w:rStyle w:val="FootnoteReference"/>
          <w:sz w:val="24"/>
          <w:szCs w:val="24"/>
          <w:lang w:val="sv-SE"/>
        </w:rPr>
        <w:footnoteRef/>
      </w:r>
      <w:r w:rsidR="00032DB8" w:rsidRPr="0043595F">
        <w:rPr>
          <w:sz w:val="24"/>
          <w:szCs w:val="24"/>
        </w:rPr>
        <w:t xml:space="preserve"> </w:t>
      </w:r>
      <w:r w:rsidR="00032DB8" w:rsidRPr="0043595F">
        <w:rPr>
          <w:sz w:val="24"/>
          <w:szCs w:val="24"/>
        </w:rPr>
        <w:tab/>
      </w:r>
      <w:r w:rsidRPr="0043595F">
        <w:rPr>
          <w:sz w:val="24"/>
          <w:szCs w:val="24"/>
        </w:rPr>
        <w:t>EUT C 205, 20.5.2022, s. 2.</w:t>
      </w:r>
    </w:p>
  </w:footnote>
  <w:footnote w:id="17">
    <w:p w14:paraId="2819817B" w14:textId="77777777" w:rsidR="00BF16A3" w:rsidRPr="0043595F" w:rsidRDefault="00BF16A3" w:rsidP="00032DB8">
      <w:pPr>
        <w:pStyle w:val="FootnoteText"/>
        <w:ind w:left="567" w:hanging="567"/>
        <w:rPr>
          <w:sz w:val="24"/>
          <w:szCs w:val="24"/>
        </w:rPr>
      </w:pPr>
      <w:r w:rsidRPr="0043595F">
        <w:rPr>
          <w:rStyle w:val="FootnoteReference"/>
          <w:sz w:val="24"/>
          <w:szCs w:val="24"/>
          <w:lang w:val="sv-SE"/>
        </w:rPr>
        <w:footnoteRef/>
      </w:r>
      <w:r w:rsidR="00032DB8" w:rsidRPr="0043595F">
        <w:rPr>
          <w:sz w:val="24"/>
          <w:szCs w:val="24"/>
        </w:rPr>
        <w:t xml:space="preserve"> </w:t>
      </w:r>
      <w:r w:rsidR="00032DB8" w:rsidRPr="0043595F">
        <w:rPr>
          <w:sz w:val="24"/>
          <w:szCs w:val="24"/>
        </w:rPr>
        <w:tab/>
      </w:r>
      <w:r w:rsidRPr="0043595F">
        <w:rPr>
          <w:sz w:val="24"/>
          <w:szCs w:val="24"/>
        </w:rPr>
        <w:t>EUT C 251, 30.6.2022, s. 48.</w:t>
      </w:r>
    </w:p>
  </w:footnote>
  <w:footnote w:id="18">
    <w:p w14:paraId="75891170" w14:textId="77777777" w:rsidR="00BF16A3" w:rsidRPr="0043595F" w:rsidRDefault="00BF16A3" w:rsidP="00032DB8">
      <w:pPr>
        <w:pStyle w:val="FootnoteText"/>
        <w:ind w:left="567" w:hanging="567"/>
        <w:rPr>
          <w:sz w:val="24"/>
          <w:szCs w:val="24"/>
        </w:rPr>
      </w:pPr>
      <w:r w:rsidRPr="0043595F">
        <w:rPr>
          <w:rStyle w:val="FootnoteReference"/>
          <w:sz w:val="24"/>
          <w:szCs w:val="24"/>
          <w:lang w:val="sv-SE"/>
        </w:rPr>
        <w:footnoteRef/>
      </w:r>
      <w:r w:rsidR="00032DB8" w:rsidRPr="0043595F">
        <w:rPr>
          <w:sz w:val="24"/>
          <w:szCs w:val="24"/>
        </w:rPr>
        <w:t xml:space="preserve"> </w:t>
      </w:r>
      <w:r w:rsidR="00032DB8" w:rsidRPr="0043595F">
        <w:rPr>
          <w:sz w:val="24"/>
          <w:szCs w:val="24"/>
        </w:rPr>
        <w:tab/>
      </w:r>
      <w:r w:rsidRPr="0043595F">
        <w:rPr>
          <w:sz w:val="24"/>
          <w:szCs w:val="24"/>
        </w:rPr>
        <w:t>EUT C 342, 6.9.2022, s. 225.</w:t>
      </w:r>
    </w:p>
  </w:footnote>
  <w:footnote w:id="19">
    <w:p w14:paraId="266EFA03" w14:textId="77777777" w:rsidR="00BF16A3" w:rsidRPr="0043595F" w:rsidRDefault="00BF16A3" w:rsidP="00032DB8">
      <w:pPr>
        <w:pStyle w:val="FootnoteText"/>
        <w:ind w:left="567" w:hanging="567"/>
        <w:rPr>
          <w:sz w:val="24"/>
          <w:szCs w:val="24"/>
        </w:rPr>
      </w:pPr>
      <w:r w:rsidRPr="0043595F">
        <w:rPr>
          <w:rStyle w:val="FootnoteReference"/>
          <w:sz w:val="24"/>
          <w:szCs w:val="24"/>
          <w:lang w:val="sv-SE"/>
        </w:rPr>
        <w:footnoteRef/>
      </w:r>
      <w:r w:rsidR="00032DB8" w:rsidRPr="0043595F">
        <w:rPr>
          <w:sz w:val="24"/>
          <w:szCs w:val="24"/>
        </w:rPr>
        <w:t xml:space="preserve"> </w:t>
      </w:r>
      <w:r w:rsidR="00032DB8" w:rsidRPr="0043595F">
        <w:rPr>
          <w:sz w:val="24"/>
          <w:szCs w:val="24"/>
        </w:rPr>
        <w:tab/>
      </w:r>
      <w:r w:rsidRPr="0043595F">
        <w:rPr>
          <w:sz w:val="24"/>
          <w:szCs w:val="24"/>
        </w:rPr>
        <w:t>EUT C 347, 9.9.2022, s. 2.</w:t>
      </w:r>
    </w:p>
  </w:footnote>
  <w:footnote w:id="20">
    <w:p w14:paraId="0A7A168A" w14:textId="77777777" w:rsidR="00BF16A3" w:rsidRPr="0043595F" w:rsidRDefault="00BF16A3" w:rsidP="00032DB8">
      <w:pPr>
        <w:pStyle w:val="FootnoteText"/>
        <w:ind w:left="567" w:hanging="567"/>
        <w:rPr>
          <w:sz w:val="24"/>
          <w:szCs w:val="24"/>
        </w:rPr>
      </w:pPr>
      <w:r w:rsidRPr="0043595F">
        <w:rPr>
          <w:rStyle w:val="FootnoteReference"/>
          <w:sz w:val="24"/>
          <w:szCs w:val="24"/>
          <w:lang w:val="sv-SE"/>
        </w:rPr>
        <w:footnoteRef/>
      </w:r>
      <w:r w:rsidR="00032DB8" w:rsidRPr="0043595F">
        <w:rPr>
          <w:sz w:val="24"/>
          <w:szCs w:val="24"/>
        </w:rPr>
        <w:t xml:space="preserve"> </w:t>
      </w:r>
      <w:r w:rsidR="00032DB8" w:rsidRPr="0043595F">
        <w:rPr>
          <w:sz w:val="24"/>
          <w:szCs w:val="24"/>
        </w:rPr>
        <w:tab/>
      </w:r>
      <w:r w:rsidRPr="0043595F">
        <w:rPr>
          <w:sz w:val="24"/>
          <w:szCs w:val="24"/>
        </w:rPr>
        <w:t>EUT C 347, 9.9.2022, s. 168.</w:t>
      </w:r>
    </w:p>
  </w:footnote>
  <w:footnote w:id="21">
    <w:p w14:paraId="08BF709F" w14:textId="77777777" w:rsidR="00BF16A3" w:rsidRPr="0043595F" w:rsidRDefault="00BF16A3" w:rsidP="00032DB8">
      <w:pPr>
        <w:pStyle w:val="FootnoteText"/>
        <w:ind w:left="567" w:hanging="567"/>
        <w:rPr>
          <w:sz w:val="24"/>
          <w:szCs w:val="24"/>
        </w:rPr>
      </w:pPr>
      <w:r w:rsidRPr="0043595F">
        <w:rPr>
          <w:rStyle w:val="FootnoteReference"/>
          <w:sz w:val="24"/>
          <w:szCs w:val="24"/>
          <w:lang w:val="sv-SE"/>
        </w:rPr>
        <w:footnoteRef/>
      </w:r>
      <w:r w:rsidR="00032DB8" w:rsidRPr="0043595F">
        <w:rPr>
          <w:sz w:val="24"/>
          <w:szCs w:val="24"/>
        </w:rPr>
        <w:t xml:space="preserve"> </w:t>
      </w:r>
      <w:r w:rsidR="00032DB8" w:rsidRPr="0043595F">
        <w:rPr>
          <w:sz w:val="24"/>
          <w:szCs w:val="24"/>
        </w:rPr>
        <w:tab/>
      </w:r>
      <w:r w:rsidRPr="0043595F">
        <w:rPr>
          <w:sz w:val="24"/>
          <w:szCs w:val="24"/>
        </w:rPr>
        <w:t>EUT C 493, 27.12.2022, s. 108.</w:t>
      </w:r>
    </w:p>
  </w:footnote>
  <w:footnote w:id="22">
    <w:p w14:paraId="335037FD" w14:textId="77777777" w:rsidR="00BF16A3" w:rsidRPr="0043595F" w:rsidRDefault="00BF16A3" w:rsidP="00032DB8">
      <w:pPr>
        <w:pStyle w:val="FootnoteText"/>
        <w:ind w:left="567" w:hanging="567"/>
        <w:rPr>
          <w:sz w:val="24"/>
          <w:szCs w:val="24"/>
        </w:rPr>
      </w:pPr>
      <w:r w:rsidRPr="0043595F">
        <w:rPr>
          <w:rStyle w:val="FootnoteReference"/>
          <w:sz w:val="24"/>
          <w:szCs w:val="24"/>
          <w:lang w:val="sv-SE"/>
        </w:rPr>
        <w:footnoteRef/>
      </w:r>
      <w:r w:rsidR="00032DB8" w:rsidRPr="0043595F">
        <w:rPr>
          <w:sz w:val="24"/>
          <w:szCs w:val="24"/>
        </w:rPr>
        <w:t xml:space="preserve"> </w:t>
      </w:r>
      <w:r w:rsidR="00032DB8" w:rsidRPr="0043595F">
        <w:rPr>
          <w:sz w:val="24"/>
          <w:szCs w:val="24"/>
        </w:rPr>
        <w:tab/>
      </w:r>
      <w:r w:rsidRPr="0043595F">
        <w:rPr>
          <w:sz w:val="24"/>
          <w:szCs w:val="24"/>
        </w:rPr>
        <w:t>EUT C 47, 7.2.2023, s. 184.</w:t>
      </w:r>
    </w:p>
  </w:footnote>
  <w:footnote w:id="23">
    <w:p w14:paraId="2780AF8A" w14:textId="77777777" w:rsidR="00BF16A3" w:rsidRPr="0043595F" w:rsidRDefault="00BF16A3" w:rsidP="00032DB8">
      <w:pPr>
        <w:pStyle w:val="FootnoteText"/>
        <w:ind w:left="567" w:hanging="567"/>
        <w:rPr>
          <w:sz w:val="24"/>
          <w:szCs w:val="24"/>
        </w:rPr>
      </w:pPr>
      <w:r w:rsidRPr="0043595F">
        <w:rPr>
          <w:rStyle w:val="FootnoteReference"/>
          <w:sz w:val="24"/>
          <w:szCs w:val="24"/>
          <w:lang w:val="sv-SE"/>
        </w:rPr>
        <w:footnoteRef/>
      </w:r>
      <w:r w:rsidR="00032DB8" w:rsidRPr="0043595F">
        <w:rPr>
          <w:sz w:val="24"/>
          <w:szCs w:val="24"/>
        </w:rPr>
        <w:t xml:space="preserve"> </w:t>
      </w:r>
      <w:r w:rsidR="00032DB8" w:rsidRPr="0043595F">
        <w:rPr>
          <w:sz w:val="24"/>
          <w:szCs w:val="24"/>
        </w:rPr>
        <w:tab/>
      </w:r>
      <w:r w:rsidRPr="0043595F">
        <w:rPr>
          <w:sz w:val="24"/>
          <w:szCs w:val="24"/>
        </w:rPr>
        <w:t>EUT C 125, 5.4.2023, s. 463.</w:t>
      </w:r>
    </w:p>
  </w:footnote>
  <w:footnote w:id="24">
    <w:p w14:paraId="0EDB17AE" w14:textId="77777777" w:rsidR="00BF16A3" w:rsidRPr="0043595F" w:rsidRDefault="00BF16A3" w:rsidP="00032DB8">
      <w:pPr>
        <w:pStyle w:val="FootnoteText"/>
        <w:ind w:left="567" w:hanging="567"/>
        <w:rPr>
          <w:sz w:val="24"/>
          <w:szCs w:val="24"/>
        </w:rPr>
      </w:pPr>
      <w:r w:rsidRPr="0043595F">
        <w:rPr>
          <w:rStyle w:val="FootnoteReference"/>
          <w:sz w:val="24"/>
          <w:szCs w:val="24"/>
          <w:lang w:val="sv-SE"/>
        </w:rPr>
        <w:footnoteRef/>
      </w:r>
      <w:r w:rsidR="00032DB8" w:rsidRPr="0043595F">
        <w:rPr>
          <w:sz w:val="24"/>
          <w:szCs w:val="24"/>
        </w:rPr>
        <w:t xml:space="preserve"> </w:t>
      </w:r>
      <w:r w:rsidR="00032DB8" w:rsidRPr="0043595F">
        <w:rPr>
          <w:sz w:val="24"/>
          <w:szCs w:val="24"/>
        </w:rPr>
        <w:tab/>
      </w:r>
      <w:r w:rsidRPr="0043595F">
        <w:rPr>
          <w:sz w:val="24"/>
          <w:szCs w:val="24"/>
        </w:rPr>
        <w:t>EUT C 132, 14.4.2023, s. 29.</w:t>
      </w:r>
    </w:p>
  </w:footnote>
  <w:footnote w:id="25">
    <w:p w14:paraId="062819D3" w14:textId="77777777" w:rsidR="00BF16A3" w:rsidRPr="0043595F" w:rsidRDefault="00BF16A3" w:rsidP="00032DB8">
      <w:pPr>
        <w:pStyle w:val="FootnoteText"/>
        <w:ind w:left="567" w:hanging="567"/>
        <w:rPr>
          <w:sz w:val="24"/>
          <w:szCs w:val="24"/>
        </w:rPr>
      </w:pPr>
      <w:r w:rsidRPr="0043595F">
        <w:rPr>
          <w:rStyle w:val="FootnoteReference"/>
          <w:sz w:val="24"/>
          <w:szCs w:val="24"/>
          <w:lang w:val="sv-SE"/>
        </w:rPr>
        <w:footnoteRef/>
      </w:r>
      <w:r w:rsidR="00032DB8" w:rsidRPr="0043595F">
        <w:rPr>
          <w:sz w:val="24"/>
          <w:szCs w:val="24"/>
        </w:rPr>
        <w:t xml:space="preserve"> </w:t>
      </w:r>
      <w:r w:rsidR="00032DB8" w:rsidRPr="0043595F">
        <w:rPr>
          <w:sz w:val="24"/>
          <w:szCs w:val="24"/>
        </w:rPr>
        <w:tab/>
      </w:r>
      <w:r w:rsidRPr="0043595F">
        <w:rPr>
          <w:sz w:val="24"/>
          <w:szCs w:val="24"/>
        </w:rPr>
        <w:t>EUT C 177, 17.5.2023, s. 109.</w:t>
      </w:r>
    </w:p>
  </w:footnote>
  <w:footnote w:id="26">
    <w:p w14:paraId="4B735C30" w14:textId="77777777" w:rsidR="00BF16A3" w:rsidRPr="0043595F" w:rsidRDefault="00BF16A3" w:rsidP="00032DB8">
      <w:pPr>
        <w:pStyle w:val="FootnoteText"/>
        <w:ind w:left="567" w:hanging="567"/>
        <w:rPr>
          <w:sz w:val="24"/>
          <w:szCs w:val="24"/>
        </w:rPr>
      </w:pPr>
      <w:r w:rsidRPr="0043595F">
        <w:rPr>
          <w:rStyle w:val="FootnoteReference"/>
          <w:sz w:val="24"/>
          <w:szCs w:val="24"/>
          <w:lang w:val="sv-SE"/>
        </w:rPr>
        <w:footnoteRef/>
      </w:r>
      <w:r w:rsidR="00032DB8" w:rsidRPr="0043595F">
        <w:rPr>
          <w:sz w:val="24"/>
          <w:szCs w:val="24"/>
        </w:rPr>
        <w:t xml:space="preserve"> </w:t>
      </w:r>
      <w:r w:rsidR="00032DB8" w:rsidRPr="0043595F">
        <w:rPr>
          <w:sz w:val="24"/>
          <w:szCs w:val="24"/>
        </w:rPr>
        <w:tab/>
      </w:r>
      <w:r w:rsidRPr="0043595F">
        <w:rPr>
          <w:sz w:val="24"/>
          <w:szCs w:val="24"/>
        </w:rPr>
        <w:t>EUT C 47, 7.2.2023, s. 268.</w:t>
      </w:r>
    </w:p>
  </w:footnote>
  <w:footnote w:id="27">
    <w:p w14:paraId="23A4818B" w14:textId="77777777" w:rsidR="00BF16A3" w:rsidRPr="0043595F" w:rsidRDefault="00BF16A3" w:rsidP="00032DB8">
      <w:pPr>
        <w:pStyle w:val="FootnoteText"/>
        <w:ind w:left="567" w:hanging="567"/>
        <w:rPr>
          <w:sz w:val="24"/>
          <w:szCs w:val="24"/>
        </w:rPr>
      </w:pPr>
      <w:r w:rsidRPr="0043595F">
        <w:rPr>
          <w:rStyle w:val="FootnoteReference"/>
          <w:sz w:val="24"/>
          <w:szCs w:val="24"/>
          <w:lang w:val="sv-SE"/>
        </w:rPr>
        <w:footnoteRef/>
      </w:r>
      <w:r w:rsidR="00032DB8" w:rsidRPr="0043595F">
        <w:rPr>
          <w:sz w:val="24"/>
          <w:szCs w:val="24"/>
        </w:rPr>
        <w:t xml:space="preserve"> </w:t>
      </w:r>
      <w:r w:rsidR="00032DB8" w:rsidRPr="0043595F">
        <w:rPr>
          <w:sz w:val="24"/>
          <w:szCs w:val="24"/>
        </w:rPr>
        <w:tab/>
      </w:r>
      <w:r w:rsidRPr="0043595F">
        <w:rPr>
          <w:sz w:val="24"/>
          <w:szCs w:val="24"/>
        </w:rPr>
        <w:t>EUT C 465, 6.12.2022, s. 33.</w:t>
      </w:r>
    </w:p>
  </w:footnote>
  <w:footnote w:id="28">
    <w:p w14:paraId="790A7EBE" w14:textId="77777777" w:rsidR="00BF16A3" w:rsidRPr="0043595F" w:rsidRDefault="00BF16A3" w:rsidP="00032DB8">
      <w:pPr>
        <w:pStyle w:val="FootnoteText"/>
        <w:ind w:left="567" w:hanging="567"/>
        <w:rPr>
          <w:sz w:val="24"/>
          <w:szCs w:val="24"/>
        </w:rPr>
      </w:pPr>
      <w:r w:rsidRPr="0043595F">
        <w:rPr>
          <w:rStyle w:val="FootnoteReference"/>
          <w:sz w:val="24"/>
          <w:szCs w:val="24"/>
          <w:lang w:val="sv-SE"/>
        </w:rPr>
        <w:footnoteRef/>
      </w:r>
      <w:r w:rsidR="00032DB8" w:rsidRPr="0043595F">
        <w:rPr>
          <w:sz w:val="24"/>
          <w:szCs w:val="24"/>
        </w:rPr>
        <w:t xml:space="preserve"> </w:t>
      </w:r>
      <w:r w:rsidR="00032DB8" w:rsidRPr="0043595F">
        <w:rPr>
          <w:sz w:val="24"/>
          <w:szCs w:val="24"/>
        </w:rPr>
        <w:tab/>
      </w:r>
      <w:r w:rsidRPr="0043595F">
        <w:rPr>
          <w:sz w:val="24"/>
          <w:szCs w:val="24"/>
        </w:rPr>
        <w:t>EUT C 465, 6.12.2022, s. 147.</w:t>
      </w:r>
    </w:p>
  </w:footnote>
  <w:footnote w:id="29">
    <w:p w14:paraId="22AD49A5" w14:textId="77777777" w:rsidR="00BF16A3" w:rsidRPr="0043595F" w:rsidRDefault="00BF16A3" w:rsidP="00032DB8">
      <w:pPr>
        <w:pStyle w:val="FootnoteText"/>
        <w:ind w:left="567" w:hanging="567"/>
        <w:rPr>
          <w:sz w:val="24"/>
          <w:szCs w:val="24"/>
        </w:rPr>
      </w:pPr>
      <w:r w:rsidRPr="0043595F">
        <w:rPr>
          <w:rStyle w:val="FootnoteReference"/>
          <w:sz w:val="24"/>
          <w:szCs w:val="24"/>
          <w:lang w:val="sv-SE"/>
        </w:rPr>
        <w:footnoteRef/>
      </w:r>
      <w:r w:rsidR="00032DB8" w:rsidRPr="0043595F">
        <w:rPr>
          <w:sz w:val="24"/>
          <w:szCs w:val="24"/>
        </w:rPr>
        <w:t xml:space="preserve"> </w:t>
      </w:r>
      <w:r w:rsidR="00032DB8" w:rsidRPr="0043595F">
        <w:rPr>
          <w:sz w:val="24"/>
          <w:szCs w:val="24"/>
        </w:rPr>
        <w:tab/>
      </w:r>
      <w:r w:rsidRPr="0043595F">
        <w:rPr>
          <w:sz w:val="24"/>
          <w:szCs w:val="24"/>
        </w:rPr>
        <w:t>EUT L 45, 14.2.2023, s. 13.</w:t>
      </w:r>
      <w:r w:rsidRPr="0043595F">
        <w:rPr>
          <w:b/>
          <w:i/>
          <w:sz w:val="24"/>
          <w:szCs w:val="24"/>
        </w:rPr>
        <w:t xml:space="preserve"> </w:t>
      </w:r>
    </w:p>
  </w:footnote>
  <w:footnote w:id="30">
    <w:p w14:paraId="6CEEF3EA" w14:textId="77777777" w:rsidR="00BF16A3" w:rsidRPr="0043595F" w:rsidRDefault="00BF16A3" w:rsidP="00032DB8">
      <w:pPr>
        <w:pStyle w:val="FootnoteText"/>
        <w:ind w:left="567" w:hanging="567"/>
        <w:rPr>
          <w:sz w:val="24"/>
          <w:szCs w:val="24"/>
        </w:rPr>
      </w:pPr>
      <w:r w:rsidRPr="0043595F">
        <w:rPr>
          <w:rStyle w:val="FootnoteReference"/>
          <w:sz w:val="24"/>
          <w:szCs w:val="24"/>
          <w:lang w:val="sv-SE"/>
        </w:rPr>
        <w:footnoteRef/>
      </w:r>
      <w:r w:rsidR="00032DB8" w:rsidRPr="0043595F">
        <w:rPr>
          <w:sz w:val="24"/>
          <w:szCs w:val="24"/>
        </w:rPr>
        <w:t xml:space="preserve"> </w:t>
      </w:r>
      <w:r w:rsidR="00032DB8" w:rsidRPr="0043595F">
        <w:rPr>
          <w:sz w:val="24"/>
          <w:szCs w:val="24"/>
        </w:rPr>
        <w:tab/>
      </w:r>
      <w:r w:rsidRPr="0043595F">
        <w:rPr>
          <w:sz w:val="24"/>
          <w:szCs w:val="24"/>
        </w:rPr>
        <w:t>EUT C 149, 28.4.2023, s. 22.</w:t>
      </w:r>
      <w:r w:rsidRPr="0043595F">
        <w:rPr>
          <w:b/>
          <w:i/>
          <w:sz w:val="24"/>
          <w:szCs w:val="24"/>
        </w:rPr>
        <w:t xml:space="preserve"> </w:t>
      </w:r>
    </w:p>
  </w:footnote>
  <w:footnote w:id="31">
    <w:p w14:paraId="261041F5" w14:textId="77777777" w:rsidR="00BF16A3" w:rsidRPr="0043595F" w:rsidRDefault="00BF16A3" w:rsidP="00032DB8">
      <w:pPr>
        <w:pStyle w:val="FootnoteText"/>
        <w:ind w:left="567" w:hanging="567"/>
        <w:rPr>
          <w:sz w:val="24"/>
          <w:szCs w:val="24"/>
        </w:rPr>
      </w:pPr>
      <w:r w:rsidRPr="0043595F">
        <w:rPr>
          <w:rStyle w:val="FootnoteReference"/>
          <w:sz w:val="24"/>
          <w:szCs w:val="24"/>
          <w:lang w:val="sv-SE"/>
        </w:rPr>
        <w:footnoteRef/>
      </w:r>
      <w:r w:rsidR="00032DB8" w:rsidRPr="0043595F">
        <w:rPr>
          <w:sz w:val="24"/>
          <w:szCs w:val="24"/>
        </w:rPr>
        <w:t xml:space="preserve"> </w:t>
      </w:r>
      <w:r w:rsidR="00032DB8" w:rsidRPr="0043595F">
        <w:rPr>
          <w:sz w:val="24"/>
          <w:szCs w:val="24"/>
        </w:rPr>
        <w:tab/>
      </w:r>
      <w:r w:rsidRPr="0043595F">
        <w:rPr>
          <w:sz w:val="24"/>
          <w:szCs w:val="24"/>
        </w:rPr>
        <w:t>EUT C 161, 5.5.2023, s. 10.</w:t>
      </w:r>
    </w:p>
  </w:footnote>
  <w:footnote w:id="32">
    <w:p w14:paraId="58BF27D9" w14:textId="68BCC31E" w:rsidR="00BF16A3" w:rsidRPr="0043595F" w:rsidRDefault="00BF16A3" w:rsidP="00032DB8">
      <w:pPr>
        <w:pStyle w:val="FootnoteText"/>
        <w:ind w:left="567" w:hanging="567"/>
        <w:rPr>
          <w:sz w:val="24"/>
          <w:szCs w:val="24"/>
          <w:lang w:val="sv-SE"/>
        </w:rPr>
      </w:pPr>
      <w:r w:rsidRPr="0043595F">
        <w:rPr>
          <w:rStyle w:val="FootnoteReference"/>
          <w:sz w:val="24"/>
          <w:szCs w:val="24"/>
          <w:lang w:val="sv-SE"/>
        </w:rPr>
        <w:footnoteRef/>
      </w:r>
      <w:r w:rsidR="00032DB8" w:rsidRPr="0043595F">
        <w:rPr>
          <w:sz w:val="24"/>
          <w:szCs w:val="24"/>
          <w:lang w:val="sv-SE"/>
        </w:rPr>
        <w:t xml:space="preserve"> </w:t>
      </w:r>
      <w:r w:rsidR="00032DB8" w:rsidRPr="0043595F">
        <w:rPr>
          <w:sz w:val="24"/>
          <w:szCs w:val="24"/>
          <w:lang w:val="sv-SE"/>
        </w:rPr>
        <w:tab/>
      </w:r>
      <w:r w:rsidRPr="0043595F">
        <w:rPr>
          <w:sz w:val="24"/>
          <w:szCs w:val="24"/>
          <w:lang w:val="sv-SE"/>
        </w:rPr>
        <w:t>EUT C 177, 17.5.2023, s. 13.</w:t>
      </w:r>
    </w:p>
  </w:footnote>
  <w:footnote w:id="33">
    <w:p w14:paraId="3868937D" w14:textId="10966247" w:rsidR="00BF16A3" w:rsidRPr="0043595F" w:rsidRDefault="00BF16A3" w:rsidP="00032DB8">
      <w:pPr>
        <w:pStyle w:val="FootnoteText"/>
        <w:ind w:left="567" w:hanging="567"/>
        <w:rPr>
          <w:sz w:val="24"/>
          <w:szCs w:val="24"/>
          <w:lang w:val="sv-SE"/>
        </w:rPr>
      </w:pPr>
      <w:r w:rsidRPr="0043595F">
        <w:rPr>
          <w:rStyle w:val="FootnoteReference"/>
          <w:sz w:val="24"/>
          <w:szCs w:val="24"/>
          <w:lang w:val="sv-SE"/>
        </w:rPr>
        <w:footnoteRef/>
      </w:r>
      <w:r w:rsidR="00032DB8" w:rsidRPr="0043595F">
        <w:rPr>
          <w:sz w:val="24"/>
          <w:szCs w:val="24"/>
          <w:lang w:val="sv-SE"/>
        </w:rPr>
        <w:t xml:space="preserve"> </w:t>
      </w:r>
      <w:r w:rsidR="00032DB8" w:rsidRPr="0043595F">
        <w:rPr>
          <w:sz w:val="24"/>
          <w:szCs w:val="24"/>
          <w:lang w:val="sv-SE"/>
        </w:rPr>
        <w:tab/>
      </w:r>
      <w:r w:rsidR="00CC3C04" w:rsidRPr="0043595F">
        <w:rPr>
          <w:sz w:val="24"/>
          <w:szCs w:val="24"/>
          <w:lang w:val="sv-SE"/>
        </w:rPr>
        <w:t xml:space="preserve">Antagna texter, </w:t>
      </w:r>
      <w:r w:rsidRPr="0043595F">
        <w:rPr>
          <w:sz w:val="24"/>
          <w:szCs w:val="24"/>
          <w:lang w:val="sv-SE"/>
        </w:rPr>
        <w:t>P9_TA(2023)0111.</w:t>
      </w:r>
    </w:p>
  </w:footnote>
  <w:footnote w:id="34">
    <w:p w14:paraId="1EEEEC38" w14:textId="77777777" w:rsidR="00BF16A3" w:rsidRPr="0043595F" w:rsidRDefault="00BF16A3" w:rsidP="00032DB8">
      <w:pPr>
        <w:pStyle w:val="FootnoteText"/>
        <w:ind w:left="567" w:hanging="567"/>
        <w:rPr>
          <w:sz w:val="24"/>
          <w:szCs w:val="24"/>
          <w:lang w:val="sv-SE"/>
        </w:rPr>
      </w:pPr>
      <w:r w:rsidRPr="0043595F">
        <w:rPr>
          <w:rStyle w:val="FootnoteReference"/>
          <w:sz w:val="24"/>
          <w:szCs w:val="24"/>
          <w:lang w:val="sv-SE"/>
        </w:rPr>
        <w:footnoteRef/>
      </w:r>
      <w:r w:rsidR="00032DB8" w:rsidRPr="0043595F">
        <w:rPr>
          <w:sz w:val="24"/>
          <w:szCs w:val="24"/>
          <w:lang w:val="sv-SE"/>
        </w:rPr>
        <w:t xml:space="preserve"> </w:t>
      </w:r>
      <w:r w:rsidR="00032DB8" w:rsidRPr="0043595F">
        <w:rPr>
          <w:sz w:val="24"/>
          <w:szCs w:val="24"/>
          <w:lang w:val="sv-SE"/>
        </w:rPr>
        <w:tab/>
      </w:r>
      <w:r w:rsidRPr="0043595F">
        <w:rPr>
          <w:sz w:val="24"/>
          <w:szCs w:val="24"/>
          <w:lang w:val="sv-SE"/>
        </w:rPr>
        <w:t>Antagna texter, P9_TA(2023)0196.</w:t>
      </w:r>
    </w:p>
  </w:footnote>
  <w:footnote w:id="35">
    <w:p w14:paraId="4EE8D099" w14:textId="77777777" w:rsidR="00BF16A3" w:rsidRPr="0043595F" w:rsidRDefault="00BF16A3" w:rsidP="00032DB8">
      <w:pPr>
        <w:pStyle w:val="FootnoteText"/>
        <w:ind w:left="567" w:hanging="567"/>
        <w:rPr>
          <w:sz w:val="24"/>
          <w:szCs w:val="24"/>
          <w:lang w:val="sv-SE"/>
        </w:rPr>
      </w:pPr>
      <w:r w:rsidRPr="0043595F">
        <w:rPr>
          <w:rStyle w:val="FootnoteReference"/>
          <w:sz w:val="24"/>
          <w:szCs w:val="24"/>
          <w:lang w:val="sv-SE"/>
        </w:rPr>
        <w:footnoteRef/>
      </w:r>
      <w:r w:rsidR="00032DB8" w:rsidRPr="0043595F">
        <w:rPr>
          <w:sz w:val="24"/>
          <w:szCs w:val="24"/>
          <w:lang w:val="sv-SE"/>
        </w:rPr>
        <w:t xml:space="preserve"> </w:t>
      </w:r>
      <w:r w:rsidR="00032DB8" w:rsidRPr="0043595F">
        <w:rPr>
          <w:sz w:val="24"/>
          <w:szCs w:val="24"/>
          <w:lang w:val="sv-SE"/>
        </w:rPr>
        <w:tab/>
      </w:r>
      <w:r w:rsidRPr="0043595F">
        <w:rPr>
          <w:sz w:val="24"/>
          <w:szCs w:val="24"/>
          <w:lang w:val="sv-SE"/>
        </w:rPr>
        <w:t>Antagna texter, P9_TA(2023)0204.</w:t>
      </w:r>
    </w:p>
  </w:footnote>
  <w:footnote w:id="36">
    <w:p w14:paraId="54975685" w14:textId="77777777" w:rsidR="00BF16A3" w:rsidRPr="0043595F" w:rsidRDefault="00BF16A3" w:rsidP="00032DB8">
      <w:pPr>
        <w:pStyle w:val="FootnoteText"/>
        <w:ind w:left="567" w:hanging="567"/>
        <w:rPr>
          <w:sz w:val="24"/>
          <w:szCs w:val="24"/>
          <w:lang w:val="sv-SE"/>
        </w:rPr>
      </w:pPr>
      <w:r w:rsidRPr="0043595F">
        <w:rPr>
          <w:rStyle w:val="FootnoteReference"/>
          <w:sz w:val="24"/>
          <w:szCs w:val="24"/>
          <w:lang w:val="sv-SE"/>
        </w:rPr>
        <w:footnoteRef/>
      </w:r>
      <w:r w:rsidR="00032DB8" w:rsidRPr="0043595F">
        <w:rPr>
          <w:sz w:val="24"/>
          <w:szCs w:val="24"/>
          <w:lang w:val="sv-SE"/>
        </w:rPr>
        <w:t xml:space="preserve"> </w:t>
      </w:r>
      <w:r w:rsidR="00032DB8" w:rsidRPr="0043595F">
        <w:rPr>
          <w:sz w:val="24"/>
          <w:szCs w:val="24"/>
          <w:lang w:val="sv-SE"/>
        </w:rPr>
        <w:tab/>
      </w:r>
      <w:r w:rsidRPr="0043595F">
        <w:rPr>
          <w:sz w:val="24"/>
          <w:szCs w:val="24"/>
          <w:lang w:val="sv-SE"/>
        </w:rPr>
        <w:t>Antagna texter, P9_TA(2023)0216.</w:t>
      </w:r>
    </w:p>
  </w:footnote>
  <w:footnote w:id="37">
    <w:p w14:paraId="4CDF1D75" w14:textId="77777777" w:rsidR="00BF16A3" w:rsidRPr="0043595F" w:rsidRDefault="00BF16A3" w:rsidP="00032DB8">
      <w:pPr>
        <w:pStyle w:val="FootnoteText"/>
        <w:ind w:left="567" w:hanging="567"/>
        <w:rPr>
          <w:sz w:val="24"/>
          <w:szCs w:val="24"/>
          <w:lang w:val="sv-SE"/>
        </w:rPr>
      </w:pPr>
      <w:r w:rsidRPr="0043595F">
        <w:rPr>
          <w:rStyle w:val="FootnoteReference"/>
          <w:sz w:val="24"/>
          <w:szCs w:val="24"/>
          <w:lang w:val="sv-SE"/>
        </w:rPr>
        <w:footnoteRef/>
      </w:r>
      <w:r w:rsidR="00032DB8" w:rsidRPr="0043595F">
        <w:rPr>
          <w:sz w:val="24"/>
          <w:szCs w:val="24"/>
          <w:lang w:val="sv-SE"/>
        </w:rPr>
        <w:t xml:space="preserve"> </w:t>
      </w:r>
      <w:r w:rsidR="00032DB8" w:rsidRPr="0043595F">
        <w:rPr>
          <w:sz w:val="24"/>
          <w:szCs w:val="24"/>
          <w:lang w:val="sv-SE"/>
        </w:rPr>
        <w:tab/>
      </w:r>
      <w:r w:rsidRPr="0043595F">
        <w:rPr>
          <w:sz w:val="24"/>
          <w:szCs w:val="24"/>
          <w:lang w:val="sv-SE"/>
        </w:rPr>
        <w:t>Antagna texter, P9_TA(2023)0295.</w:t>
      </w:r>
    </w:p>
  </w:footnote>
  <w:footnote w:id="38">
    <w:p w14:paraId="2679F5FC" w14:textId="77777777" w:rsidR="00BF16A3" w:rsidRPr="0043595F" w:rsidRDefault="00BF16A3" w:rsidP="00032DB8">
      <w:pPr>
        <w:pStyle w:val="FootnoteText"/>
        <w:ind w:left="567" w:hanging="567"/>
        <w:rPr>
          <w:sz w:val="24"/>
          <w:szCs w:val="24"/>
          <w:lang w:val="sv-SE"/>
        </w:rPr>
      </w:pPr>
      <w:r w:rsidRPr="0043595F">
        <w:rPr>
          <w:rStyle w:val="FootnoteReference"/>
          <w:sz w:val="24"/>
          <w:szCs w:val="24"/>
          <w:lang w:val="sv-SE"/>
        </w:rPr>
        <w:footnoteRef/>
      </w:r>
      <w:r w:rsidR="00032DB8" w:rsidRPr="0043595F">
        <w:rPr>
          <w:sz w:val="24"/>
          <w:szCs w:val="24"/>
          <w:lang w:val="sv-SE"/>
        </w:rPr>
        <w:t xml:space="preserve"> </w:t>
      </w:r>
      <w:r w:rsidR="00032DB8" w:rsidRPr="0043595F">
        <w:rPr>
          <w:sz w:val="24"/>
          <w:szCs w:val="24"/>
          <w:lang w:val="sv-SE"/>
        </w:rPr>
        <w:tab/>
      </w:r>
      <w:r w:rsidRPr="0043595F">
        <w:rPr>
          <w:sz w:val="24"/>
          <w:szCs w:val="24"/>
          <w:lang w:val="sv-SE"/>
        </w:rPr>
        <w:t>Antagna texter, P9_TA(2023)0342.</w:t>
      </w:r>
    </w:p>
  </w:footnote>
  <w:footnote w:id="39">
    <w:p w14:paraId="2FDE8E47" w14:textId="77777777" w:rsidR="00BF16A3" w:rsidRPr="0043595F" w:rsidRDefault="00BF16A3" w:rsidP="00032DB8">
      <w:pPr>
        <w:pStyle w:val="FootnoteText"/>
        <w:ind w:left="567" w:hanging="567"/>
        <w:rPr>
          <w:sz w:val="24"/>
          <w:szCs w:val="24"/>
          <w:lang w:val="sv-SE"/>
        </w:rPr>
      </w:pPr>
      <w:r w:rsidRPr="0043595F">
        <w:rPr>
          <w:rStyle w:val="FootnoteReference"/>
          <w:sz w:val="24"/>
          <w:szCs w:val="24"/>
          <w:lang w:val="sv-SE"/>
        </w:rPr>
        <w:footnoteRef/>
      </w:r>
      <w:r w:rsidR="00032DB8" w:rsidRPr="0043595F">
        <w:rPr>
          <w:sz w:val="24"/>
          <w:szCs w:val="24"/>
          <w:lang w:val="sv-SE"/>
        </w:rPr>
        <w:t xml:space="preserve"> </w:t>
      </w:r>
      <w:r w:rsidR="00032DB8" w:rsidRPr="0043595F">
        <w:rPr>
          <w:sz w:val="24"/>
          <w:szCs w:val="24"/>
          <w:lang w:val="sv-SE"/>
        </w:rPr>
        <w:tab/>
      </w:r>
      <w:r w:rsidRPr="0043595F">
        <w:rPr>
          <w:sz w:val="24"/>
          <w:szCs w:val="24"/>
          <w:lang w:val="sv-SE"/>
        </w:rPr>
        <w:t>Europeiska kommissionen mot Ungern (Insyn i föreningar), mål C-78/18, ECLI:EU:C:2020:476.</w:t>
      </w:r>
    </w:p>
  </w:footnote>
  <w:footnote w:id="40">
    <w:p w14:paraId="08050972" w14:textId="77777777" w:rsidR="00BF16A3" w:rsidRPr="0043595F" w:rsidRDefault="00BF16A3" w:rsidP="00032DB8">
      <w:pPr>
        <w:pStyle w:val="FootnoteText"/>
        <w:ind w:left="567" w:hanging="567"/>
        <w:rPr>
          <w:sz w:val="24"/>
          <w:szCs w:val="24"/>
          <w:lang w:val="sv-SE"/>
        </w:rPr>
      </w:pPr>
      <w:r w:rsidRPr="0043595F">
        <w:rPr>
          <w:rStyle w:val="FootnoteReference"/>
          <w:sz w:val="24"/>
          <w:szCs w:val="24"/>
          <w:lang w:val="sv-SE"/>
        </w:rPr>
        <w:footnoteRef/>
      </w:r>
      <w:r w:rsidR="00032DB8" w:rsidRPr="0043595F">
        <w:rPr>
          <w:sz w:val="24"/>
          <w:szCs w:val="24"/>
          <w:lang w:val="sv-SE"/>
        </w:rPr>
        <w:t xml:space="preserve"> </w:t>
      </w:r>
      <w:r w:rsidR="00032DB8" w:rsidRPr="0043595F">
        <w:rPr>
          <w:sz w:val="24"/>
          <w:szCs w:val="24"/>
          <w:lang w:val="sv-SE"/>
        </w:rPr>
        <w:tab/>
      </w:r>
      <w:r w:rsidRPr="0043595F">
        <w:rPr>
          <w:sz w:val="24"/>
          <w:szCs w:val="24"/>
          <w:lang w:val="sv-SE"/>
        </w:rPr>
        <w:t xml:space="preserve">Att bistå personer som påträffas i sjönöd är en rättslig skyldighet för EU-länderna enligt internationell sedvanerätt och konventionsrätt (den internationella konventionen om säkerheten för människoliv till sjöss – Solas-konventionen från 1974, Förenta nationernas havsrättskonvention – </w:t>
      </w:r>
      <w:proofErr w:type="spellStart"/>
      <w:r w:rsidRPr="0043595F">
        <w:rPr>
          <w:sz w:val="24"/>
          <w:szCs w:val="24"/>
          <w:lang w:val="sv-SE"/>
        </w:rPr>
        <w:t>Unclos</w:t>
      </w:r>
      <w:proofErr w:type="spellEnd"/>
      <w:r w:rsidRPr="0043595F">
        <w:rPr>
          <w:sz w:val="24"/>
          <w:szCs w:val="24"/>
          <w:lang w:val="sv-SE"/>
        </w:rPr>
        <w:t xml:space="preserve"> från 1982, den internationella sjöräddningskonventionen – SAR-konventionen från 1979) samt EU-rätten.</w:t>
      </w:r>
    </w:p>
  </w:footnote>
  <w:footnote w:id="41">
    <w:p w14:paraId="4448111D" w14:textId="29A50B40" w:rsidR="00BF16A3" w:rsidRPr="0043595F" w:rsidRDefault="00BF16A3" w:rsidP="00032DB8">
      <w:pPr>
        <w:pStyle w:val="FootnoteText"/>
        <w:ind w:left="567" w:hanging="567"/>
        <w:rPr>
          <w:sz w:val="24"/>
          <w:szCs w:val="24"/>
          <w:lang w:val="sv-SE"/>
        </w:rPr>
      </w:pPr>
      <w:r w:rsidRPr="0043595F">
        <w:rPr>
          <w:rStyle w:val="FootnoteReference"/>
          <w:sz w:val="24"/>
          <w:szCs w:val="24"/>
          <w:lang w:val="sv-SE"/>
        </w:rPr>
        <w:footnoteRef/>
      </w:r>
      <w:r w:rsidR="00032DB8" w:rsidRPr="0043595F">
        <w:rPr>
          <w:sz w:val="24"/>
          <w:szCs w:val="24"/>
          <w:lang w:val="sv-SE"/>
        </w:rPr>
        <w:t xml:space="preserve"> </w:t>
      </w:r>
      <w:r w:rsidR="00032DB8" w:rsidRPr="0043595F">
        <w:rPr>
          <w:sz w:val="24"/>
          <w:szCs w:val="24"/>
          <w:lang w:val="sv-SE"/>
        </w:rPr>
        <w:tab/>
      </w:r>
      <w:r w:rsidRPr="0043595F">
        <w:rPr>
          <w:sz w:val="24"/>
          <w:szCs w:val="24"/>
          <w:lang w:val="sv-SE"/>
        </w:rPr>
        <w:t xml:space="preserve">Domstolens dom (andra avdelningen) av den 6 oktober 2022, I. L. mot </w:t>
      </w:r>
      <w:proofErr w:type="spellStart"/>
      <w:r w:rsidRPr="0043595F">
        <w:rPr>
          <w:sz w:val="24"/>
          <w:szCs w:val="24"/>
          <w:lang w:val="sv-SE"/>
        </w:rPr>
        <w:t>Politsei</w:t>
      </w:r>
      <w:proofErr w:type="spellEnd"/>
      <w:r w:rsidRPr="0043595F">
        <w:rPr>
          <w:sz w:val="24"/>
          <w:szCs w:val="24"/>
          <w:lang w:val="sv-SE"/>
        </w:rPr>
        <w:t xml:space="preserve">- ja </w:t>
      </w:r>
      <w:proofErr w:type="spellStart"/>
      <w:r w:rsidRPr="0043595F">
        <w:rPr>
          <w:sz w:val="24"/>
          <w:szCs w:val="24"/>
          <w:lang w:val="sv-SE"/>
        </w:rPr>
        <w:t>Piirivalveamet</w:t>
      </w:r>
      <w:proofErr w:type="spellEnd"/>
      <w:r w:rsidRPr="0043595F">
        <w:rPr>
          <w:sz w:val="24"/>
          <w:szCs w:val="24"/>
          <w:lang w:val="sv-SE"/>
        </w:rPr>
        <w:t xml:space="preserve">, </w:t>
      </w:r>
      <w:r w:rsidR="002D0C8C" w:rsidRPr="0043595F">
        <w:rPr>
          <w:sz w:val="24"/>
          <w:szCs w:val="24"/>
          <w:lang w:val="sv-SE"/>
        </w:rPr>
        <w:t xml:space="preserve">mål C-241/21, </w:t>
      </w:r>
      <w:r w:rsidRPr="0043595F">
        <w:rPr>
          <w:sz w:val="24"/>
          <w:szCs w:val="24"/>
          <w:lang w:val="sv-SE"/>
        </w:rPr>
        <w:t>ECLI:EU:C:2022:753.</w:t>
      </w:r>
    </w:p>
  </w:footnote>
  <w:footnote w:id="42">
    <w:p w14:paraId="1BC54FF1" w14:textId="77777777" w:rsidR="00BF16A3" w:rsidRPr="0043595F" w:rsidRDefault="00BF16A3" w:rsidP="00032DB8">
      <w:pPr>
        <w:pStyle w:val="FootnoteText"/>
        <w:ind w:left="567" w:hanging="567"/>
        <w:rPr>
          <w:sz w:val="24"/>
          <w:szCs w:val="24"/>
          <w:lang w:val="sv-SE"/>
        </w:rPr>
      </w:pPr>
      <w:r w:rsidRPr="0043595F">
        <w:rPr>
          <w:rStyle w:val="FootnoteReference"/>
          <w:sz w:val="24"/>
          <w:szCs w:val="24"/>
          <w:lang w:val="sv-SE"/>
        </w:rPr>
        <w:footnoteRef/>
      </w:r>
      <w:r w:rsidR="00032DB8" w:rsidRPr="0043595F">
        <w:rPr>
          <w:sz w:val="24"/>
          <w:szCs w:val="24"/>
          <w:lang w:val="sv-SE"/>
        </w:rPr>
        <w:t xml:space="preserve"> </w:t>
      </w:r>
      <w:r w:rsidR="00032DB8" w:rsidRPr="0043595F">
        <w:rPr>
          <w:sz w:val="24"/>
          <w:szCs w:val="24"/>
          <w:lang w:val="sv-SE"/>
        </w:rPr>
        <w:tab/>
      </w:r>
      <w:r w:rsidRPr="0043595F">
        <w:rPr>
          <w:sz w:val="24"/>
          <w:szCs w:val="24"/>
          <w:lang w:val="sv-SE"/>
        </w:rPr>
        <w:t xml:space="preserve">Europeiska unionens byrå för grundläggande rättigheter, </w:t>
      </w:r>
      <w:r w:rsidRPr="0043595F">
        <w:rPr>
          <w:i/>
          <w:iCs/>
          <w:sz w:val="24"/>
          <w:szCs w:val="24"/>
          <w:lang w:val="sv-SE"/>
        </w:rPr>
        <w:t xml:space="preserve">Fundamental </w:t>
      </w:r>
      <w:proofErr w:type="spellStart"/>
      <w:r w:rsidRPr="0043595F">
        <w:rPr>
          <w:i/>
          <w:iCs/>
          <w:sz w:val="24"/>
          <w:szCs w:val="24"/>
          <w:lang w:val="sv-SE"/>
        </w:rPr>
        <w:t>Rights</w:t>
      </w:r>
      <w:proofErr w:type="spellEnd"/>
      <w:r w:rsidRPr="0043595F">
        <w:rPr>
          <w:i/>
          <w:iCs/>
          <w:sz w:val="24"/>
          <w:szCs w:val="24"/>
          <w:lang w:val="sv-SE"/>
        </w:rPr>
        <w:t xml:space="preserve"> </w:t>
      </w:r>
      <w:proofErr w:type="spellStart"/>
      <w:r w:rsidRPr="0043595F">
        <w:rPr>
          <w:i/>
          <w:iCs/>
          <w:sz w:val="24"/>
          <w:szCs w:val="24"/>
          <w:lang w:val="sv-SE"/>
        </w:rPr>
        <w:t>Report</w:t>
      </w:r>
      <w:proofErr w:type="spellEnd"/>
      <w:r w:rsidRPr="0043595F">
        <w:rPr>
          <w:i/>
          <w:iCs/>
          <w:sz w:val="24"/>
          <w:szCs w:val="24"/>
          <w:lang w:val="sv-SE"/>
        </w:rPr>
        <w:t xml:space="preserve"> 2023</w:t>
      </w:r>
      <w:r w:rsidRPr="0043595F">
        <w:rPr>
          <w:sz w:val="24"/>
          <w:szCs w:val="24"/>
          <w:lang w:val="sv-SE"/>
        </w:rPr>
        <w:t xml:space="preserve"> (inte översatt till svenska), s. 148, 8 juni 2023.</w:t>
      </w:r>
    </w:p>
  </w:footnote>
  <w:footnote w:id="43">
    <w:p w14:paraId="7B98922F" w14:textId="77777777" w:rsidR="00BF16A3" w:rsidRPr="0043595F" w:rsidRDefault="00BF16A3" w:rsidP="00032DB8">
      <w:pPr>
        <w:pStyle w:val="FootnoteText"/>
        <w:ind w:left="567" w:hanging="567"/>
        <w:rPr>
          <w:sz w:val="24"/>
          <w:szCs w:val="24"/>
          <w:lang w:val="sv-SE"/>
        </w:rPr>
      </w:pPr>
      <w:r w:rsidRPr="0043595F">
        <w:rPr>
          <w:rStyle w:val="FootnoteReference"/>
          <w:sz w:val="24"/>
          <w:szCs w:val="24"/>
          <w:lang w:val="sv-SE"/>
        </w:rPr>
        <w:footnoteRef/>
      </w:r>
      <w:r w:rsidR="00032DB8" w:rsidRPr="0043595F">
        <w:rPr>
          <w:sz w:val="24"/>
          <w:szCs w:val="24"/>
          <w:lang w:val="sv-SE"/>
        </w:rPr>
        <w:t xml:space="preserve"> </w:t>
      </w:r>
      <w:r w:rsidR="00032DB8" w:rsidRPr="0043595F">
        <w:rPr>
          <w:sz w:val="24"/>
          <w:szCs w:val="24"/>
          <w:lang w:val="sv-SE"/>
        </w:rPr>
        <w:tab/>
      </w:r>
      <w:r w:rsidRPr="0043595F">
        <w:rPr>
          <w:sz w:val="24"/>
          <w:szCs w:val="24"/>
          <w:lang w:val="sv-SE"/>
        </w:rPr>
        <w:t xml:space="preserve">Europeiska unionens byrå för grundläggande rättigheter, </w:t>
      </w:r>
      <w:r w:rsidRPr="0043595F">
        <w:rPr>
          <w:i/>
          <w:iCs/>
          <w:sz w:val="24"/>
          <w:szCs w:val="24"/>
          <w:lang w:val="sv-SE"/>
        </w:rPr>
        <w:t xml:space="preserve">Fundamental </w:t>
      </w:r>
      <w:proofErr w:type="spellStart"/>
      <w:r w:rsidRPr="0043595F">
        <w:rPr>
          <w:i/>
          <w:iCs/>
          <w:sz w:val="24"/>
          <w:szCs w:val="24"/>
          <w:lang w:val="sv-SE"/>
        </w:rPr>
        <w:t>Rights</w:t>
      </w:r>
      <w:proofErr w:type="spellEnd"/>
      <w:r w:rsidRPr="0043595F">
        <w:rPr>
          <w:i/>
          <w:iCs/>
          <w:sz w:val="24"/>
          <w:szCs w:val="24"/>
          <w:lang w:val="sv-SE"/>
        </w:rPr>
        <w:t xml:space="preserve"> </w:t>
      </w:r>
      <w:proofErr w:type="spellStart"/>
      <w:r w:rsidRPr="0043595F">
        <w:rPr>
          <w:i/>
          <w:iCs/>
          <w:sz w:val="24"/>
          <w:szCs w:val="24"/>
          <w:lang w:val="sv-SE"/>
        </w:rPr>
        <w:t>Report</w:t>
      </w:r>
      <w:proofErr w:type="spellEnd"/>
      <w:r w:rsidRPr="0043595F">
        <w:rPr>
          <w:i/>
          <w:iCs/>
          <w:sz w:val="24"/>
          <w:szCs w:val="24"/>
          <w:lang w:val="sv-SE"/>
        </w:rPr>
        <w:t xml:space="preserve"> 2023</w:t>
      </w:r>
      <w:r w:rsidRPr="0043595F">
        <w:rPr>
          <w:sz w:val="24"/>
          <w:szCs w:val="24"/>
          <w:lang w:val="sv-SE"/>
        </w:rPr>
        <w:t xml:space="preserve"> (inte översatt till svenska), s. 148, 8 juni 2023.</w:t>
      </w:r>
    </w:p>
  </w:footnote>
  <w:footnote w:id="44">
    <w:p w14:paraId="272D19C6" w14:textId="77777777" w:rsidR="00BF16A3" w:rsidRPr="0043595F" w:rsidRDefault="00BF16A3" w:rsidP="00032DB8">
      <w:pPr>
        <w:pStyle w:val="FootnoteText"/>
        <w:ind w:left="567" w:hanging="567"/>
        <w:rPr>
          <w:sz w:val="24"/>
          <w:szCs w:val="24"/>
          <w:lang w:val="sv-SE"/>
        </w:rPr>
      </w:pPr>
      <w:r w:rsidRPr="0043595F">
        <w:rPr>
          <w:rStyle w:val="FootnoteReference"/>
          <w:sz w:val="24"/>
          <w:szCs w:val="24"/>
          <w:lang w:val="sv-SE"/>
        </w:rPr>
        <w:footnoteRef/>
      </w:r>
      <w:r w:rsidR="00032DB8" w:rsidRPr="0043595F">
        <w:rPr>
          <w:sz w:val="24"/>
          <w:szCs w:val="24"/>
          <w:lang w:val="sv-SE"/>
        </w:rPr>
        <w:t xml:space="preserve"> </w:t>
      </w:r>
      <w:r w:rsidR="00032DB8" w:rsidRPr="0043595F">
        <w:rPr>
          <w:sz w:val="24"/>
          <w:szCs w:val="24"/>
          <w:lang w:val="sv-SE"/>
        </w:rPr>
        <w:tab/>
      </w:r>
      <w:r w:rsidRPr="0043595F">
        <w:rPr>
          <w:sz w:val="24"/>
          <w:szCs w:val="24"/>
          <w:lang w:val="sv-SE"/>
        </w:rPr>
        <w:t xml:space="preserve">Begreppet ”romer” (engelskans </w:t>
      </w:r>
      <w:r w:rsidRPr="0043595F">
        <w:rPr>
          <w:i/>
          <w:iCs/>
          <w:sz w:val="24"/>
          <w:szCs w:val="24"/>
          <w:lang w:val="sv-SE"/>
        </w:rPr>
        <w:t xml:space="preserve">Romani </w:t>
      </w:r>
      <w:proofErr w:type="spellStart"/>
      <w:r w:rsidRPr="0043595F">
        <w:rPr>
          <w:i/>
          <w:iCs/>
          <w:sz w:val="24"/>
          <w:szCs w:val="24"/>
          <w:lang w:val="sv-SE"/>
        </w:rPr>
        <w:t>people</w:t>
      </w:r>
      <w:proofErr w:type="spellEnd"/>
      <w:r w:rsidRPr="0043595F">
        <w:rPr>
          <w:sz w:val="24"/>
          <w:szCs w:val="24"/>
          <w:lang w:val="sv-SE"/>
        </w:rPr>
        <w:t xml:space="preserve">) omfattar olika folkgrupper, bland annat romer, </w:t>
      </w:r>
      <w:proofErr w:type="spellStart"/>
      <w:r w:rsidRPr="0043595F">
        <w:rPr>
          <w:sz w:val="24"/>
          <w:szCs w:val="24"/>
          <w:lang w:val="sv-SE"/>
        </w:rPr>
        <w:t>kalé</w:t>
      </w:r>
      <w:proofErr w:type="spellEnd"/>
      <w:r w:rsidRPr="0043595F">
        <w:rPr>
          <w:sz w:val="24"/>
          <w:szCs w:val="24"/>
          <w:lang w:val="sv-SE"/>
        </w:rPr>
        <w:t xml:space="preserve">, </w:t>
      </w:r>
      <w:proofErr w:type="spellStart"/>
      <w:r w:rsidRPr="0043595F">
        <w:rPr>
          <w:sz w:val="24"/>
          <w:szCs w:val="24"/>
          <w:lang w:val="sv-SE"/>
        </w:rPr>
        <w:t>manouches</w:t>
      </w:r>
      <w:proofErr w:type="spellEnd"/>
      <w:r w:rsidRPr="0043595F">
        <w:rPr>
          <w:sz w:val="24"/>
          <w:szCs w:val="24"/>
          <w:lang w:val="sv-SE"/>
        </w:rPr>
        <w:t xml:space="preserve">, </w:t>
      </w:r>
      <w:proofErr w:type="spellStart"/>
      <w:r w:rsidRPr="0043595F">
        <w:rPr>
          <w:sz w:val="24"/>
          <w:szCs w:val="24"/>
          <w:lang w:val="sv-SE"/>
        </w:rPr>
        <w:t>ashkalier</w:t>
      </w:r>
      <w:proofErr w:type="spellEnd"/>
      <w:r w:rsidRPr="0043595F">
        <w:rPr>
          <w:sz w:val="24"/>
          <w:szCs w:val="24"/>
          <w:lang w:val="sv-SE"/>
        </w:rPr>
        <w:t xml:space="preserve">, resandefolk, </w:t>
      </w:r>
      <w:proofErr w:type="spellStart"/>
      <w:r w:rsidRPr="0043595F">
        <w:rPr>
          <w:sz w:val="24"/>
          <w:szCs w:val="24"/>
          <w:lang w:val="sv-SE"/>
        </w:rPr>
        <w:t>lovara</w:t>
      </w:r>
      <w:proofErr w:type="spellEnd"/>
      <w:r w:rsidRPr="0043595F">
        <w:rPr>
          <w:sz w:val="24"/>
          <w:szCs w:val="24"/>
          <w:lang w:val="sv-SE"/>
        </w:rPr>
        <w:t xml:space="preserve">, </w:t>
      </w:r>
      <w:proofErr w:type="spellStart"/>
      <w:r w:rsidRPr="0043595F">
        <w:rPr>
          <w:sz w:val="24"/>
          <w:szCs w:val="24"/>
          <w:lang w:val="sv-SE"/>
        </w:rPr>
        <w:t>rissende</w:t>
      </w:r>
      <w:proofErr w:type="spellEnd"/>
      <w:r w:rsidRPr="0043595F">
        <w:rPr>
          <w:sz w:val="24"/>
          <w:szCs w:val="24"/>
          <w:lang w:val="sv-SE"/>
        </w:rPr>
        <w:t xml:space="preserve">, </w:t>
      </w:r>
      <w:proofErr w:type="spellStart"/>
      <w:r w:rsidRPr="0043595F">
        <w:rPr>
          <w:sz w:val="24"/>
          <w:szCs w:val="24"/>
          <w:lang w:val="sv-SE"/>
        </w:rPr>
        <w:t>boyash</w:t>
      </w:r>
      <w:proofErr w:type="spellEnd"/>
      <w:r w:rsidRPr="0043595F">
        <w:rPr>
          <w:sz w:val="24"/>
          <w:szCs w:val="24"/>
          <w:lang w:val="sv-SE"/>
        </w:rPr>
        <w:t xml:space="preserve">, domare, </w:t>
      </w:r>
      <w:proofErr w:type="spellStart"/>
      <w:r w:rsidRPr="0043595F">
        <w:rPr>
          <w:sz w:val="24"/>
          <w:szCs w:val="24"/>
          <w:lang w:val="sv-SE"/>
        </w:rPr>
        <w:t>kalderash</w:t>
      </w:r>
      <w:proofErr w:type="spellEnd"/>
      <w:r w:rsidRPr="0043595F">
        <w:rPr>
          <w:sz w:val="24"/>
          <w:szCs w:val="24"/>
          <w:lang w:val="sv-SE"/>
        </w:rPr>
        <w:t xml:space="preserve">, </w:t>
      </w:r>
      <w:proofErr w:type="spellStart"/>
      <w:r w:rsidRPr="0043595F">
        <w:rPr>
          <w:sz w:val="24"/>
          <w:szCs w:val="24"/>
          <w:lang w:val="sv-SE"/>
        </w:rPr>
        <w:t>romanichal</w:t>
      </w:r>
      <w:proofErr w:type="spellEnd"/>
      <w:r w:rsidRPr="0043595F">
        <w:rPr>
          <w:sz w:val="24"/>
          <w:szCs w:val="24"/>
          <w:lang w:val="sv-SE"/>
        </w:rPr>
        <w:t xml:space="preserve"> och </w:t>
      </w:r>
      <w:proofErr w:type="spellStart"/>
      <w:r w:rsidRPr="0043595F">
        <w:rPr>
          <w:sz w:val="24"/>
          <w:szCs w:val="24"/>
          <w:lang w:val="sv-SE"/>
        </w:rPr>
        <w:t>sinti</w:t>
      </w:r>
      <w:proofErr w:type="spellEnd"/>
      <w:r w:rsidRPr="0043595F">
        <w:rPr>
          <w:sz w:val="24"/>
          <w:szCs w:val="24"/>
          <w:lang w:val="sv-SE"/>
        </w:rPr>
        <w:t xml:space="preserve">. Det finns ingen allmänt vedertagen terminologi, och vissa grupper föredrar engelskans </w:t>
      </w:r>
      <w:r w:rsidRPr="0043595F">
        <w:rPr>
          <w:i/>
          <w:iCs/>
          <w:sz w:val="24"/>
          <w:szCs w:val="24"/>
          <w:lang w:val="sv-SE"/>
        </w:rPr>
        <w:t xml:space="preserve">Roma </w:t>
      </w:r>
      <w:proofErr w:type="spellStart"/>
      <w:r w:rsidRPr="0043595F">
        <w:rPr>
          <w:i/>
          <w:iCs/>
          <w:sz w:val="24"/>
          <w:szCs w:val="24"/>
          <w:lang w:val="sv-SE"/>
        </w:rPr>
        <w:t>people</w:t>
      </w:r>
      <w:proofErr w:type="spellEnd"/>
      <w:r w:rsidRPr="0043595F">
        <w:rPr>
          <w:sz w:val="24"/>
          <w:szCs w:val="24"/>
          <w:lang w:val="sv-SE"/>
        </w:rPr>
        <w:t>.</w:t>
      </w:r>
    </w:p>
  </w:footnote>
  <w:footnote w:id="45">
    <w:p w14:paraId="08428EC9" w14:textId="77777777" w:rsidR="00BF16A3" w:rsidRPr="0043595F" w:rsidRDefault="00BF16A3" w:rsidP="00032DB8">
      <w:pPr>
        <w:pStyle w:val="FootnoteText"/>
        <w:ind w:left="567" w:hanging="567"/>
        <w:rPr>
          <w:sz w:val="24"/>
          <w:szCs w:val="24"/>
          <w:lang w:val="sv-SE"/>
        </w:rPr>
      </w:pPr>
      <w:r w:rsidRPr="0043595F">
        <w:rPr>
          <w:rStyle w:val="FootnoteReference"/>
          <w:sz w:val="24"/>
          <w:szCs w:val="24"/>
          <w:lang w:val="sv-SE"/>
        </w:rPr>
        <w:footnoteRef/>
      </w:r>
      <w:r w:rsidR="00032DB8" w:rsidRPr="0043595F">
        <w:rPr>
          <w:sz w:val="24"/>
          <w:szCs w:val="24"/>
          <w:lang w:val="sv-SE"/>
        </w:rPr>
        <w:t xml:space="preserve"> </w:t>
      </w:r>
      <w:r w:rsidR="00032DB8" w:rsidRPr="0043595F">
        <w:rPr>
          <w:sz w:val="24"/>
          <w:szCs w:val="24"/>
          <w:lang w:val="sv-SE"/>
        </w:rPr>
        <w:tab/>
      </w:r>
      <w:r w:rsidRPr="0043595F">
        <w:rPr>
          <w:sz w:val="24"/>
          <w:szCs w:val="24"/>
          <w:lang w:val="sv-SE"/>
        </w:rPr>
        <w:t xml:space="preserve">Europaparlamentets utredningstjänst, briefing i korthet </w:t>
      </w:r>
      <w:proofErr w:type="spellStart"/>
      <w:r w:rsidRPr="0043595F">
        <w:rPr>
          <w:i/>
          <w:iCs/>
          <w:sz w:val="24"/>
          <w:szCs w:val="24"/>
          <w:lang w:val="sv-SE"/>
        </w:rPr>
        <w:t>Combating</w:t>
      </w:r>
      <w:proofErr w:type="spellEnd"/>
      <w:r w:rsidRPr="0043595F">
        <w:rPr>
          <w:i/>
          <w:iCs/>
          <w:sz w:val="24"/>
          <w:szCs w:val="24"/>
          <w:lang w:val="sv-SE"/>
        </w:rPr>
        <w:t xml:space="preserve"> </w:t>
      </w:r>
      <w:proofErr w:type="spellStart"/>
      <w:r w:rsidRPr="0043595F">
        <w:rPr>
          <w:i/>
          <w:iCs/>
          <w:sz w:val="24"/>
          <w:szCs w:val="24"/>
          <w:lang w:val="sv-SE"/>
        </w:rPr>
        <w:t>hate</w:t>
      </w:r>
      <w:proofErr w:type="spellEnd"/>
      <w:r w:rsidRPr="0043595F">
        <w:rPr>
          <w:i/>
          <w:iCs/>
          <w:sz w:val="24"/>
          <w:szCs w:val="24"/>
          <w:lang w:val="sv-SE"/>
        </w:rPr>
        <w:t xml:space="preserve"> </w:t>
      </w:r>
      <w:proofErr w:type="spellStart"/>
      <w:r w:rsidRPr="0043595F">
        <w:rPr>
          <w:i/>
          <w:iCs/>
          <w:sz w:val="24"/>
          <w:szCs w:val="24"/>
          <w:lang w:val="sv-SE"/>
        </w:rPr>
        <w:t>speech</w:t>
      </w:r>
      <w:proofErr w:type="spellEnd"/>
      <w:r w:rsidRPr="0043595F">
        <w:rPr>
          <w:i/>
          <w:iCs/>
          <w:sz w:val="24"/>
          <w:szCs w:val="24"/>
          <w:lang w:val="sv-SE"/>
        </w:rPr>
        <w:t xml:space="preserve"> and </w:t>
      </w:r>
      <w:proofErr w:type="spellStart"/>
      <w:r w:rsidRPr="0043595F">
        <w:rPr>
          <w:i/>
          <w:iCs/>
          <w:sz w:val="24"/>
          <w:szCs w:val="24"/>
          <w:lang w:val="sv-SE"/>
        </w:rPr>
        <w:t>hate</w:t>
      </w:r>
      <w:proofErr w:type="spellEnd"/>
      <w:r w:rsidRPr="0043595F">
        <w:rPr>
          <w:i/>
          <w:iCs/>
          <w:sz w:val="24"/>
          <w:szCs w:val="24"/>
          <w:lang w:val="sv-SE"/>
        </w:rPr>
        <w:t xml:space="preserve"> </w:t>
      </w:r>
      <w:proofErr w:type="spellStart"/>
      <w:r w:rsidRPr="0043595F">
        <w:rPr>
          <w:i/>
          <w:iCs/>
          <w:sz w:val="24"/>
          <w:szCs w:val="24"/>
          <w:lang w:val="sv-SE"/>
        </w:rPr>
        <w:t>crime</w:t>
      </w:r>
      <w:proofErr w:type="spellEnd"/>
      <w:r w:rsidRPr="0043595F">
        <w:rPr>
          <w:i/>
          <w:iCs/>
          <w:sz w:val="24"/>
          <w:szCs w:val="24"/>
          <w:lang w:val="sv-SE"/>
        </w:rPr>
        <w:t xml:space="preserve"> in the EU</w:t>
      </w:r>
      <w:r w:rsidRPr="0043595F">
        <w:rPr>
          <w:sz w:val="24"/>
          <w:szCs w:val="24"/>
          <w:lang w:val="sv-SE"/>
        </w:rPr>
        <w:t>, juni 2022.</w:t>
      </w:r>
    </w:p>
  </w:footnote>
  <w:footnote w:id="46">
    <w:p w14:paraId="7C6C5DED" w14:textId="77777777" w:rsidR="00BF16A3" w:rsidRPr="0043595F" w:rsidRDefault="00BF16A3" w:rsidP="00032DB8">
      <w:pPr>
        <w:pStyle w:val="FootnoteText"/>
        <w:ind w:left="567" w:hanging="567"/>
        <w:rPr>
          <w:sz w:val="24"/>
          <w:szCs w:val="24"/>
          <w:lang w:val="en-GB"/>
        </w:rPr>
      </w:pPr>
      <w:r w:rsidRPr="0043595F">
        <w:rPr>
          <w:rStyle w:val="FootnoteReference"/>
          <w:sz w:val="24"/>
          <w:szCs w:val="24"/>
          <w:lang w:val="sv-SE"/>
        </w:rPr>
        <w:footnoteRef/>
      </w:r>
      <w:r w:rsidR="00032DB8" w:rsidRPr="0043595F">
        <w:rPr>
          <w:sz w:val="24"/>
          <w:szCs w:val="24"/>
          <w:lang w:val="en-GB"/>
        </w:rPr>
        <w:t xml:space="preserve"> </w:t>
      </w:r>
      <w:r w:rsidR="00032DB8" w:rsidRPr="0043595F">
        <w:rPr>
          <w:sz w:val="24"/>
          <w:szCs w:val="24"/>
          <w:lang w:val="en-GB"/>
        </w:rPr>
        <w:tab/>
      </w:r>
      <w:proofErr w:type="spellStart"/>
      <w:r w:rsidRPr="0043595F">
        <w:rPr>
          <w:sz w:val="24"/>
          <w:szCs w:val="24"/>
          <w:lang w:val="en-GB"/>
        </w:rPr>
        <w:t>Europeiska</w:t>
      </w:r>
      <w:proofErr w:type="spellEnd"/>
      <w:r w:rsidRPr="0043595F">
        <w:rPr>
          <w:sz w:val="24"/>
          <w:szCs w:val="24"/>
          <w:lang w:val="en-GB"/>
        </w:rPr>
        <w:t xml:space="preserve"> </w:t>
      </w:r>
      <w:proofErr w:type="spellStart"/>
      <w:r w:rsidRPr="0043595F">
        <w:rPr>
          <w:sz w:val="24"/>
          <w:szCs w:val="24"/>
          <w:lang w:val="en-GB"/>
        </w:rPr>
        <w:t>ombudsmannen</w:t>
      </w:r>
      <w:proofErr w:type="spellEnd"/>
      <w:r w:rsidRPr="0043595F">
        <w:rPr>
          <w:sz w:val="24"/>
          <w:szCs w:val="24"/>
          <w:lang w:val="en-GB"/>
        </w:rPr>
        <w:t xml:space="preserve">, </w:t>
      </w:r>
      <w:hyperlink r:id="rId5" w:history="1">
        <w:r w:rsidRPr="0043595F">
          <w:rPr>
            <w:rStyle w:val="Hyperlink"/>
            <w:i/>
            <w:iCs/>
            <w:color w:val="auto"/>
            <w:sz w:val="24"/>
            <w:szCs w:val="24"/>
            <w:u w:val="none"/>
            <w:lang w:val="en-GB"/>
          </w:rPr>
          <w:t>Recommendation on the European Commission’s refusal of public access to text messages exchanged between the Commission President and the CEO of a pharmaceutical company on the purchase of a COVID 19 vaccine</w:t>
        </w:r>
        <w:r w:rsidRPr="0043595F">
          <w:rPr>
            <w:rStyle w:val="Hyperlink"/>
            <w:color w:val="auto"/>
            <w:sz w:val="24"/>
            <w:szCs w:val="24"/>
            <w:u w:val="none"/>
            <w:lang w:val="en-GB"/>
          </w:rPr>
          <w:t xml:space="preserve"> (</w:t>
        </w:r>
        <w:proofErr w:type="spellStart"/>
        <w:r w:rsidRPr="0043595F">
          <w:rPr>
            <w:rStyle w:val="Hyperlink"/>
            <w:color w:val="auto"/>
            <w:sz w:val="24"/>
            <w:szCs w:val="24"/>
            <w:u w:val="none"/>
            <w:lang w:val="en-GB"/>
          </w:rPr>
          <w:t>ärende</w:t>
        </w:r>
        <w:proofErr w:type="spellEnd"/>
        <w:r w:rsidRPr="0043595F">
          <w:rPr>
            <w:rStyle w:val="Hyperlink"/>
            <w:color w:val="auto"/>
            <w:sz w:val="24"/>
            <w:szCs w:val="24"/>
            <w:u w:val="none"/>
            <w:lang w:val="en-GB"/>
          </w:rPr>
          <w:t xml:space="preserve"> 1316/2021/MIG)</w:t>
        </w:r>
      </w:hyperlink>
      <w:r w:rsidRPr="0043595F">
        <w:rPr>
          <w:sz w:val="24"/>
          <w:szCs w:val="24"/>
          <w:lang w:val="en-GB"/>
        </w:rPr>
        <w:t>.</w:t>
      </w:r>
    </w:p>
  </w:footnote>
  <w:footnote w:id="47">
    <w:p w14:paraId="645C540B" w14:textId="77777777" w:rsidR="00BF16A3" w:rsidRPr="0043595F" w:rsidRDefault="00BF16A3" w:rsidP="00032DB8">
      <w:pPr>
        <w:pStyle w:val="FootnoteText"/>
        <w:ind w:left="567" w:hanging="567"/>
        <w:rPr>
          <w:sz w:val="24"/>
          <w:szCs w:val="24"/>
          <w:lang w:val="sv-SE"/>
        </w:rPr>
      </w:pPr>
      <w:r w:rsidRPr="0043595F">
        <w:rPr>
          <w:rStyle w:val="FootnoteReference"/>
          <w:sz w:val="24"/>
          <w:szCs w:val="24"/>
          <w:lang w:val="sv-SE"/>
        </w:rPr>
        <w:footnoteRef/>
      </w:r>
      <w:r w:rsidR="00032DB8" w:rsidRPr="0043595F">
        <w:rPr>
          <w:sz w:val="24"/>
          <w:szCs w:val="24"/>
          <w:lang w:val="sv-SE"/>
        </w:rPr>
        <w:t xml:space="preserve"> </w:t>
      </w:r>
      <w:r w:rsidR="00032DB8" w:rsidRPr="0043595F">
        <w:rPr>
          <w:sz w:val="24"/>
          <w:szCs w:val="24"/>
          <w:lang w:val="sv-SE"/>
        </w:rPr>
        <w:tab/>
      </w:r>
      <w:r w:rsidRPr="0043595F">
        <w:rPr>
          <w:sz w:val="24"/>
          <w:szCs w:val="24"/>
          <w:lang w:val="sv-SE"/>
        </w:rPr>
        <w:t>Europaparlamentets och rådets direktiv (EU) 2019/1937 av den 23 oktober 2019 om skydd för personer som rapporterar om överträdelser av unionsrätten, EUT L 305, 26.11.2019, s. 17.</w:t>
      </w:r>
    </w:p>
  </w:footnote>
  <w:footnote w:id="48">
    <w:p w14:paraId="45110915" w14:textId="2C963C7A" w:rsidR="00BF16A3" w:rsidRPr="0043595F" w:rsidRDefault="00BF16A3" w:rsidP="00032DB8">
      <w:pPr>
        <w:pStyle w:val="FootnoteText"/>
        <w:ind w:left="567" w:hanging="567"/>
        <w:rPr>
          <w:sz w:val="24"/>
          <w:szCs w:val="24"/>
          <w:lang w:val="sv-SE"/>
        </w:rPr>
      </w:pPr>
      <w:r w:rsidRPr="0043595F">
        <w:rPr>
          <w:rStyle w:val="FootnoteReference"/>
          <w:sz w:val="24"/>
          <w:szCs w:val="24"/>
          <w:lang w:val="sv-SE"/>
        </w:rPr>
        <w:footnoteRef/>
      </w:r>
      <w:r w:rsidR="00032DB8" w:rsidRPr="0043595F">
        <w:rPr>
          <w:sz w:val="24"/>
          <w:szCs w:val="24"/>
          <w:lang w:val="sv-SE"/>
        </w:rPr>
        <w:t xml:space="preserve"> </w:t>
      </w:r>
      <w:r w:rsidR="00032DB8" w:rsidRPr="0043595F">
        <w:rPr>
          <w:sz w:val="24"/>
          <w:szCs w:val="24"/>
          <w:lang w:val="sv-SE"/>
        </w:rPr>
        <w:tab/>
      </w:r>
      <w:r w:rsidRPr="0043595F">
        <w:rPr>
          <w:sz w:val="24"/>
          <w:szCs w:val="24"/>
          <w:lang w:val="sv-SE"/>
        </w:rPr>
        <w:t>Rådets direktiv 2001/55/EG av den 20 juli 2001 om miniminormer för att ge tillfälligt skydd vid massiv tillströmning av fördrivna personer och om åtgärder för att främja en balans mellan medlemsstaternas insatser för att ta emot dessa personer och bära följderna av detta, EGT L 212, 7.8.2001, s. 12.</w:t>
      </w:r>
    </w:p>
  </w:footnote>
  <w:footnote w:id="49">
    <w:p w14:paraId="3996315D" w14:textId="77777777" w:rsidR="00BF16A3" w:rsidRPr="0043595F" w:rsidRDefault="00BF16A3" w:rsidP="00032DB8">
      <w:pPr>
        <w:pStyle w:val="FootnoteText"/>
        <w:ind w:left="567" w:hanging="567"/>
        <w:rPr>
          <w:sz w:val="24"/>
          <w:szCs w:val="24"/>
          <w:lang w:val="sv-SE"/>
        </w:rPr>
      </w:pPr>
      <w:r w:rsidRPr="0043595F">
        <w:rPr>
          <w:rStyle w:val="FootnoteReference"/>
          <w:sz w:val="24"/>
          <w:szCs w:val="24"/>
          <w:lang w:val="sv-SE"/>
        </w:rPr>
        <w:footnoteRef/>
      </w:r>
      <w:r w:rsidR="00032DB8" w:rsidRPr="0043595F">
        <w:rPr>
          <w:sz w:val="24"/>
          <w:szCs w:val="24"/>
          <w:lang w:val="sv-SE"/>
        </w:rPr>
        <w:t xml:space="preserve"> </w:t>
      </w:r>
      <w:r w:rsidR="00032DB8" w:rsidRPr="0043595F">
        <w:rPr>
          <w:sz w:val="24"/>
          <w:szCs w:val="24"/>
          <w:lang w:val="sv-SE"/>
        </w:rPr>
        <w:tab/>
      </w:r>
      <w:r w:rsidRPr="0043595F">
        <w:rPr>
          <w:sz w:val="24"/>
          <w:szCs w:val="24"/>
          <w:lang w:val="sv-SE"/>
        </w:rPr>
        <w:t xml:space="preserve">Europarådet, </w:t>
      </w:r>
      <w:hyperlink r:id="rId6" w:history="1">
        <w:r w:rsidRPr="0043595F">
          <w:rPr>
            <w:rStyle w:val="Hyperlink"/>
            <w:color w:val="auto"/>
            <w:sz w:val="24"/>
            <w:szCs w:val="24"/>
            <w:u w:val="none"/>
            <w:lang w:val="sv-SE"/>
          </w:rPr>
          <w:t>rekommendation CM/</w:t>
        </w:r>
        <w:proofErr w:type="spellStart"/>
        <w:r w:rsidRPr="0043595F">
          <w:rPr>
            <w:rStyle w:val="Hyperlink"/>
            <w:color w:val="auto"/>
            <w:sz w:val="24"/>
            <w:szCs w:val="24"/>
            <w:u w:val="none"/>
            <w:lang w:val="sv-SE"/>
          </w:rPr>
          <w:t>Rec</w:t>
        </w:r>
        <w:proofErr w:type="spellEnd"/>
        <w:r w:rsidRPr="0043595F">
          <w:rPr>
            <w:rStyle w:val="Hyperlink"/>
            <w:color w:val="auto"/>
            <w:sz w:val="24"/>
            <w:szCs w:val="24"/>
            <w:u w:val="none"/>
            <w:lang w:val="sv-SE"/>
          </w:rPr>
          <w:t>(2022)17 från ministerkommittén till medlemsstaterna om skydd av rättigheterna för kvinnor och flickor som migrerar, flyr och söker asyl</w:t>
        </w:r>
      </w:hyperlink>
      <w:r w:rsidRPr="0043595F">
        <w:rPr>
          <w:sz w:val="24"/>
          <w:szCs w:val="24"/>
          <w:lang w:val="sv-SE"/>
        </w:rPr>
        <w:t>, 20 maj 2022.</w:t>
      </w:r>
    </w:p>
  </w:footnote>
  <w:footnote w:id="50">
    <w:p w14:paraId="51F0823E" w14:textId="77777777" w:rsidR="00BF16A3" w:rsidRPr="0043595F" w:rsidRDefault="00BF16A3" w:rsidP="00032DB8">
      <w:pPr>
        <w:pStyle w:val="FootnoteText"/>
        <w:ind w:left="567" w:hanging="567"/>
        <w:rPr>
          <w:sz w:val="24"/>
          <w:szCs w:val="24"/>
          <w:lang w:val="sv-SE"/>
        </w:rPr>
      </w:pPr>
      <w:r w:rsidRPr="0043595F">
        <w:rPr>
          <w:rStyle w:val="FootnoteReference"/>
          <w:sz w:val="24"/>
          <w:szCs w:val="24"/>
          <w:lang w:val="sv-SE"/>
        </w:rPr>
        <w:footnoteRef/>
      </w:r>
      <w:r w:rsidR="00032DB8" w:rsidRPr="0043595F">
        <w:rPr>
          <w:sz w:val="24"/>
          <w:szCs w:val="24"/>
          <w:lang w:val="sv-SE"/>
        </w:rPr>
        <w:t xml:space="preserve"> </w:t>
      </w:r>
      <w:r w:rsidR="00032DB8" w:rsidRPr="0043595F">
        <w:rPr>
          <w:sz w:val="24"/>
          <w:szCs w:val="24"/>
          <w:lang w:val="sv-SE"/>
        </w:rPr>
        <w:tab/>
      </w:r>
      <w:r w:rsidRPr="0043595F">
        <w:rPr>
          <w:sz w:val="24"/>
          <w:szCs w:val="24"/>
          <w:lang w:val="sv-SE"/>
        </w:rPr>
        <w:t>Rådets rekommendation av den 30 januari 2023 om tillräcklig minimiinkomst som säkerställer aktiv inkludering, EUT C 41, 3.2.2023,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DE44E" w14:textId="77777777" w:rsidR="00064002" w:rsidRPr="00032DB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71BE30" w14:textId="77777777" w:rsidR="00064002" w:rsidRPr="00032DB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17F6A" w14:textId="77777777" w:rsidR="00064002" w:rsidRPr="00032DB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6/2023"/>
    <w:docVar w:name="dvlangue" w:val="SV"/>
    <w:docVar w:name="dvnumam" w:val="0"/>
    <w:docVar w:name="dvpe" w:val="749.923"/>
    <w:docVar w:name="dvrapporteur" w:val="Föredragande: "/>
    <w:docVar w:name="dvtitre" w:val="Europaparlamentets resolution av den xx xx 2024 om situationen för de grundläggande rättigheterna i Europeiska unionen 2022 och 2023(2023/2028(INI))"/>
  </w:docVars>
  <w:rsids>
    <w:rsidRoot w:val="001E2618"/>
    <w:rsid w:val="00002272"/>
    <w:rsid w:val="00032DB8"/>
    <w:rsid w:val="00064002"/>
    <w:rsid w:val="000677B9"/>
    <w:rsid w:val="000805C6"/>
    <w:rsid w:val="000831BA"/>
    <w:rsid w:val="000A42CC"/>
    <w:rsid w:val="000D6B3A"/>
    <w:rsid w:val="000E7DD9"/>
    <w:rsid w:val="0010095E"/>
    <w:rsid w:val="00125B37"/>
    <w:rsid w:val="00187494"/>
    <w:rsid w:val="001E2618"/>
    <w:rsid w:val="001F32AE"/>
    <w:rsid w:val="002767FF"/>
    <w:rsid w:val="002B18FE"/>
    <w:rsid w:val="002B5493"/>
    <w:rsid w:val="002D0C8C"/>
    <w:rsid w:val="00343214"/>
    <w:rsid w:val="00361C00"/>
    <w:rsid w:val="00395FA1"/>
    <w:rsid w:val="003E15D4"/>
    <w:rsid w:val="00411CCE"/>
    <w:rsid w:val="0041666E"/>
    <w:rsid w:val="00421060"/>
    <w:rsid w:val="0043595F"/>
    <w:rsid w:val="00471C19"/>
    <w:rsid w:val="00482739"/>
    <w:rsid w:val="004867E3"/>
    <w:rsid w:val="00494A28"/>
    <w:rsid w:val="004C0004"/>
    <w:rsid w:val="004C5D52"/>
    <w:rsid w:val="0050519A"/>
    <w:rsid w:val="005072A1"/>
    <w:rsid w:val="00514517"/>
    <w:rsid w:val="00545827"/>
    <w:rsid w:val="00560270"/>
    <w:rsid w:val="005A1CBF"/>
    <w:rsid w:val="005C2568"/>
    <w:rsid w:val="006037C0"/>
    <w:rsid w:val="006631B6"/>
    <w:rsid w:val="00680577"/>
    <w:rsid w:val="006948A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16A3"/>
    <w:rsid w:val="00C05BFE"/>
    <w:rsid w:val="00C23CD4"/>
    <w:rsid w:val="00C3688F"/>
    <w:rsid w:val="00C61C0C"/>
    <w:rsid w:val="00C941CB"/>
    <w:rsid w:val="00CC2357"/>
    <w:rsid w:val="00CC3C04"/>
    <w:rsid w:val="00CF071A"/>
    <w:rsid w:val="00D058B8"/>
    <w:rsid w:val="00D56C11"/>
    <w:rsid w:val="00D725BE"/>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D21961"/>
  <w15:chartTrackingRefBased/>
  <w15:docId w15:val="{EFF71A09-F73A-4FCE-97C8-2C5FC0448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F16A3"/>
    <w:pPr>
      <w:spacing w:after="240"/>
      <w:ind w:left="567" w:hanging="567"/>
    </w:pPr>
  </w:style>
  <w:style w:type="paragraph" w:customStyle="1" w:styleId="EPComma">
    <w:name w:val="EPComma"/>
    <w:basedOn w:val="Normal"/>
    <w:rsid w:val="00BF16A3"/>
    <w:pPr>
      <w:spacing w:before="480" w:after="240"/>
    </w:pPr>
  </w:style>
  <w:style w:type="character" w:styleId="Hyperlink">
    <w:name w:val="Hyperlink"/>
    <w:basedOn w:val="DefaultParagraphFont"/>
    <w:uiPriority w:val="99"/>
    <w:unhideWhenUsed/>
    <w:rsid w:val="00BF16A3"/>
    <w:rPr>
      <w:color w:val="0563C1" w:themeColor="hyperlink"/>
      <w:u w:val="single"/>
    </w:rPr>
  </w:style>
  <w:style w:type="paragraph" w:customStyle="1" w:styleId="Normal12a24b">
    <w:name w:val="Normal12a24b"/>
    <w:basedOn w:val="Normal"/>
    <w:rsid w:val="00BF16A3"/>
    <w:pPr>
      <w:snapToGrid w:val="0"/>
      <w:spacing w:before="360" w:after="240"/>
    </w:pPr>
    <w:rPr>
      <w:lang w:eastAsia="en-US"/>
    </w:rPr>
  </w:style>
  <w:style w:type="character" w:customStyle="1" w:styleId="Bold">
    <w:name w:val="Bold"/>
    <w:uiPriority w:val="1"/>
    <w:rsid w:val="00BF16A3"/>
    <w:rPr>
      <w:b/>
      <w:bCs w:val="0"/>
    </w:rPr>
  </w:style>
  <w:style w:type="character" w:customStyle="1" w:styleId="Italic">
    <w:name w:val="Italic"/>
    <w:uiPriority w:val="1"/>
    <w:rsid w:val="00BF16A3"/>
    <w:rPr>
      <w:i/>
      <w:iCs w:val="0"/>
    </w:rPr>
  </w:style>
  <w:style w:type="character" w:customStyle="1" w:styleId="NormalHanging12aChar">
    <w:name w:val="NormalHanging12a Char"/>
    <w:basedOn w:val="DefaultParagraphFont"/>
    <w:link w:val="NormalHanging12a"/>
    <w:locked/>
    <w:rsid w:val="00BF16A3"/>
    <w:rPr>
      <w:sz w:val="24"/>
      <w:lang w:val="sv-SE"/>
    </w:rPr>
  </w:style>
  <w:style w:type="character" w:styleId="CommentReference">
    <w:name w:val="annotation reference"/>
    <w:basedOn w:val="DefaultParagraphFont"/>
    <w:rsid w:val="006948A5"/>
    <w:rPr>
      <w:sz w:val="16"/>
      <w:szCs w:val="16"/>
    </w:rPr>
  </w:style>
  <w:style w:type="paragraph" w:styleId="CommentText">
    <w:name w:val="annotation text"/>
    <w:basedOn w:val="Normal"/>
    <w:link w:val="CommentTextChar"/>
    <w:rsid w:val="006948A5"/>
    <w:rPr>
      <w:sz w:val="20"/>
    </w:rPr>
  </w:style>
  <w:style w:type="character" w:customStyle="1" w:styleId="CommentTextChar">
    <w:name w:val="Comment Text Char"/>
    <w:basedOn w:val="DefaultParagraphFont"/>
    <w:link w:val="CommentText"/>
    <w:rsid w:val="006948A5"/>
    <w:rPr>
      <w:lang w:val="sv-SE"/>
    </w:rPr>
  </w:style>
  <w:style w:type="paragraph" w:styleId="CommentSubject">
    <w:name w:val="annotation subject"/>
    <w:basedOn w:val="CommentText"/>
    <w:next w:val="CommentText"/>
    <w:link w:val="CommentSubjectChar"/>
    <w:rsid w:val="006948A5"/>
    <w:rPr>
      <w:b/>
      <w:bCs/>
    </w:rPr>
  </w:style>
  <w:style w:type="character" w:customStyle="1" w:styleId="CommentSubjectChar">
    <w:name w:val="Comment Subject Char"/>
    <w:basedOn w:val="CommentTextChar"/>
    <w:link w:val="CommentSubject"/>
    <w:rsid w:val="006948A5"/>
    <w:rPr>
      <w:b/>
      <w:bCs/>
      <w:lang w:val="sv-SE"/>
    </w:rPr>
  </w:style>
  <w:style w:type="paragraph" w:styleId="BalloonText">
    <w:name w:val="Balloon Text"/>
    <w:basedOn w:val="Normal"/>
    <w:link w:val="BalloonTextChar"/>
    <w:rsid w:val="006948A5"/>
    <w:rPr>
      <w:rFonts w:ascii="Segoe UI" w:hAnsi="Segoe UI" w:cs="Segoe UI"/>
      <w:sz w:val="18"/>
      <w:szCs w:val="18"/>
    </w:rPr>
  </w:style>
  <w:style w:type="character" w:customStyle="1" w:styleId="BalloonTextChar">
    <w:name w:val="Balloon Text Char"/>
    <w:basedOn w:val="DefaultParagraphFont"/>
    <w:link w:val="BalloonText"/>
    <w:rsid w:val="006948A5"/>
    <w:rPr>
      <w:rFonts w:ascii="Segoe UI" w:hAnsi="Segoe UI" w:cs="Segoe UI"/>
      <w:sz w:val="18"/>
      <w:szCs w:val="18"/>
      <w:lang w:val="sv-SE"/>
    </w:rPr>
  </w:style>
  <w:style w:type="character" w:styleId="FollowedHyperlink">
    <w:name w:val="FollowedHyperlink"/>
    <w:basedOn w:val="DefaultParagraphFont"/>
    <w:rsid w:val="00CC3C0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rm.coe.int/report-on-the-round-table-human-rights-defenders-in-the-council-of-eur/1680aaa813." TargetMode="External"/><Relationship Id="rId2" Type="http://schemas.openxmlformats.org/officeDocument/2006/relationships/hyperlink" Target="file:///\\ipolbrusncf01\userdocs$\Jnwokekilly\Documents\DocEP\TEMP\" TargetMode="External"/><Relationship Id="rId1" Type="http://schemas.openxmlformats.org/officeDocument/2006/relationships/hyperlink" Target="file:///\\ipolbrusncf01\userdocs$\Jnwokekilly\Documents\DocEP\TEMP\" TargetMode="External"/><Relationship Id="rId6" Type="http://schemas.openxmlformats.org/officeDocument/2006/relationships/hyperlink" Target="https://search.coe.int/cm/Pages/result_details.aspx?ObjectId=0900001680a69407" TargetMode="External"/><Relationship Id="rId5" Type="http://schemas.openxmlformats.org/officeDocument/2006/relationships/hyperlink" Target="https://www.ombudsman.europa.eu/en/recommendation/sv/151678" TargetMode="External"/><Relationship Id="rId4" Type="http://schemas.openxmlformats.org/officeDocument/2006/relationships/hyperlink" Target="file:///\\ipolbrusncf01\userdocs$\Jnwokekilly\Documents\DocEP\TE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4DC3DB-D13C-49C1-9FDD-0381D841A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23</Pages>
  <Words>8666</Words>
  <Characters>56725</Characters>
  <Application>Microsoft Office Word</Application>
  <DocSecurity>0</DocSecurity>
  <Lines>472</Lines>
  <Paragraphs>130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NORRTHON Kelly</cp:lastModifiedBy>
  <cp:revision>2</cp:revision>
  <cp:lastPrinted>2004-11-19T15:42:00Z</cp:lastPrinted>
  <dcterms:created xsi:type="dcterms:W3CDTF">2024-01-18T14:41:00Z</dcterms:created>
  <dcterms:modified xsi:type="dcterms:W3CDTF">2024-01-18T14:41:00Z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P9_TA-PROV(2024)0050_A9-0376_2023_SV_net_ÄNDRINGAR INLAG</vt:lpwstr>
  </property>
  <property fmtid="{D5CDD505-2E9C-101B-9397-08002B2CF9AE}" pid="4" name="&lt;Type&gt;">
    <vt:lpwstr>RR</vt:lpwstr>
  </property>
</Properties>
</file>