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1E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1E9E" w:rsidRDefault="007D1AAB" w:rsidP="0010095E">
            <w:pPr>
              <w:pStyle w:val="EPName"/>
            </w:pPr>
            <w:r w:rsidRPr="00CA1E9E">
              <w:t>Europski parlament</w:t>
            </w:r>
          </w:p>
          <w:p w:rsidR="00751A4A" w:rsidRPr="00CA1E9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1E9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A1E9E" w:rsidRDefault="00187494" w:rsidP="0010095E">
            <w:pPr>
              <w:pStyle w:val="EPLogo"/>
            </w:pPr>
            <w:r w:rsidRPr="00CA1E9E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1E9E" w:rsidRDefault="00D058B8" w:rsidP="004C5D52">
      <w:pPr>
        <w:pStyle w:val="LineTop"/>
      </w:pPr>
    </w:p>
    <w:p w:rsidR="00680577" w:rsidRPr="00CA1E9E" w:rsidRDefault="007D1AAB" w:rsidP="00680577">
      <w:pPr>
        <w:pStyle w:val="EPBodyTA1"/>
      </w:pPr>
      <w:r w:rsidRPr="00CA1E9E">
        <w:t>USVOJENI TEKSTOVI</w:t>
      </w:r>
    </w:p>
    <w:p w:rsidR="00D058B8" w:rsidRPr="00CA1E9E" w:rsidRDefault="00D058B8" w:rsidP="00D058B8">
      <w:pPr>
        <w:pStyle w:val="LineBottom"/>
      </w:pPr>
    </w:p>
    <w:p w:rsidR="007D1AAB" w:rsidRPr="00CA1E9E" w:rsidRDefault="007D1AAB" w:rsidP="007D1AAB">
      <w:pPr>
        <w:pStyle w:val="ATHeading1"/>
      </w:pPr>
      <w:bookmarkStart w:id="0" w:name="TANumber"/>
      <w:r w:rsidRPr="00CA1E9E">
        <w:t>P9_TA(2024)00</w:t>
      </w:r>
      <w:bookmarkEnd w:id="0"/>
      <w:r w:rsidR="00A35FBE">
        <w:t>52</w:t>
      </w:r>
    </w:p>
    <w:p w:rsidR="007D1AAB" w:rsidRPr="00CA1E9E" w:rsidRDefault="007D1AAB" w:rsidP="007D1AAB">
      <w:pPr>
        <w:pStyle w:val="ATHeading2"/>
      </w:pPr>
      <w:bookmarkStart w:id="1" w:name="title"/>
      <w:r w:rsidRPr="00CA1E9E">
        <w:t>Revizija mandata Europskog nadzornog tijela za rad</w:t>
      </w:r>
      <w:bookmarkEnd w:id="1"/>
    </w:p>
    <w:p w:rsidR="007D1AAB" w:rsidRPr="00CA1E9E" w:rsidRDefault="007D1AAB" w:rsidP="007D1AAB">
      <w:pPr>
        <w:rPr>
          <w:i/>
          <w:vanish/>
        </w:rPr>
      </w:pPr>
      <w:r w:rsidRPr="00CA1E9E">
        <w:rPr>
          <w:i/>
        </w:rPr>
        <w:fldChar w:fldCharType="begin"/>
      </w:r>
      <w:r w:rsidRPr="00CA1E9E">
        <w:rPr>
          <w:i/>
        </w:rPr>
        <w:instrText xml:space="preserve"> TC"(</w:instrText>
      </w:r>
      <w:bookmarkStart w:id="2" w:name="DocNumber"/>
      <w:r w:rsidRPr="00CA1E9E">
        <w:rPr>
          <w:i/>
        </w:rPr>
        <w:instrText>B9-0059/2024</w:instrText>
      </w:r>
      <w:bookmarkEnd w:id="2"/>
      <w:r w:rsidRPr="00CA1E9E">
        <w:rPr>
          <w:i/>
        </w:rPr>
        <w:instrText xml:space="preserve">)"\l3 \n&gt; \* MERGEFORMAT </w:instrText>
      </w:r>
      <w:r w:rsidRPr="00CA1E9E">
        <w:rPr>
          <w:i/>
        </w:rPr>
        <w:fldChar w:fldCharType="end"/>
      </w:r>
    </w:p>
    <w:p w:rsidR="007D1AAB" w:rsidRPr="00CA1E9E" w:rsidRDefault="007D1AAB" w:rsidP="007D1AAB">
      <w:pPr>
        <w:rPr>
          <w:vanish/>
        </w:rPr>
      </w:pPr>
      <w:bookmarkStart w:id="3" w:name="PE"/>
      <w:r w:rsidRPr="00CA1E9E">
        <w:rPr>
          <w:vanish/>
        </w:rPr>
        <w:t>PE753.637</w:t>
      </w:r>
      <w:bookmarkEnd w:id="3"/>
    </w:p>
    <w:p w:rsidR="007D1AAB" w:rsidRPr="00CA1E9E" w:rsidRDefault="007D1AAB" w:rsidP="007D1AAB">
      <w:pPr>
        <w:pStyle w:val="ATHeading3"/>
      </w:pPr>
      <w:bookmarkStart w:id="4" w:name="Sujet"/>
      <w:r w:rsidRPr="00CA1E9E">
        <w:t>Rezoluc</w:t>
      </w:r>
      <w:r w:rsidR="00DB7C41">
        <w:t>ija Europskog parlamenta od 18. siječnja</w:t>
      </w:r>
      <w:r w:rsidRPr="00CA1E9E">
        <w:t xml:space="preserve"> 2024. o reviziji mandata Europskog nadzornog tijela za rad</w:t>
      </w:r>
      <w:bookmarkEnd w:id="4"/>
      <w:r w:rsidRPr="00CA1E9E">
        <w:t xml:space="preserve"> </w:t>
      </w:r>
      <w:bookmarkStart w:id="5" w:name="References"/>
      <w:r w:rsidRPr="00CA1E9E">
        <w:t>(2023/2866(RSP))</w:t>
      </w:r>
      <w:bookmarkEnd w:id="5"/>
    </w:p>
    <w:p w:rsidR="00F8515B" w:rsidRPr="00CA1E9E" w:rsidRDefault="00F8515B" w:rsidP="00F8515B">
      <w:pPr>
        <w:pStyle w:val="EPComma"/>
      </w:pPr>
      <w:bookmarkStart w:id="6" w:name="TextBodyBegin"/>
      <w:bookmarkEnd w:id="6"/>
      <w:r w:rsidRPr="00CA1E9E">
        <w:rPr>
          <w:i/>
          <w:iCs/>
        </w:rPr>
        <w:t>Europski parlament</w:t>
      </w:r>
      <w:r w:rsidRPr="00CA1E9E">
        <w:t>,</w:t>
      </w:r>
    </w:p>
    <w:p w:rsidR="00F8515B" w:rsidRPr="00CA1E9E" w:rsidRDefault="00F8515B" w:rsidP="00F8515B">
      <w:pPr>
        <w:pStyle w:val="NormalHanging12a"/>
      </w:pPr>
      <w:r w:rsidRPr="00CA1E9E">
        <w:t>–</w:t>
      </w:r>
      <w:r w:rsidRPr="00CA1E9E">
        <w:tab/>
        <w:t>uzimajući u obzir europski stup socijalnih prava, koji su Parlament, Vijeće i Komisija svečano proglasili 17. studenoga 2017.,</w:t>
      </w:r>
    </w:p>
    <w:p w:rsidR="00F8515B" w:rsidRPr="00CA1E9E" w:rsidRDefault="00F8515B" w:rsidP="00F8515B">
      <w:pPr>
        <w:pStyle w:val="NormalHanging12a"/>
      </w:pPr>
      <w:r w:rsidRPr="00CA1E9E">
        <w:t>–</w:t>
      </w:r>
      <w:r w:rsidRPr="00CA1E9E">
        <w:tab/>
        <w:t>uzimajući u obzir komunikaciju Komisije od 4. ožujka 2021. naslovljenu „Akcijski plan za provedbu europskog stupa socijalnih prava” (COM(2021)0102),</w:t>
      </w:r>
    </w:p>
    <w:p w:rsidR="00F8515B" w:rsidRPr="00CA1E9E" w:rsidRDefault="00F8515B" w:rsidP="00F8515B">
      <w:pPr>
        <w:pStyle w:val="NormalHanging12a"/>
      </w:pPr>
      <w:r w:rsidRPr="00CA1E9E">
        <w:t>–</w:t>
      </w:r>
      <w:r w:rsidRPr="00CA1E9E">
        <w:tab/>
        <w:t>uzimajući u obzir Izjavu iz Porta, koju je Europsko vijeće usvojilo 8. svibnja 2021.,</w:t>
      </w:r>
    </w:p>
    <w:p w:rsidR="00F8515B" w:rsidRPr="00CA1E9E" w:rsidRDefault="00F8515B" w:rsidP="00F8515B">
      <w:pPr>
        <w:pStyle w:val="NormalHanging12a"/>
      </w:pPr>
      <w:r w:rsidRPr="00CA1E9E">
        <w:t>–</w:t>
      </w:r>
      <w:r w:rsidRPr="00CA1E9E">
        <w:tab/>
        <w:t>uzimajući u obzir svoju Rezoluciju od 11. svibnja 2023. o planu za socijalnu Europu – dvije godine nakon sastanka na vrhu o socijalnim pitanjima u Portu</w:t>
      </w:r>
      <w:r w:rsidRPr="00CA1E9E">
        <w:rPr>
          <w:rStyle w:val="FootnoteReference"/>
        </w:rPr>
        <w:footnoteReference w:id="1"/>
      </w:r>
      <w:r w:rsidRPr="00CA1E9E">
        <w:t>,</w:t>
      </w:r>
    </w:p>
    <w:p w:rsidR="00F8515B" w:rsidRPr="00CA1E9E" w:rsidRDefault="00F8515B" w:rsidP="00F8515B">
      <w:pPr>
        <w:pStyle w:val="NormalHanging12a"/>
      </w:pPr>
      <w:r w:rsidRPr="00CA1E9E">
        <w:t>–</w:t>
      </w:r>
      <w:r w:rsidRPr="00CA1E9E">
        <w:tab/>
        <w:t>uzimajući u obzir svoju Rezoluciju od 14. siječnja 2014. o učinkovitim inspekcijama rada kao strategiji za poboljšanje radnih uvjeta u Europi</w:t>
      </w:r>
      <w:r w:rsidRPr="00CA1E9E">
        <w:rPr>
          <w:rStyle w:val="FootnoteReference"/>
        </w:rPr>
        <w:footnoteReference w:id="2"/>
      </w:r>
      <w:r w:rsidR="00B562F5">
        <w:t>,</w:t>
      </w:r>
    </w:p>
    <w:p w:rsidR="00F8515B" w:rsidRPr="00CA1E9E" w:rsidRDefault="00F8515B" w:rsidP="00F8515B">
      <w:pPr>
        <w:pStyle w:val="NormalHanging12a"/>
      </w:pPr>
      <w:r w:rsidRPr="00CA1E9E">
        <w:t>–</w:t>
      </w:r>
      <w:r w:rsidRPr="00CA1E9E">
        <w:tab/>
        <w:t>uzimajući u obzir Uredbu (EU) 2019/1149 Europskog parlamenta i Vijeća od 20. lipnja 2019. o osnivanju Europskoga nadzornog tijela za rad, izmjeni uredaba (EZ) br. 883/2004, (EU) br. 492/2011 i (EU) 2016/589 i stavljanju izvan snage Odluke (EU) 2016/344</w:t>
      </w:r>
      <w:r w:rsidRPr="00CA1E9E">
        <w:rPr>
          <w:rStyle w:val="FootnoteReference"/>
        </w:rPr>
        <w:footnoteReference w:id="3"/>
      </w:r>
      <w:r w:rsidRPr="00CA1E9E">
        <w:t>,</w:t>
      </w:r>
    </w:p>
    <w:p w:rsidR="00F8515B" w:rsidRPr="00CA1E9E" w:rsidRDefault="00F8515B" w:rsidP="00F8515B">
      <w:pPr>
        <w:pStyle w:val="NormalHanging12a"/>
      </w:pPr>
      <w:r w:rsidRPr="00CA1E9E">
        <w:t>–</w:t>
      </w:r>
      <w:r w:rsidRPr="00CA1E9E">
        <w:tab/>
        <w:t>uzimajući u obzir Komisijin Prijedlog uredbe Europskog parlamenta i Vijeća o osnivanju Europskog nadzornog tijel</w:t>
      </w:r>
      <w:r w:rsidR="00A35FBE">
        <w:t xml:space="preserve">a za rad (COM(2018)0131) od 13. </w:t>
      </w:r>
      <w:r w:rsidRPr="00CA1E9E">
        <w:t>ožujka</w:t>
      </w:r>
      <w:r w:rsidR="00A35FBE">
        <w:t xml:space="preserve"> </w:t>
      </w:r>
      <w:r w:rsidRPr="00CA1E9E">
        <w:t>2018. i priloženu procjenu učinka (SWD(2018)0068),</w:t>
      </w:r>
    </w:p>
    <w:p w:rsidR="00F8515B" w:rsidRPr="00CA1E9E" w:rsidRDefault="00F8515B" w:rsidP="00F8515B">
      <w:pPr>
        <w:pStyle w:val="NormalHanging12a"/>
      </w:pPr>
      <w:r w:rsidRPr="00CA1E9E">
        <w:t>–</w:t>
      </w:r>
      <w:r w:rsidRPr="00CA1E9E">
        <w:tab/>
        <w:t>uzimajući u obzir konsolidirana godišnja izvješća o radu Europskog nadzornog tijela za rad za 2019., 2020., 2021. i 2022.,</w:t>
      </w:r>
    </w:p>
    <w:p w:rsidR="00F8515B" w:rsidRPr="00CA1E9E" w:rsidRDefault="00F8515B" w:rsidP="00F8515B">
      <w:pPr>
        <w:pStyle w:val="NormalHanging12a"/>
      </w:pPr>
      <w:r w:rsidRPr="00CA1E9E">
        <w:lastRenderedPageBreak/>
        <w:t>–</w:t>
      </w:r>
      <w:r w:rsidRPr="00CA1E9E">
        <w:tab/>
        <w:t>uzimajući u obzir svoju Rezoluciju od 19. lipnja 2020. o europskoj zaštiti prekograničnih i sezonskih radnika u kontekstu krize prouzročene bolešću COVID-19</w:t>
      </w:r>
      <w:r w:rsidRPr="00CA1E9E">
        <w:rPr>
          <w:rStyle w:val="FootnoteReference"/>
        </w:rPr>
        <w:footnoteReference w:id="4"/>
      </w:r>
      <w:r w:rsidRPr="00CA1E9E">
        <w:t>,</w:t>
      </w:r>
    </w:p>
    <w:p w:rsidR="00F8515B" w:rsidRPr="00CA1E9E" w:rsidRDefault="00F8515B" w:rsidP="00F8515B">
      <w:pPr>
        <w:pStyle w:val="NormalHanging12a"/>
      </w:pPr>
      <w:r w:rsidRPr="00CA1E9E">
        <w:t>–</w:t>
      </w:r>
      <w:r w:rsidRPr="00CA1E9E">
        <w:tab/>
        <w:t>uzimajući u obzir članak 45. stavak 2. Ugovora o funkcioniranju Europske unije u kojem se navodi da „sloboda kretanja podrazumijeva ukidanje svake diskriminacije na temelju državljanstva među radnicima iz država članica u pogledu zapošljavanja, primitaka od rada i ostal</w:t>
      </w:r>
      <w:r w:rsidR="00B562F5">
        <w:t>ih uvjeta rada i zapošljavanja”,</w:t>
      </w:r>
      <w:bookmarkStart w:id="7" w:name="_GoBack"/>
      <w:bookmarkEnd w:id="7"/>
    </w:p>
    <w:p w:rsidR="00F8515B" w:rsidRPr="00CA1E9E" w:rsidRDefault="00F8515B" w:rsidP="00F8515B">
      <w:pPr>
        <w:pStyle w:val="NormalHanging12a"/>
      </w:pPr>
      <w:r w:rsidRPr="00CA1E9E">
        <w:t>–</w:t>
      </w:r>
      <w:r w:rsidRPr="00CA1E9E">
        <w:tab/>
        <w:t>uzimajući u obzir članak 132. stavak 2. Poslovnika,</w:t>
      </w:r>
    </w:p>
    <w:p w:rsidR="00F8515B" w:rsidRPr="00CA1E9E" w:rsidRDefault="00F8515B" w:rsidP="00F8515B">
      <w:pPr>
        <w:pStyle w:val="NormalHanging12a"/>
      </w:pPr>
      <w:r w:rsidRPr="00CA1E9E">
        <w:t>–</w:t>
      </w:r>
      <w:r w:rsidRPr="00CA1E9E">
        <w:tab/>
        <w:t xml:space="preserve">uzimajući u obzir prijedlog rezolucije Odbora za zapošljavanje i socijalna pitanja, </w:t>
      </w:r>
    </w:p>
    <w:p w:rsidR="00F8515B" w:rsidRPr="00CA1E9E" w:rsidRDefault="00F8515B" w:rsidP="00F8515B">
      <w:pPr>
        <w:pStyle w:val="NormalHanging12a"/>
      </w:pPr>
      <w:r w:rsidRPr="00CA1E9E">
        <w:t>A.</w:t>
      </w:r>
      <w:r w:rsidRPr="00CA1E9E">
        <w:tab/>
        <w:t>budući da je 2021. oko 10 milijuna radno sposobnih građana EU-a živjelo u drugoj državi članici</w:t>
      </w:r>
      <w:r w:rsidRPr="00CA1E9E">
        <w:rPr>
          <w:rStyle w:val="FootnoteReference"/>
        </w:rPr>
        <w:footnoteReference w:id="5"/>
      </w:r>
      <w:r w:rsidRPr="00CA1E9E">
        <w:t>; budući da se posljednjih godina povećao broj državljana trećih zemalja koji žive i rade u EU-u; budući da je 2022. na tržištu rada EU-a bilo zaposleno 9,93 milijuna državljana trećih zemalja, što je 5,1 % ukupnog radno sposobnog stanovništva</w:t>
      </w:r>
      <w:r w:rsidRPr="00CA1E9E">
        <w:rPr>
          <w:rStyle w:val="FootnoteReference"/>
        </w:rPr>
        <w:footnoteReference w:id="6"/>
      </w:r>
      <w:r w:rsidRPr="00CA1E9E">
        <w:t>; budući da radnici iz trećih zemalja još nisu obuhvaćeni područjem djelovanja Europskog nadzornog tijela za rad (ELA), iako su njihovi problemi povezani s mobilnošću radne snage i radnim uvjetima često slični problemima radnika iz EU-a;</w:t>
      </w:r>
    </w:p>
    <w:p w:rsidR="00F8515B" w:rsidRPr="00CA1E9E" w:rsidRDefault="00F8515B" w:rsidP="00F8515B">
      <w:pPr>
        <w:pStyle w:val="NormalHanging12a"/>
      </w:pPr>
      <w:r w:rsidRPr="00CA1E9E">
        <w:t>B.</w:t>
      </w:r>
      <w:r w:rsidRPr="00CA1E9E">
        <w:tab/>
        <w:t>budući da su slobodno kretanje radnika i sloboda pružanja usluga dvije od četiri temeljne slobode EU-a; budući da su te slobode ključne za pravilno funkcioniranje jedinstvenog tržišta; budući da se te slobode ubrajaju u glavna postignuća integracije EU-a;</w:t>
      </w:r>
    </w:p>
    <w:p w:rsidR="00F8515B" w:rsidRPr="00CA1E9E" w:rsidRDefault="00F8515B" w:rsidP="00F8515B">
      <w:pPr>
        <w:pStyle w:val="NormalHanging12a"/>
      </w:pPr>
      <w:r w:rsidRPr="00CA1E9E">
        <w:t>C.</w:t>
      </w:r>
      <w:r w:rsidRPr="00CA1E9E">
        <w:tab/>
        <w:t>budući da mobilnost radnika može biti otežana zbog nedovoljne koordinacije među sustavima socijalne sigurnosti u državama članicama; budući da problemi koji utječu na prenosivost prava i prava povezana sa socijalnom sigurnošću mogu destimulirati radnike koji razmišljaju o radu u drugoj državi članici;</w:t>
      </w:r>
    </w:p>
    <w:p w:rsidR="00F8515B" w:rsidRPr="00CA1E9E" w:rsidRDefault="00F8515B" w:rsidP="00F8515B">
      <w:pPr>
        <w:pStyle w:val="NormalHanging12a"/>
      </w:pPr>
      <w:r w:rsidRPr="00CA1E9E">
        <w:t>D.</w:t>
      </w:r>
      <w:r w:rsidRPr="00CA1E9E">
        <w:tab/>
        <w:t>budući da je Parlament u više navrata pozvao na uvođenje broja socijalnog osiguranja na razini EU-a kako bi se omogućila jednostavna identifikacija radnika, njihov radni status i prava iz sustava socijalne sigurnosti;</w:t>
      </w:r>
    </w:p>
    <w:p w:rsidR="00F8515B" w:rsidRPr="00CA1E9E" w:rsidRDefault="00F8515B" w:rsidP="00F8515B">
      <w:pPr>
        <w:pStyle w:val="NormalHanging12a"/>
      </w:pPr>
      <w:r w:rsidRPr="00CA1E9E">
        <w:t>E.</w:t>
      </w:r>
      <w:r w:rsidRPr="00CA1E9E">
        <w:tab/>
        <w:t>budući da mobilnost radne snage potiče gospodarski rast i donosi koristi za cijeli EU uravnoteženjem ponude i potražnje radne snage; budući da mobilnost radne snage može dovesti i do loših radnih uvjeta i iskorištavanja mobilnih radnika zloupotrebom i zaobilaženjem postojećih zakona ili nedostatkom informacija za radnike o njihovim pravima i svim primjenjivim kolektivnim ugovorima;</w:t>
      </w:r>
    </w:p>
    <w:p w:rsidR="00F8515B" w:rsidRPr="00CA1E9E" w:rsidRDefault="00F8515B" w:rsidP="00F8515B">
      <w:pPr>
        <w:pStyle w:val="NormalHanging12a"/>
      </w:pPr>
      <w:r w:rsidRPr="00CA1E9E">
        <w:t>F.</w:t>
      </w:r>
      <w:r w:rsidRPr="00CA1E9E">
        <w:tab/>
        <w:t xml:space="preserve">budući da su osiguravanje pravedne mobilnosti i poštenog tržišnog natjecanja utemeljenih na nediskriminaciji te načela jednake plaće za jednaki rad i dalje izazov zbog 27 različitih režima tržišta rada s nacionalnim propisima i praksama; budući da se zakonodavstvo Unije o radničkim i socijalnim pravima radnika mora propisno provoditi i primjenjivati u svim državama članicama, kao i u prekograničnim situacijama; budući da bi Europsko nadzorno tijelo za rad trebalo poticati i primjenu inovativnih pristupa učinkovitoj prekograničnoj suradnji te prikupljanje, analizu i razmjenu informacija; </w:t>
      </w:r>
      <w:r w:rsidRPr="00CA1E9E">
        <w:lastRenderedPageBreak/>
        <w:t>budući da mobilnim radnicima nisu dostupne dostatne službe za podršku, posebno državljanima trećih zemalja, kao što su pravno, socijalno i psihološko savjetovanje;</w:t>
      </w:r>
    </w:p>
    <w:p w:rsidR="00F8515B" w:rsidRPr="00CA1E9E" w:rsidRDefault="00F8515B" w:rsidP="00F8515B">
      <w:pPr>
        <w:pStyle w:val="NormalHanging12a"/>
      </w:pPr>
      <w:r w:rsidRPr="00CA1E9E">
        <w:t>G.</w:t>
      </w:r>
      <w:r w:rsidRPr="00CA1E9E">
        <w:tab/>
        <w:t xml:space="preserve">budući da se europskim stupom socijalnih prava, koji je 2017. proglašen u </w:t>
      </w:r>
      <w:proofErr w:type="spellStart"/>
      <w:r w:rsidRPr="00CA1E9E">
        <w:t>Göteborgu</w:t>
      </w:r>
      <w:proofErr w:type="spellEnd"/>
      <w:r w:rsidRPr="00CA1E9E">
        <w:t xml:space="preserve">, utvrđuje 20 načela i uspostavlja socijalni pravilnik za snažnu socijalnu Europu koja je pravedna i </w:t>
      </w:r>
      <w:proofErr w:type="spellStart"/>
      <w:r w:rsidRPr="00CA1E9E">
        <w:t>uključiva</w:t>
      </w:r>
      <w:proofErr w:type="spellEnd"/>
      <w:r w:rsidRPr="00CA1E9E">
        <w:t>; budući da su jednaka prava i jednake mogućnosti, pristup tržištu rada, pravedni radni uvjeti, socijalna zaštita, uključenost i autonomija socijalnih partnera okosnica Unije i utvrđeni su u Ugovorima;</w:t>
      </w:r>
    </w:p>
    <w:p w:rsidR="00F8515B" w:rsidRPr="00CA1E9E" w:rsidRDefault="00F8515B" w:rsidP="00F8515B">
      <w:pPr>
        <w:pStyle w:val="NormalHanging12a"/>
      </w:pPr>
      <w:r w:rsidRPr="00CA1E9E">
        <w:t>H.</w:t>
      </w:r>
      <w:r w:rsidRPr="00CA1E9E">
        <w:tab/>
        <w:t>budući da nacionalna izvršna tijela, kao što su inspektorati rada i sustava socijalne sigurnosti, i socijalni partneri uključeni u inspekcije rada i sustava socijalne sigurnosti, nemaju uvijek potrebna sredstva i stoga mogu imati poteškoća s djelotvornom provedbom nacionalnog prava i prava EU-a, posebno u prekograničnim situacijama; budući da djelotvorna provedba zahtijeva dostatna sredstva, kao i strukturiranu suradnju te redovitu i sigurnu razmjenu informacija među državama članicama i svim relevantnim dionicima;</w:t>
      </w:r>
    </w:p>
    <w:p w:rsidR="00F8515B" w:rsidRPr="00CA1E9E" w:rsidRDefault="00F8515B" w:rsidP="00F8515B">
      <w:pPr>
        <w:pStyle w:val="NormalHanging12a"/>
      </w:pPr>
      <w:r w:rsidRPr="00CA1E9E">
        <w:t>I.</w:t>
      </w:r>
      <w:r w:rsidRPr="00CA1E9E">
        <w:tab/>
        <w:t>budući da je Europsko nadzorno tijelo za rad osnovano s ciljem olakšavanja prekogranične suradnje u učinkovitoj primjeni radnog prava, uključujući zajedničke i usklađene inspekcije, te razmjene informacija među državama članicama o pitanjima mobilnosti radne snage u cilju podupiranja pravednih tržišta rada i sustava socijalne skrbi koji dobro funkcioniraju, zaštite radnika i osiguravanja poštenog tržišnog natjecanja na jedinstvenom tržištu;</w:t>
      </w:r>
    </w:p>
    <w:p w:rsidR="00F8515B" w:rsidRPr="00CA1E9E" w:rsidRDefault="00F8515B" w:rsidP="00F8515B">
      <w:pPr>
        <w:pStyle w:val="NormalHanging12a"/>
      </w:pPr>
      <w:r w:rsidRPr="00CA1E9E">
        <w:t>J.</w:t>
      </w:r>
      <w:r w:rsidRPr="00CA1E9E">
        <w:tab/>
        <w:t>budući da bi države članice trebale pružati potporu, informacije i savjete radnicima i poslodavcima; budući da ni ELA ni uključeni sindikati nemaju dovoljno sredstava da djeluju kao služba za pomoć pojedincima;</w:t>
      </w:r>
    </w:p>
    <w:p w:rsidR="00F8515B" w:rsidRPr="00CA1E9E" w:rsidRDefault="00F8515B" w:rsidP="00F8515B">
      <w:pPr>
        <w:pStyle w:val="NormalHanging12a"/>
      </w:pPr>
      <w:r w:rsidRPr="00CA1E9E">
        <w:t>K.</w:t>
      </w:r>
      <w:r w:rsidRPr="00CA1E9E">
        <w:tab/>
        <w:t>budući da na temelju njezine uredbe o osnivanju ELA mora pridonijeti osiguravanju pravedne mobilnosti radne snage u cijeloj Uniji i pomoći državama članicama i Komisiji u koordinaciji sustavâ socijalne sigurnosti u Uniji; budući da ELA u tom pogledu obavlja nekoliko zadaća, među ostalim, olakšava pristup informacijama o mobilnosti radne snage pojedincima, poslodavcima i socijalnim partnerima, podupire države članice u promicanju prekograničnog usklađivanja ponude i potražnje za poslom i koordinira rad Europske službe za zapošljavanje (EURES), olakšava suradnju i razmjenu informacija među državama članicama, koordinira i podupire usklađene i zajedničke inspekcije, provodi analize i procjene rizika o pitanjima povezanima s prekograničnom mobilnošću radne snage, pruža potporu državama članicama u izgradnji kapaciteta u području mobilnosti radne snage, rješavanju problema neprijavljenog rada te posreduje u sporovima među državama članicama o primjeni relevantnog prava EU-a;</w:t>
      </w:r>
    </w:p>
    <w:p w:rsidR="00F8515B" w:rsidRPr="00CA1E9E" w:rsidRDefault="00F8515B" w:rsidP="00F8515B">
      <w:pPr>
        <w:pStyle w:val="NormalHanging12a"/>
      </w:pPr>
      <w:r w:rsidRPr="00CA1E9E">
        <w:t>L.</w:t>
      </w:r>
      <w:r w:rsidRPr="00CA1E9E">
        <w:tab/>
        <w:t>budući da ELA još nije ostvarila svoj puni operativni potencijal; budući da su aktivnosti i učinak ELA-e ograničeni zbog dobrovoljne prirode suradnje i sudjelovanja država članica te zbog njezinih ograničenih ovlasti da traži i obrađuje podatke predmetnih radnika i poduzeća; budući da ELA zbog njezina pravnog okvira ne može provoditi istrage na vlastitu inicijativu i rješavati probleme povezane s mobilnošću radne snage iz trećih zemalja;</w:t>
      </w:r>
    </w:p>
    <w:p w:rsidR="00F8515B" w:rsidRPr="00CA1E9E" w:rsidRDefault="00F8515B" w:rsidP="00F8515B">
      <w:pPr>
        <w:pStyle w:val="NormalHanging12a"/>
      </w:pPr>
      <w:r w:rsidRPr="00CA1E9E">
        <w:t>M.</w:t>
      </w:r>
      <w:r w:rsidRPr="00CA1E9E">
        <w:tab/>
        <w:t>budući da se pravila i prakse u vezi s načinom provedbe inspekcija rada znatno razlikuju među državama članicama, kao i suradnja između nacionalnih tijela i ELA-e;</w:t>
      </w:r>
    </w:p>
    <w:p w:rsidR="00F8515B" w:rsidRPr="00CA1E9E" w:rsidRDefault="00F8515B" w:rsidP="00F8515B">
      <w:pPr>
        <w:pStyle w:val="NormalHanging12a"/>
      </w:pPr>
      <w:r w:rsidRPr="00CA1E9E">
        <w:lastRenderedPageBreak/>
        <w:t>N.</w:t>
      </w:r>
      <w:r w:rsidRPr="00CA1E9E">
        <w:tab/>
        <w:t xml:space="preserve">budući da je Europsko nadzorno tijelo za bankarstvo dobilo mandat za provedbu istraga na vlastitu inicijativu; budući da neke europske agencije, poput </w:t>
      </w:r>
      <w:proofErr w:type="spellStart"/>
      <w:r w:rsidRPr="00CA1E9E">
        <w:t>Europola</w:t>
      </w:r>
      <w:proofErr w:type="spellEnd"/>
      <w:r w:rsidRPr="00CA1E9E">
        <w:t>, imaju pristup bazi podataka Informacijskog sustava unutarnjeg tržišta (IMI) i smiju obrađivati osobne podatke; budući da ELA nema slična prava;</w:t>
      </w:r>
    </w:p>
    <w:p w:rsidR="00F8515B" w:rsidRPr="00CA1E9E" w:rsidRDefault="00F8515B" w:rsidP="00F8515B">
      <w:pPr>
        <w:pStyle w:val="NormalHanging12a"/>
      </w:pPr>
      <w:r w:rsidRPr="00CA1E9E">
        <w:t>O.</w:t>
      </w:r>
      <w:r w:rsidRPr="00CA1E9E">
        <w:tab/>
        <w:t>budući da socijalni partneri ne trebaju prvo iscrpiti mogućnosti provedbe na nacionalnoj razini jer u cilju pokretanja prekograničnih inspekcija mogu u bilo kojem trenutku skrenuti pozornost ELA-e na prekogranične slučajeve; budući da je pravodobna, sustavna i strukturna uključenost socijalnih partnera EU-a te sektorskih i nacionalnih socijalnih partnera neophodna za poboljšanje učinkovitosti ELA-e;</w:t>
      </w:r>
    </w:p>
    <w:p w:rsidR="00F8515B" w:rsidRPr="00CA1E9E" w:rsidRDefault="00F8515B" w:rsidP="00F8515B">
      <w:pPr>
        <w:pStyle w:val="NormalHanging12a"/>
      </w:pPr>
      <w:r w:rsidRPr="00CA1E9E">
        <w:t>P.</w:t>
      </w:r>
      <w:r w:rsidRPr="00CA1E9E">
        <w:tab/>
        <w:t>budući da je Europska platforma za jačanje suradnje u rješavanju neprijavljenog rada integrirana u ELA-u; budući da je neprijavljeni rad i dalje ozbiljan problem u EU-u; budući da su neki sektori, kao što su ugostiteljstvo, građevinarstvo, turizam, skrb i usluge povezane s kućanstvom, više pogođeni od drugih;</w:t>
      </w:r>
    </w:p>
    <w:p w:rsidR="00F8515B" w:rsidRPr="00CA1E9E" w:rsidRDefault="00F8515B" w:rsidP="00F8515B">
      <w:pPr>
        <w:pStyle w:val="NormalHanging12a"/>
      </w:pPr>
      <w:r w:rsidRPr="00CA1E9E">
        <w:t>Q.</w:t>
      </w:r>
      <w:r w:rsidRPr="00CA1E9E">
        <w:tab/>
        <w:t>budući da se ankete i analize ELA-e često povjeravaju vanjskim suradnicima, zbog čega ona ne može razviti vlastito stručno znanje i to bi moglo dovesti u pitanje njezinu neovisnost;</w:t>
      </w:r>
    </w:p>
    <w:p w:rsidR="00F8515B" w:rsidRPr="00CA1E9E" w:rsidRDefault="00F8515B" w:rsidP="00F8515B">
      <w:pPr>
        <w:pStyle w:val="NormalHanging12a"/>
      </w:pPr>
      <w:r w:rsidRPr="00CA1E9E">
        <w:t>R.</w:t>
      </w:r>
      <w:r w:rsidRPr="00CA1E9E">
        <w:tab/>
        <w:t>budući da je jedan od ciljeva osnivanja ELA-e bio riješiti problem nedovoljne razmjene informacija među nacionalnim tijelima odgovornima za različite aspekte mobilnosti radne snage i koordinaciju sustava socijalne sigurnosti kako bi se osiguralo da se sva dostupna sredstva upotrebljavaju na što učinkovitiji način u područjima u kojima ELA može pružiti dodanu vrijednost;</w:t>
      </w:r>
    </w:p>
    <w:p w:rsidR="00F8515B" w:rsidRPr="00CA1E9E" w:rsidRDefault="00F8515B" w:rsidP="00F8515B">
      <w:pPr>
        <w:pStyle w:val="NormalHanging12a"/>
      </w:pPr>
      <w:r w:rsidRPr="00CA1E9E">
        <w:t xml:space="preserve">S. </w:t>
      </w:r>
      <w:r w:rsidRPr="00CA1E9E">
        <w:tab/>
        <w:t>budući da su neusklađenost vještina i nedostatak radne snage u porastu u EU-u; budući da EURES može imati središnju ulogu u poticanju mobilnosti radne snage i prekograničnog usklađivanja ponude i potražnje za poslom; budući da ELA nema kapacitet za pružanje usluga podrške pojedinačnim tražiteljima zaposlenja i poduzećima; budući da nije ostvaren puni potencijal EURES-a; budući da bi nacionalna tijela, agencije za zapošljavanje i socijalni partneri trebali snažnije promicati korištenje EURES-a;</w:t>
      </w:r>
    </w:p>
    <w:p w:rsidR="00F8515B" w:rsidRPr="00CA1E9E" w:rsidRDefault="00F8515B" w:rsidP="00F8515B">
      <w:pPr>
        <w:pStyle w:val="NormalHanging12a"/>
      </w:pPr>
      <w:r w:rsidRPr="00CA1E9E">
        <w:t>T.</w:t>
      </w:r>
      <w:r w:rsidRPr="00CA1E9E">
        <w:tab/>
        <w:t>budući da Komisija do 1. kolovoza 2024. i svakih pet godina nakon toga mora ocijeniti rad ELA-e s obzirom na njezine ciljeve, mandat i zadaće u skladu s člankom 40. Uredbe (EU) 2019/1149; budući da bi se u okviru Komisijine evaluacije trebale uzeti u obzir informacije od ELA-e i relevantnih dionika, a posebno bi se trebalo procijeniti postoji li potreba za izmjenom njezina mandata i područja djelovanja, uključujući proširenje njezina područja djelovanja kako bi se obuhvatile potrebe pojedinih sektora; budući da bi se u okviru evaluacije trebale istražiti daljnje sinergije i mogućnosti usklađivanja s drugim agencijama u područjima zapošljavanja, socijalne politike i temeljnih prava te bi se njome trebala utvrditi područja u kojima bi se aktivnostima ELA-e mogla ostvariti veća dodana vrijednost za nacionalna tijela;</w:t>
      </w:r>
    </w:p>
    <w:p w:rsidR="00F8515B" w:rsidRPr="00CA1E9E" w:rsidRDefault="00F8515B" w:rsidP="00F8515B">
      <w:pPr>
        <w:pStyle w:val="NormalHanging12a"/>
      </w:pPr>
      <w:r w:rsidRPr="00CA1E9E">
        <w:t>U.</w:t>
      </w:r>
      <w:r w:rsidRPr="00CA1E9E">
        <w:tab/>
        <w:t xml:space="preserve">budući da bi se evaluacijom trebala dodatno istražiti redovita suradnja i razmjena s </w:t>
      </w:r>
      <w:proofErr w:type="spellStart"/>
      <w:r w:rsidRPr="00CA1E9E">
        <w:t>Europolom</w:t>
      </w:r>
      <w:proofErr w:type="spellEnd"/>
      <w:r w:rsidRPr="00CA1E9E">
        <w:t xml:space="preserve"> i </w:t>
      </w:r>
      <w:proofErr w:type="spellStart"/>
      <w:r w:rsidRPr="00CA1E9E">
        <w:t>Eurojustom</w:t>
      </w:r>
      <w:proofErr w:type="spellEnd"/>
      <w:r w:rsidRPr="00CA1E9E">
        <w:t xml:space="preserve"> u slučajevima kaznenih djela, posebno kad je riječ o organiziranom kriminalu, primjerice u građevinskom sektoru, te s Uredom europskog javnog tužitelja kad je riječ o europskim subvencijama;</w:t>
      </w:r>
    </w:p>
    <w:p w:rsidR="00F8515B" w:rsidRPr="00CA1E9E" w:rsidRDefault="00F8515B" w:rsidP="00F8515B">
      <w:pPr>
        <w:pStyle w:val="NormalHanging12a"/>
      </w:pPr>
      <w:r w:rsidRPr="00CA1E9E">
        <w:t>V.</w:t>
      </w:r>
      <w:r w:rsidRPr="00CA1E9E">
        <w:tab/>
        <w:t xml:space="preserve">budući da je Parlament u svojoj Rezoluciji od 11. svibnja 2023. o planu za socijalnu </w:t>
      </w:r>
      <w:r w:rsidRPr="00CA1E9E">
        <w:lastRenderedPageBreak/>
        <w:t xml:space="preserve">Europu – dvije godine nakon sastanka na vrhu o socijalnim pitanjima u Portu, naglasio važnost dobrog funkcioniranja i djelotvornosti ELA-e; budući da je Parlament već pozvao Komisiju da iskoristi priliku koju predstavlja predstojeća evaluacija i podnese zakonodavni prijedlog za preispitivanje područja primjene uredbe o osnivanju ELA-e i ostvarivanje njezina punog potencijala, posebno u pogledu njezinih </w:t>
      </w:r>
      <w:proofErr w:type="spellStart"/>
      <w:r w:rsidRPr="00CA1E9E">
        <w:t>izvidnih</w:t>
      </w:r>
      <w:proofErr w:type="spellEnd"/>
      <w:r w:rsidRPr="00CA1E9E">
        <w:t xml:space="preserve"> i istražnih ovlasti;</w:t>
      </w:r>
    </w:p>
    <w:p w:rsidR="00F8515B" w:rsidRPr="00CA1E9E" w:rsidRDefault="00F8515B" w:rsidP="00F8515B">
      <w:pPr>
        <w:pStyle w:val="NormalHanging12a"/>
      </w:pPr>
      <w:r w:rsidRPr="00CA1E9E">
        <w:t>1.</w:t>
      </w:r>
      <w:r w:rsidRPr="00CA1E9E">
        <w:tab/>
        <w:t>poziva Komisiju da na temelju iskustava stečenih od 2019. i aktualne ocjene mandata i operativnog kapaciteta ELA-e predstavi prijedlog ciljane revizije Uredbe o osnivanju ELA-e u cilju jačanja njezina mandata i dodane vrijednosti za nacionalna tijela kako bi joj se omogućilo da u potpunosti ostvari svoju misiju osiguravanja pravedne mobilnosti radne snage;</w:t>
      </w:r>
    </w:p>
    <w:p w:rsidR="00F8515B" w:rsidRPr="00CA1E9E" w:rsidRDefault="00F8515B" w:rsidP="00F8515B">
      <w:pPr>
        <w:pStyle w:val="NormalHanging12a"/>
      </w:pPr>
      <w:r w:rsidRPr="00CA1E9E">
        <w:t>2.</w:t>
      </w:r>
      <w:r w:rsidRPr="00CA1E9E">
        <w:tab/>
        <w:t>poziva na znatno jačanje mandata ELA-e kako bi se osigurala njezina dodana vrijednost za nacionalna provedbena tijela tako što će joj se omogućiti da istraži navodne povrede ili neprimjenjivanje prava EU-a te da pokrene i provede istrage i inspekcije prekograničnih slučajeva na vlastitu inicijativu, nakon obavješćivanja relevantnih nacionalnih nadležnih tijela, posebno u slučajevima povrede prava EU-a ili kada nadležna nacionalna tijela nisu poduzela daljnje mjere u vezi s navodnim povredama ili neprimjenjivanjem prava EU-a; naglašava da je potrebno obavijestiti nadležna nacionalna tijela i sustavno informirati socijalne partnere o svim ispitivanjima ili istragama ELA-e u njihovoj nadležnosti i osigurati da joj nadležna nacionalna tijela bez odgode i u skladu s nacionalnim zakonima i praksama pruže sve informacije koje ona smatra potrebnima za svoje istrage;</w:t>
      </w:r>
    </w:p>
    <w:p w:rsidR="00F8515B" w:rsidRPr="00CA1E9E" w:rsidRDefault="00F8515B" w:rsidP="00F8515B">
      <w:pPr>
        <w:pStyle w:val="NormalHanging12a"/>
      </w:pPr>
      <w:r w:rsidRPr="00CA1E9E">
        <w:t>3.</w:t>
      </w:r>
      <w:r w:rsidRPr="00CA1E9E">
        <w:tab/>
        <w:t>podsjeća da u nekim državama članicama socijalni partneri provode inspekcije rada; naglašava da je važno zajamčiti učinkovitu suradnju ELA-e i nacionalnih nadležnih tijela sa socijalnim partnerima, poštujući pritom njihovu autonomiju, prava i ovlasti u skladu s nacionalnim industrijskim odnosima;</w:t>
      </w:r>
    </w:p>
    <w:p w:rsidR="00F8515B" w:rsidRPr="00CA1E9E" w:rsidRDefault="00F8515B" w:rsidP="00F8515B">
      <w:pPr>
        <w:pStyle w:val="NormalHanging12a"/>
      </w:pPr>
      <w:r w:rsidRPr="00CA1E9E">
        <w:t>4.</w:t>
      </w:r>
      <w:r w:rsidRPr="00CA1E9E">
        <w:tab/>
        <w:t>podsjeća da je područje djelovanja ELA-e ograničeno na akte Unije navedene u uredbi o njezinu osnivanju; napominje, međutim, da se nadležno tijelo često suočava s problemima povezanima s radnim uvjetima državljana trećih zemalja na koje se primjenjuje relevantno radno zakonodavstvo; stoga poziva na proširenje područja djelovanja ELA-e kako bi se obuhvatila mobilnost radne snage za državljane trećih zemalja, s posebnim naglaskom na ukidanju lažnog upućivanja i lažnog samozapošljavanja; naglašava da je državama članicama potrebno pružiti veću potporu u primjeni relevantnog prava EU-a i da mandat ELA-e izričito treba uključivati sektorsko zakonodavstvo koje se odnosi na radno pravo u kontekstu mobilnosti radne snage, na primjer u prometnom sektoru, građevinskom sektoru i poljoprivrednom sektoru, kao i na rad preko poduzeća za privremeno zapošljavanje;</w:t>
      </w:r>
    </w:p>
    <w:p w:rsidR="00F8515B" w:rsidRPr="00CA1E9E" w:rsidRDefault="00F8515B" w:rsidP="00F8515B">
      <w:pPr>
        <w:pStyle w:val="NormalHanging12a"/>
      </w:pPr>
      <w:r w:rsidRPr="00CA1E9E">
        <w:t>5.</w:t>
      </w:r>
      <w:r w:rsidRPr="00CA1E9E">
        <w:tab/>
        <w:t>ističe da je potrebno osigurati odgovarajuće daljnje postupanje u vezi s usklađenim i zajedničkim inspekcijama koje ELA podupire ili olakšava; poziva na učinkovite postupke kako bi se osiguralo da se povrede nacionalnog prava i prava EU-a otkrivene u području mobilnosti radne snage na odgovarajući način procesuiraju, u okviru administrativnih ili pravnih postupaka u državama članicama; ističe da bi ELA trebala biti ovlaštena za pokretanje administrativnih i pravnih postupaka u slučajevima sumnje na povrede; naglašava da bi ELA u okviru svojeg mandata trebala podupirati povrat neisplaćenih plaća i doprinosa za socijalno osiguranje u prekograničnim slučajevima, na primjer pružanjem dostupnih informacija i dokaza;</w:t>
      </w:r>
    </w:p>
    <w:p w:rsidR="00F8515B" w:rsidRPr="00CA1E9E" w:rsidRDefault="00F8515B" w:rsidP="00F8515B">
      <w:pPr>
        <w:pStyle w:val="NormalHanging12a"/>
      </w:pPr>
      <w:r w:rsidRPr="00CA1E9E">
        <w:lastRenderedPageBreak/>
        <w:t>6.</w:t>
      </w:r>
      <w:r w:rsidRPr="00CA1E9E">
        <w:tab/>
        <w:t>naglašava da bi ELA trebala temeljito rješavati slučajeve na koje su joj skrenule pozornost organizacije socijalnih partnera pokretanjem zajedničkih i usklađenih inspekcija s relevantnim nacionalnim tijelima ili samostalnim provođenjem inspekcija; ističe da bi socijalni partneri trebali moći zatražiti od ELA-e istragu ili inspekciju; naglašava da bi socijalni partneri trebali dobiti daljnje informacije o postupcima i sveobuhvatno obrazloženje u slučaju da ELA odbije zahtjev;</w:t>
      </w:r>
    </w:p>
    <w:p w:rsidR="00F8515B" w:rsidRPr="00CA1E9E" w:rsidRDefault="00F8515B" w:rsidP="00F8515B">
      <w:pPr>
        <w:pStyle w:val="NormalHanging12a"/>
      </w:pPr>
      <w:r w:rsidRPr="00CA1E9E">
        <w:t>7.</w:t>
      </w:r>
      <w:r w:rsidRPr="00CA1E9E">
        <w:tab/>
        <w:t xml:space="preserve">ističe da je potrebna učinkovita provedba, uključujući </w:t>
      </w:r>
      <w:proofErr w:type="spellStart"/>
      <w:r w:rsidRPr="00CA1E9E">
        <w:t>odvraćajuće</w:t>
      </w:r>
      <w:proofErr w:type="spellEnd"/>
      <w:r w:rsidRPr="00CA1E9E">
        <w:t xml:space="preserve"> financijske sankcije, kako bi se zaustavilo nepoštovanje radnog zakonodavstva, izbjegavanje plaćanja socijalnih naknada i utaja poreza u prekograničnim aktivnostima; stoga potiče ELA-u da u okviru svojeg mandata prednost da prekograničnoj provedbi zakona i kontrola te da surađuje s drugim relevantnim agencijama EU-a; naglašava da bi ELA trebala voditi evidenciju slučajeva povrede prava EU-a i nacionalnog prava u području mobilnosti radne snage, u skladu s primjenjivim pravilima EU-a o zaštiti podataka;</w:t>
      </w:r>
    </w:p>
    <w:p w:rsidR="00F8515B" w:rsidRPr="00CA1E9E" w:rsidRDefault="00F8515B" w:rsidP="00F8515B">
      <w:pPr>
        <w:pStyle w:val="NormalHanging12a"/>
      </w:pPr>
      <w:r w:rsidRPr="00CA1E9E">
        <w:t>8.</w:t>
      </w:r>
      <w:r w:rsidRPr="00CA1E9E">
        <w:tab/>
        <w:t>podsjeća da se Komisijinim Prijedlogom uredbe o osnivanju Europskog nadzornog tijela za rad (člankom 10. stavkom 7.) predviđa obveza nadzornog tijela da Komisiji i nadležnim tijelima u predmetnoj državi članici prijavi sumnje na nepravilnosti „u primjeni prava Unije, uključujući u područjima za koja nije nadležno” ako tijekom rada sazna za takve nepravilnosti; žali zbog toga što ta odredba nije bila uključena u doneseni tekst uredbe o osnivanju; naglašava da bi revizija uredbe o osnivanju ELA-e trebala uključivati takvu odredbu;</w:t>
      </w:r>
    </w:p>
    <w:p w:rsidR="00F8515B" w:rsidRPr="00CA1E9E" w:rsidRDefault="00F8515B" w:rsidP="00F8515B">
      <w:pPr>
        <w:pStyle w:val="NormalHanging12a"/>
        <w:rPr>
          <w:bCs/>
          <w:iCs/>
        </w:rPr>
      </w:pPr>
      <w:r w:rsidRPr="00CA1E9E">
        <w:t>9.</w:t>
      </w:r>
      <w:r w:rsidRPr="00CA1E9E">
        <w:tab/>
        <w:t>poziva na pravodobno, sustavno i strukturno uključivanje socijalnih partnera EU-a te sektorskih i nacionalnih socijalnih partnera u pripremu i provedbu aktivnosti ELA-e u cilju poboljšanja njezine djelotvornosti; poziva nadležna nacionalna tijela da bliže surađuju sa svojim nacionalnim socijalnim partnerima jer su oni stručnjaci u području radnoga prava;</w:t>
      </w:r>
    </w:p>
    <w:p w:rsidR="00F8515B" w:rsidRPr="00CA1E9E" w:rsidRDefault="00F8515B" w:rsidP="00F8515B">
      <w:pPr>
        <w:pStyle w:val="NormalHanging12a"/>
        <w:rPr>
          <w:bCs/>
          <w:iCs/>
        </w:rPr>
      </w:pPr>
      <w:r w:rsidRPr="00CA1E9E">
        <w:t>10.</w:t>
      </w:r>
      <w:r w:rsidRPr="00CA1E9E">
        <w:tab/>
        <w:t>poziva države članice da prepoznaju dodanu vrijednost ELA-e, da ojačaju suradnju između svojih nadležnih tijela i ELA-e te da osiguraju dostatna sredstva na nacionalnoj razini kako bi se osiguralo da nadležna tijela imaju sredstva, kapacitete i strukturu za učinkovitu suradnju i djelovanje; podsjeća na ključnu ulogu nacionalnih časnika za vezu, koji djeluju kao nacionalne kontaktne točke, u olakšavanju suradnje i razmjene informacija između država članica i ELA-e; naglašava da bi nacionalni stručnjaci koje su uputile države članice, uključujući nacionalne časnike za vezu, trebali pomoći u izvršavanju zadaća ELA-e i da ne bi trebali raditi pod vodstvom ili nadzorom svoje države članice; naglašava potrebu da se socijalnim partnerima na razini EU-a omogući imenovanje po jednog časnika za vezu;</w:t>
      </w:r>
    </w:p>
    <w:p w:rsidR="00F8515B" w:rsidRPr="00CA1E9E" w:rsidRDefault="00F8515B" w:rsidP="00F8515B">
      <w:pPr>
        <w:pStyle w:val="NormalHanging12a"/>
      </w:pPr>
      <w:r w:rsidRPr="00CA1E9E">
        <w:t>11.</w:t>
      </w:r>
      <w:r w:rsidRPr="00CA1E9E">
        <w:tab/>
        <w:t xml:space="preserve">primjećuje veću raširenost nesigurnih radnih i životnih uvjeta među državljanima trećih zemalja koji, primjerice, ovise o stanovanju koje osigurava njihov poslodavac; naglašava da bi ELA trebala biti ovlaštena za rješavanje pitanja državljana trećih zemalja, na temelju primjenjivog radnog zakonodavstva EU-a, te da je u tom pogledu potrebna bliska suradnja s državama članicama, socijalnim partnerima i organizacijama civilnog društva; ističe da bi sposobnosti ELA-e da pruži informacije o radnim uvjetima mobilnih radnika iz trećih zemalja mogle biti korisne za države članice; naglašava da bi ELA trebala moći prikupljati podatke povezane sa situacijom mobilnih radnika, uključujući državljane trećih zemalja, te im pristupiti, u skladu s primjenjivim pravilima EU-a o zaštiti podataka, te podupirati države članice u boljoj provedbi postojećeg zakonodavstva za državljane trećih zemalja koji rade na jedinstvenom tržištu; </w:t>
      </w:r>
      <w:r w:rsidRPr="00CA1E9E">
        <w:lastRenderedPageBreak/>
        <w:t>napominje da bi ELA mogla sudjelovati i u olakšavanju suradnje i razmjene informacija među državama članicama kako bi se za državljane trećih zemalja poboljšali pristup nadležnim tijelima za mobilnost radne snage i radni uvjeti;</w:t>
      </w:r>
    </w:p>
    <w:p w:rsidR="00F8515B" w:rsidRPr="00CA1E9E" w:rsidRDefault="00F8515B" w:rsidP="00F8515B">
      <w:pPr>
        <w:pStyle w:val="NormalHanging12a"/>
      </w:pPr>
      <w:r w:rsidRPr="00CA1E9E">
        <w:t>12.</w:t>
      </w:r>
      <w:r w:rsidRPr="00CA1E9E">
        <w:tab/>
        <w:t>žali zbog toga što Komisija nije poduzela daljnje korake u vezi s Rezolucijom Parlamenta od 25. studenoga 2021. o uvođenju europske iskaznice socijalne sigurnost radi poboljšanja digitalne primjene prava iz sustava socijalne sigurnosti i pravedne mobilnosti</w:t>
      </w:r>
      <w:r w:rsidRPr="00CA1E9E">
        <w:rPr>
          <w:rStyle w:val="FootnoteReference"/>
        </w:rPr>
        <w:footnoteReference w:id="7"/>
      </w:r>
      <w:r w:rsidRPr="00CA1E9E">
        <w:t xml:space="preserve"> ili u vezi sa svojim opetovanim pozivom na podnošenje zakonodavnog prijedloga o uvođenju europskog broja socijalnog osiguranja; stoga ponavlja svoj poziv Komisiji da bez odgode iznese takav prijedlog kako bi se ELA-i i nacionalnim tijelima olakšale provedbene aktivnosti te omogućila koordinacija sustava socijalne sigurnosti i zaštitila pravedna mobilnost radne snage;</w:t>
      </w:r>
    </w:p>
    <w:p w:rsidR="00F8515B" w:rsidRPr="00CA1E9E" w:rsidRDefault="00F8515B" w:rsidP="00F8515B">
      <w:pPr>
        <w:pStyle w:val="NormalHanging12a"/>
      </w:pPr>
      <w:r w:rsidRPr="00CA1E9E">
        <w:t>13.</w:t>
      </w:r>
      <w:r w:rsidRPr="00CA1E9E">
        <w:tab/>
        <w:t xml:space="preserve">ističe da na nacionalnoj razini nije uvijek lako utvrditi i suzbiti iskorištavanje i poslovne prakse koje uključuju prijevare i zlouporabu koje vrše međunarodni akteri; stoga je uvjeren da bi ELA mogla pružiti dodanu vrijednost operativnim analizama na razini EU-a kako bi se bolje utvrdili i razotkrili rizični sektori i nepoštene prakse uključenih subjekata te razmijenili primjeri najbolje prakse o tome kako suzbijati takve slučajeve; žali zbog toga što se postojećom Uredbom o ELA-i ne pruža dovoljna pravna osnova za provedbu analiza operativnog rizika ni bilo kakve daljnje postupke; podsjeća da bi svaka povreda i svako kršenje prava EU-a u području mobilnosti radne snage, trebalo podrazumijevati istrage i, prema potrebi, </w:t>
      </w:r>
      <w:proofErr w:type="spellStart"/>
      <w:r w:rsidRPr="00CA1E9E">
        <w:t>odvraćajuće</w:t>
      </w:r>
      <w:proofErr w:type="spellEnd"/>
      <w:r w:rsidRPr="00CA1E9E">
        <w:t xml:space="preserve"> sankcije;</w:t>
      </w:r>
    </w:p>
    <w:p w:rsidR="00F8515B" w:rsidRPr="00CA1E9E" w:rsidRDefault="00F8515B" w:rsidP="00F8515B">
      <w:pPr>
        <w:pStyle w:val="NormalHanging12a"/>
      </w:pPr>
      <w:r w:rsidRPr="00CA1E9E">
        <w:t>14.</w:t>
      </w:r>
      <w:r w:rsidRPr="00CA1E9E">
        <w:tab/>
        <w:t>poziva na donošenje jasne odredbe kojom bi se ELA-i omogućilo da obrađuje podatke povezane s istragama i operativnim analizama, u skladu s primjenjivim pravilima EU-a o zaštiti podataka; poziva na to da se ELA-i omogući pristup Informacijskom sustavu unutarnjeg tržišta i drugim relevantnim bazama podataka, pod uvjetom da se osigura povjerljivost podataka i da se poštuju temeljna prava svih ispitanika; naglašava da je ELA-i potreban pristup i svim nacionalnim podacima relevantnima za njezin rad, uključujući nalaze inspekcija i aktivnosti država članica u provedbi prava kako bi mogla pravovremeno i učinkovito obavljati svoje zadaće;</w:t>
      </w:r>
    </w:p>
    <w:p w:rsidR="00F8515B" w:rsidRPr="00CA1E9E" w:rsidRDefault="00F8515B" w:rsidP="00F8515B">
      <w:pPr>
        <w:pStyle w:val="NormalHanging12a"/>
      </w:pPr>
      <w:r w:rsidRPr="00CA1E9E">
        <w:t>15.</w:t>
      </w:r>
      <w:r w:rsidRPr="00CA1E9E">
        <w:tab/>
        <w:t>ističe važnu ulogu koju EURES može imati u rješavanju problema nedostatka radne snage i neusklađenosti vještina</w:t>
      </w:r>
      <w:r w:rsidRPr="00CA1E9E">
        <w:rPr>
          <w:rStyle w:val="FootnoteReference"/>
        </w:rPr>
        <w:footnoteReference w:id="8"/>
      </w:r>
      <w:r w:rsidRPr="00CA1E9E">
        <w:t xml:space="preserve"> širom EU-a, kao i u pružanju općih informacija o nacionalnim tržištima rada i sustavima socijalne sigurnosti te informacija o dostupnim radnim mjestima u stvarnom vremenu; naglašava važnost toga da portal EURES bude jednostavniji za korištenje mobilnim tražiteljima posla i potencijalnim poslodavcima;</w:t>
      </w:r>
    </w:p>
    <w:p w:rsidR="00F8515B" w:rsidRPr="00CA1E9E" w:rsidRDefault="00F8515B" w:rsidP="00F8515B">
      <w:pPr>
        <w:pStyle w:val="NormalHanging12a"/>
      </w:pPr>
      <w:r w:rsidRPr="00CA1E9E">
        <w:t>16.</w:t>
      </w:r>
      <w:r w:rsidRPr="00CA1E9E">
        <w:tab/>
        <w:t>poziva na bolju koordinaciju i suradnju među državama članicama, socijalnim partnerima i ELA-om u pružanju informacija o mobilnosti radne snage i pravima radnika radnicima i poslodavcima;</w:t>
      </w:r>
    </w:p>
    <w:p w:rsidR="00F8515B" w:rsidRPr="00CA1E9E" w:rsidRDefault="00F8515B" w:rsidP="00F8515B">
      <w:pPr>
        <w:pStyle w:val="NormalHanging12a"/>
      </w:pPr>
      <w:r w:rsidRPr="00CA1E9E">
        <w:t>17.</w:t>
      </w:r>
      <w:r w:rsidRPr="00CA1E9E">
        <w:tab/>
        <w:t>naglašava potrebu za učinkovitom suradnjom među agencijama EU-a kako bi se stvorile sinergije;</w:t>
      </w:r>
    </w:p>
    <w:p w:rsidR="00F8515B" w:rsidRPr="00CA1E9E" w:rsidRDefault="00F8515B" w:rsidP="00F8515B">
      <w:pPr>
        <w:pStyle w:val="NormalHanging12a"/>
      </w:pPr>
      <w:r w:rsidRPr="00CA1E9E">
        <w:t>18.</w:t>
      </w:r>
      <w:r w:rsidRPr="00CA1E9E">
        <w:tab/>
        <w:t xml:space="preserve">poziva na proširenu suradnju u području razmjene informacija s </w:t>
      </w:r>
      <w:proofErr w:type="spellStart"/>
      <w:r w:rsidRPr="00CA1E9E">
        <w:t>Europolom</w:t>
      </w:r>
      <w:proofErr w:type="spellEnd"/>
      <w:r w:rsidRPr="00CA1E9E">
        <w:t xml:space="preserve"> i </w:t>
      </w:r>
      <w:proofErr w:type="spellStart"/>
      <w:r w:rsidRPr="00CA1E9E">
        <w:t>Eurojustom</w:t>
      </w:r>
      <w:proofErr w:type="spellEnd"/>
      <w:r w:rsidRPr="00CA1E9E">
        <w:t xml:space="preserve"> u slučajevima kaznenih djela, posebno kad je riječ o organiziranom </w:t>
      </w:r>
      <w:r w:rsidRPr="00CA1E9E">
        <w:lastRenderedPageBreak/>
        <w:t>kriminalu, primjerice u građevinskom sektoru, te s Uredom europskog javnog tužitelja kad je riječ o europskim subvencijama;</w:t>
      </w:r>
    </w:p>
    <w:p w:rsidR="00F8515B" w:rsidRPr="00CA1E9E" w:rsidRDefault="00F8515B" w:rsidP="00F8515B">
      <w:pPr>
        <w:pStyle w:val="NormalHanging12a"/>
      </w:pPr>
      <w:r w:rsidRPr="00CA1E9E">
        <w:t>19.</w:t>
      </w:r>
      <w:r w:rsidRPr="00CA1E9E">
        <w:tab/>
        <w:t>naglašava da su ELA-i potrebna dostatna sredstva, uključujući vlastito osoblje, za izvršavanje njezinih zadaća, posebno inspekcija na terenu kako bi se otkrila kršenja radnog prava; napominje da velik udio upućenih nacionalnih stručnjaka u ELA-i znatno otežava njezino djelovanje u srednjoročnom i dugoročnom razdoblju; podsjeća da upućeni nacionalni stručnjaci imaju samo privremene zadaće, što može doprinijeti institucionalnoj nedosljednosti, ugroziti kontinuitet rada i dovesti do poteškoća u ispunjavanju temeljnih zadaća ELA-e; stoga poziva na prenamjenu dovoljnog broja radnih mjesta upućenih nacionalnih stručnjaka u stalna radna mjesta;</w:t>
      </w:r>
    </w:p>
    <w:p w:rsidR="00F8515B" w:rsidRPr="00CA1E9E" w:rsidRDefault="00F8515B" w:rsidP="00F8515B">
      <w:pPr>
        <w:pStyle w:val="NormalHanging12a"/>
      </w:pPr>
      <w:r w:rsidRPr="00CA1E9E">
        <w:t>20.</w:t>
      </w:r>
      <w:r w:rsidRPr="00CA1E9E">
        <w:tab/>
        <w:t>nalaže svojoj predsjednici da ovu Rezoluciju proslijedi Vijeću i Komisiji.</w:t>
      </w:r>
    </w:p>
    <w:p w:rsidR="00F8515B" w:rsidRPr="00CA1E9E" w:rsidRDefault="00F8515B" w:rsidP="00F8515B"/>
    <w:p w:rsidR="00E365E1" w:rsidRPr="00CA1E9E" w:rsidRDefault="00E365E1" w:rsidP="007D1AAB">
      <w:bookmarkStart w:id="8" w:name="TextBodyEnd"/>
      <w:bookmarkEnd w:id="8"/>
    </w:p>
    <w:sectPr w:rsidR="00E365E1" w:rsidRPr="00CA1E9E" w:rsidSect="00CA1E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AAB" w:rsidRPr="00CA1E9E" w:rsidRDefault="007D1AAB">
      <w:r w:rsidRPr="00CA1E9E">
        <w:separator/>
      </w:r>
    </w:p>
  </w:endnote>
  <w:endnote w:type="continuationSeparator" w:id="0">
    <w:p w:rsidR="007D1AAB" w:rsidRPr="00CA1E9E" w:rsidRDefault="007D1AAB">
      <w:r w:rsidRPr="00CA1E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1E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1E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1E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AAB" w:rsidRPr="00CA1E9E" w:rsidRDefault="007D1AAB">
      <w:r w:rsidRPr="00CA1E9E">
        <w:separator/>
      </w:r>
    </w:p>
  </w:footnote>
  <w:footnote w:type="continuationSeparator" w:id="0">
    <w:p w:rsidR="007D1AAB" w:rsidRPr="00CA1E9E" w:rsidRDefault="007D1AAB">
      <w:r w:rsidRPr="00CA1E9E">
        <w:continuationSeparator/>
      </w:r>
    </w:p>
  </w:footnote>
  <w:footnote w:id="1">
    <w:p w:rsidR="00F8515B" w:rsidRPr="00CA1E9E" w:rsidRDefault="00F8515B" w:rsidP="00CA1E9E">
      <w:pPr>
        <w:pStyle w:val="FootnoteText"/>
        <w:ind w:left="567" w:hanging="567"/>
        <w:rPr>
          <w:sz w:val="24"/>
          <w:lang w:val="hr-HR"/>
        </w:rPr>
      </w:pPr>
      <w:r w:rsidRPr="00CA1E9E">
        <w:rPr>
          <w:rStyle w:val="FootnoteReference"/>
          <w:sz w:val="24"/>
          <w:lang w:val="hr-HR"/>
        </w:rPr>
        <w:footnoteRef/>
      </w:r>
      <w:r w:rsidR="00CA1E9E" w:rsidRPr="00CA1E9E">
        <w:rPr>
          <w:sz w:val="24"/>
          <w:lang w:val="hr-HR"/>
        </w:rPr>
        <w:t xml:space="preserve"> </w:t>
      </w:r>
      <w:r w:rsidR="00CA1E9E" w:rsidRPr="00CA1E9E">
        <w:rPr>
          <w:sz w:val="24"/>
          <w:lang w:val="hr-HR"/>
        </w:rPr>
        <w:tab/>
      </w:r>
      <w:r w:rsidRPr="00CA1E9E">
        <w:rPr>
          <w:sz w:val="24"/>
          <w:lang w:val="hr-HR"/>
        </w:rPr>
        <w:t xml:space="preserve">SL C, C/2023/1072, 15.12.2023., ELI: </w:t>
      </w:r>
      <w:r w:rsidR="00B562F5">
        <w:fldChar w:fldCharType="begin"/>
      </w:r>
      <w:r w:rsidR="00B562F5" w:rsidRPr="00B562F5">
        <w:rPr>
          <w:lang w:val="fi-FI"/>
        </w:rPr>
        <w:instrText xml:space="preserve"> HYPERLINK "https://eur-lex.europa.eu/eli/C/2023/1072/oj?locale=hr" </w:instrText>
      </w:r>
      <w:r w:rsidR="00B562F5">
        <w:fldChar w:fldCharType="separate"/>
      </w:r>
      <w:r w:rsidR="008C4644" w:rsidRPr="006E1137">
        <w:rPr>
          <w:rStyle w:val="Hyperlink"/>
          <w:sz w:val="24"/>
          <w:lang w:val="hr-HR"/>
        </w:rPr>
        <w:t>https://eur-lex.europa.eu/eli/C/2023/1072/oj?locale=hr</w:t>
      </w:r>
      <w:r w:rsidR="00B562F5">
        <w:rPr>
          <w:rStyle w:val="Hyperlink"/>
          <w:sz w:val="24"/>
          <w:lang w:val="hr-HR"/>
        </w:rPr>
        <w:fldChar w:fldCharType="end"/>
      </w:r>
      <w:r w:rsidR="008C4644">
        <w:rPr>
          <w:sz w:val="24"/>
          <w:lang w:val="hr-HR"/>
        </w:rPr>
        <w:t xml:space="preserve"> </w:t>
      </w:r>
    </w:p>
  </w:footnote>
  <w:footnote w:id="2">
    <w:p w:rsidR="00F8515B" w:rsidRPr="00CA1E9E" w:rsidRDefault="00F8515B" w:rsidP="00CA1E9E">
      <w:pPr>
        <w:pStyle w:val="FootnoteText"/>
        <w:ind w:left="567" w:hanging="567"/>
        <w:rPr>
          <w:sz w:val="24"/>
          <w:lang w:val="hr-HR"/>
        </w:rPr>
      </w:pPr>
      <w:r w:rsidRPr="00CA1E9E">
        <w:rPr>
          <w:rStyle w:val="FootnoteReference"/>
          <w:sz w:val="24"/>
          <w:lang w:val="hr-HR"/>
        </w:rPr>
        <w:footnoteRef/>
      </w:r>
      <w:r w:rsidR="00CA1E9E" w:rsidRPr="00CA1E9E">
        <w:rPr>
          <w:sz w:val="24"/>
          <w:lang w:val="hr-HR"/>
        </w:rPr>
        <w:t xml:space="preserve"> </w:t>
      </w:r>
      <w:r w:rsidR="00CA1E9E" w:rsidRPr="00CA1E9E">
        <w:rPr>
          <w:sz w:val="24"/>
          <w:lang w:val="hr-HR"/>
        </w:rPr>
        <w:tab/>
      </w:r>
      <w:r w:rsidRPr="00CA1E9E">
        <w:rPr>
          <w:sz w:val="24"/>
          <w:lang w:val="hr-HR"/>
        </w:rPr>
        <w:t>SL C 482, 23.12.2016., str. 31.</w:t>
      </w:r>
    </w:p>
  </w:footnote>
  <w:footnote w:id="3">
    <w:p w:rsidR="00F8515B" w:rsidRPr="00CA1E9E" w:rsidRDefault="00F8515B" w:rsidP="00CA1E9E">
      <w:pPr>
        <w:pStyle w:val="FootnoteText"/>
        <w:ind w:left="567" w:hanging="567"/>
        <w:rPr>
          <w:sz w:val="24"/>
          <w:lang w:val="hr-HR"/>
        </w:rPr>
      </w:pPr>
      <w:r w:rsidRPr="00CA1E9E">
        <w:rPr>
          <w:rStyle w:val="FootnoteReference"/>
          <w:sz w:val="24"/>
          <w:lang w:val="hr-HR"/>
        </w:rPr>
        <w:footnoteRef/>
      </w:r>
      <w:r w:rsidR="00CA1E9E" w:rsidRPr="00CA1E9E">
        <w:rPr>
          <w:sz w:val="24"/>
          <w:lang w:val="hr-HR"/>
        </w:rPr>
        <w:t xml:space="preserve"> </w:t>
      </w:r>
      <w:r w:rsidR="00CA1E9E" w:rsidRPr="00CA1E9E">
        <w:rPr>
          <w:sz w:val="24"/>
          <w:lang w:val="hr-HR"/>
        </w:rPr>
        <w:tab/>
      </w:r>
      <w:r w:rsidRPr="00CA1E9E">
        <w:rPr>
          <w:sz w:val="24"/>
          <w:lang w:val="hr-HR"/>
        </w:rPr>
        <w:t>SL L 186, 11.7.2019., str. 21.</w:t>
      </w:r>
    </w:p>
  </w:footnote>
  <w:footnote w:id="4">
    <w:p w:rsidR="00F8515B" w:rsidRPr="00CA1E9E" w:rsidRDefault="00F8515B" w:rsidP="00CA1E9E">
      <w:pPr>
        <w:pStyle w:val="FootnoteText"/>
        <w:ind w:left="567" w:hanging="567"/>
        <w:rPr>
          <w:sz w:val="24"/>
          <w:lang w:val="hr-HR"/>
        </w:rPr>
      </w:pPr>
      <w:r w:rsidRPr="00CA1E9E">
        <w:rPr>
          <w:rStyle w:val="FootnoteReference"/>
          <w:sz w:val="24"/>
          <w:lang w:val="hr-HR"/>
        </w:rPr>
        <w:footnoteRef/>
      </w:r>
      <w:r w:rsidR="00CA1E9E" w:rsidRPr="00CA1E9E">
        <w:rPr>
          <w:sz w:val="24"/>
          <w:lang w:val="hr-HR"/>
        </w:rPr>
        <w:t xml:space="preserve"> </w:t>
      </w:r>
      <w:r w:rsidR="00CA1E9E" w:rsidRPr="00CA1E9E">
        <w:rPr>
          <w:sz w:val="24"/>
          <w:lang w:val="hr-HR"/>
        </w:rPr>
        <w:tab/>
      </w:r>
      <w:r w:rsidRPr="00CA1E9E">
        <w:rPr>
          <w:sz w:val="24"/>
          <w:lang w:val="hr-HR"/>
        </w:rPr>
        <w:t>SL C 362, 8.9.2021., str. 82.</w:t>
      </w:r>
    </w:p>
  </w:footnote>
  <w:footnote w:id="5">
    <w:p w:rsidR="00F8515B" w:rsidRPr="00CA1E9E" w:rsidRDefault="00F8515B" w:rsidP="00CA1E9E">
      <w:pPr>
        <w:pStyle w:val="FootnoteText"/>
        <w:ind w:left="567" w:hanging="567"/>
        <w:rPr>
          <w:sz w:val="24"/>
          <w:lang w:val="hr-HR"/>
        </w:rPr>
      </w:pPr>
      <w:r w:rsidRPr="00CA1E9E">
        <w:rPr>
          <w:rStyle w:val="FootnoteReference"/>
          <w:sz w:val="24"/>
          <w:lang w:val="hr-HR"/>
        </w:rPr>
        <w:footnoteRef/>
      </w:r>
      <w:r w:rsidR="00CA1E9E" w:rsidRPr="00CA1E9E">
        <w:rPr>
          <w:sz w:val="24"/>
          <w:lang w:val="hr-HR"/>
        </w:rPr>
        <w:t xml:space="preserve"> </w:t>
      </w:r>
      <w:r w:rsidR="00CA1E9E" w:rsidRPr="00CA1E9E">
        <w:rPr>
          <w:sz w:val="24"/>
          <w:lang w:val="hr-HR"/>
        </w:rPr>
        <w:tab/>
      </w:r>
      <w:r w:rsidRPr="00CA1E9E">
        <w:rPr>
          <w:sz w:val="24"/>
          <w:lang w:val="hr-HR"/>
        </w:rPr>
        <w:t>Europska komisija, „Godišnje izvješće o mobilnosti radne snage unutar EU-a za 2022.”, Glavna uprava za zapošljavanje, socijalna pitanja i uključivanje, 2022.</w:t>
      </w:r>
    </w:p>
  </w:footnote>
  <w:footnote w:id="6">
    <w:p w:rsidR="00F8515B" w:rsidRPr="00CA1E9E" w:rsidRDefault="00F8515B" w:rsidP="00CA1E9E">
      <w:pPr>
        <w:pStyle w:val="FootnoteText"/>
        <w:ind w:left="567" w:hanging="567"/>
        <w:rPr>
          <w:sz w:val="24"/>
          <w:lang w:val="hr-HR"/>
        </w:rPr>
      </w:pPr>
      <w:r w:rsidRPr="00CA1E9E">
        <w:rPr>
          <w:rStyle w:val="FootnoteReference"/>
          <w:sz w:val="24"/>
          <w:lang w:val="hr-HR"/>
        </w:rPr>
        <w:footnoteRef/>
      </w:r>
      <w:r w:rsidR="00CA1E9E" w:rsidRPr="00CA1E9E">
        <w:rPr>
          <w:sz w:val="24"/>
          <w:lang w:val="hr-HR"/>
        </w:rPr>
        <w:t xml:space="preserve"> </w:t>
      </w:r>
      <w:r w:rsidR="00CA1E9E" w:rsidRPr="00CA1E9E">
        <w:rPr>
          <w:sz w:val="24"/>
          <w:lang w:val="hr-HR"/>
        </w:rPr>
        <w:tab/>
      </w:r>
      <w:r w:rsidRPr="00CA1E9E">
        <w:rPr>
          <w:sz w:val="24"/>
          <w:lang w:val="hr-HR"/>
        </w:rPr>
        <w:t>Europska komisija, „Statistički podaci o migracijama u Europu”, svibanj 2023.</w:t>
      </w:r>
    </w:p>
  </w:footnote>
  <w:footnote w:id="7">
    <w:p w:rsidR="00F8515B" w:rsidRPr="00CA1E9E" w:rsidRDefault="00F8515B" w:rsidP="00CA1E9E">
      <w:pPr>
        <w:pStyle w:val="FootnoteText"/>
        <w:ind w:left="567" w:hanging="567"/>
        <w:rPr>
          <w:sz w:val="24"/>
          <w:lang w:val="hr-HR"/>
        </w:rPr>
      </w:pPr>
      <w:r w:rsidRPr="00CA1E9E">
        <w:rPr>
          <w:rStyle w:val="FootnoteReference"/>
          <w:sz w:val="24"/>
          <w:lang w:val="hr-HR"/>
        </w:rPr>
        <w:footnoteRef/>
      </w:r>
      <w:r w:rsidR="00CA1E9E" w:rsidRPr="00CA1E9E">
        <w:rPr>
          <w:sz w:val="24"/>
          <w:lang w:val="hr-HR"/>
        </w:rPr>
        <w:t xml:space="preserve"> </w:t>
      </w:r>
      <w:r w:rsidR="00CA1E9E" w:rsidRPr="00CA1E9E">
        <w:rPr>
          <w:sz w:val="24"/>
          <w:lang w:val="hr-HR"/>
        </w:rPr>
        <w:tab/>
      </w:r>
      <w:r w:rsidRPr="00CA1E9E">
        <w:rPr>
          <w:sz w:val="24"/>
          <w:lang w:val="hr-HR"/>
        </w:rPr>
        <w:t>SL C 224, 8.6.2022</w:t>
      </w:r>
      <w:r w:rsidR="008C4644">
        <w:rPr>
          <w:sz w:val="24"/>
          <w:lang w:val="hr-HR"/>
        </w:rPr>
        <w:t>.</w:t>
      </w:r>
      <w:r w:rsidRPr="00CA1E9E">
        <w:rPr>
          <w:sz w:val="24"/>
          <w:lang w:val="hr-HR"/>
        </w:rPr>
        <w:t>, str. 81.</w:t>
      </w:r>
    </w:p>
  </w:footnote>
  <w:footnote w:id="8">
    <w:p w:rsidR="00F8515B" w:rsidRPr="00CA1E9E" w:rsidRDefault="00F8515B" w:rsidP="00CA1E9E">
      <w:pPr>
        <w:pStyle w:val="FootnoteText"/>
        <w:ind w:left="567" w:hanging="567"/>
        <w:rPr>
          <w:sz w:val="24"/>
          <w:lang w:val="hr-HR"/>
        </w:rPr>
      </w:pPr>
      <w:r w:rsidRPr="00CA1E9E">
        <w:rPr>
          <w:rStyle w:val="FootnoteReference"/>
          <w:sz w:val="24"/>
          <w:lang w:val="hr-HR"/>
        </w:rPr>
        <w:footnoteRef/>
      </w:r>
      <w:r w:rsidR="00CA1E9E" w:rsidRPr="00CA1E9E">
        <w:rPr>
          <w:sz w:val="24"/>
          <w:lang w:val="hr-HR"/>
        </w:rPr>
        <w:t xml:space="preserve"> </w:t>
      </w:r>
      <w:r w:rsidR="00CA1E9E" w:rsidRPr="00CA1E9E">
        <w:rPr>
          <w:sz w:val="24"/>
          <w:lang w:val="hr-HR"/>
        </w:rPr>
        <w:tab/>
      </w:r>
      <w:r w:rsidRPr="00CA1E9E">
        <w:rPr>
          <w:sz w:val="24"/>
          <w:lang w:val="hr-HR"/>
        </w:rPr>
        <w:t>EURES, „</w:t>
      </w:r>
      <w:proofErr w:type="spellStart"/>
      <w:r w:rsidR="00B562F5">
        <w:fldChar w:fldCharType="begin"/>
      </w:r>
      <w:proofErr w:type="spellEnd"/>
      <w:r w:rsidR="00B562F5" w:rsidRPr="00B562F5">
        <w:rPr>
          <w:lang w:val="hr-HR"/>
        </w:rPr>
        <w:instrText xml:space="preserve"> HYPERLINK "https://www.ela.europa.eu/sites/default/files/2023-09/ELA-eures-shortages-surpluses-report-2022.pdf" </w:instrText>
      </w:r>
      <w:proofErr w:type="spellStart"/>
      <w:r w:rsidR="00B562F5">
        <w:fldChar w:fldCharType="separate"/>
      </w:r>
      <w:r w:rsidRPr="00CA1E9E">
        <w:rPr>
          <w:rStyle w:val="Hyperlink"/>
          <w:sz w:val="24"/>
          <w:lang w:val="hr-HR"/>
        </w:rPr>
        <w:t>Report</w:t>
      </w:r>
      <w:proofErr w:type="spellEnd"/>
      <w:r w:rsidRPr="00CA1E9E">
        <w:rPr>
          <w:rStyle w:val="Hyperlink"/>
          <w:sz w:val="24"/>
          <w:lang w:val="hr-HR"/>
        </w:rPr>
        <w:t xml:space="preserve"> on </w:t>
      </w:r>
      <w:proofErr w:type="spellStart"/>
      <w:r w:rsidRPr="00CA1E9E">
        <w:rPr>
          <w:rStyle w:val="Hyperlink"/>
          <w:sz w:val="24"/>
          <w:lang w:val="hr-HR"/>
        </w:rPr>
        <w:t>labour</w:t>
      </w:r>
      <w:proofErr w:type="spellEnd"/>
      <w:r w:rsidRPr="00CA1E9E">
        <w:rPr>
          <w:rStyle w:val="Hyperlink"/>
          <w:sz w:val="24"/>
          <w:lang w:val="hr-HR"/>
        </w:rPr>
        <w:t xml:space="preserve"> </w:t>
      </w:r>
      <w:proofErr w:type="spellStart"/>
      <w:r w:rsidRPr="00CA1E9E">
        <w:rPr>
          <w:rStyle w:val="Hyperlink"/>
          <w:sz w:val="24"/>
          <w:lang w:val="hr-HR"/>
        </w:rPr>
        <w:t>shortages</w:t>
      </w:r>
      <w:proofErr w:type="spellEnd"/>
      <w:r w:rsidRPr="00CA1E9E">
        <w:rPr>
          <w:rStyle w:val="Hyperlink"/>
          <w:sz w:val="24"/>
          <w:lang w:val="hr-HR"/>
        </w:rPr>
        <w:t xml:space="preserve"> </w:t>
      </w:r>
      <w:proofErr w:type="spellStart"/>
      <w:r w:rsidRPr="00CA1E9E">
        <w:rPr>
          <w:rStyle w:val="Hyperlink"/>
          <w:sz w:val="24"/>
          <w:lang w:val="hr-HR"/>
        </w:rPr>
        <w:t>and</w:t>
      </w:r>
      <w:proofErr w:type="spellEnd"/>
      <w:r w:rsidRPr="00CA1E9E">
        <w:rPr>
          <w:rStyle w:val="Hyperlink"/>
          <w:sz w:val="24"/>
          <w:lang w:val="hr-HR"/>
        </w:rPr>
        <w:t xml:space="preserve"> </w:t>
      </w:r>
      <w:proofErr w:type="spellStart"/>
      <w:r w:rsidRPr="00CA1E9E">
        <w:rPr>
          <w:rStyle w:val="Hyperlink"/>
          <w:sz w:val="24"/>
          <w:lang w:val="hr-HR"/>
        </w:rPr>
        <w:t>surpluses</w:t>
      </w:r>
      <w:proofErr w:type="spellEnd"/>
      <w:r w:rsidRPr="00CA1E9E">
        <w:rPr>
          <w:rStyle w:val="Hyperlink"/>
          <w:sz w:val="24"/>
          <w:lang w:val="hr-HR"/>
        </w:rPr>
        <w:t xml:space="preserve"> – 2022</w:t>
      </w:r>
      <w:r w:rsidR="00B562F5">
        <w:rPr>
          <w:rStyle w:val="Hyperlink"/>
          <w:sz w:val="24"/>
          <w:lang w:val="hr-HR"/>
        </w:rPr>
        <w:fldChar w:fldCharType="end"/>
      </w:r>
      <w:r w:rsidRPr="00CA1E9E">
        <w:rPr>
          <w:sz w:val="24"/>
          <w:lang w:val="hr-HR"/>
        </w:rPr>
        <w:t>” (Izvješće o nedostatku i višku radne snage – 2022.), Ured za publikacije Europske unije, Luxembourg,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1E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1E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1E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59/2024"/>
    <w:docVar w:name="dvlangue" w:val="HR"/>
    <w:docVar w:name="dvnumam" w:val="0"/>
    <w:docVar w:name="dvpe" w:val="753.637"/>
    <w:docVar w:name="dvtitre" w:val="Rezolucija Europskog parlamenta od .... 2024. o reviziji mandata Europskog nadzornog tijela za rad(2023/2866(RSP))"/>
  </w:docVars>
  <w:rsids>
    <w:rsidRoot w:val="007D1AA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AAB"/>
    <w:rsid w:val="007E22AD"/>
    <w:rsid w:val="00817416"/>
    <w:rsid w:val="00842779"/>
    <w:rsid w:val="00865F67"/>
    <w:rsid w:val="00881A7B"/>
    <w:rsid w:val="008840E5"/>
    <w:rsid w:val="00887B3E"/>
    <w:rsid w:val="008C2AC6"/>
    <w:rsid w:val="008C4644"/>
    <w:rsid w:val="00930C23"/>
    <w:rsid w:val="0093193B"/>
    <w:rsid w:val="009509D8"/>
    <w:rsid w:val="00950B64"/>
    <w:rsid w:val="00981893"/>
    <w:rsid w:val="00A1687D"/>
    <w:rsid w:val="00A35FB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2F5"/>
    <w:rsid w:val="00BD48FE"/>
    <w:rsid w:val="00BD7BD8"/>
    <w:rsid w:val="00BE6ADC"/>
    <w:rsid w:val="00C05BFE"/>
    <w:rsid w:val="00C23CD4"/>
    <w:rsid w:val="00C61C0C"/>
    <w:rsid w:val="00C941CB"/>
    <w:rsid w:val="00CA1E9E"/>
    <w:rsid w:val="00CC2357"/>
    <w:rsid w:val="00CF071A"/>
    <w:rsid w:val="00D058B8"/>
    <w:rsid w:val="00D56C11"/>
    <w:rsid w:val="00D834A0"/>
    <w:rsid w:val="00D872DF"/>
    <w:rsid w:val="00D91E21"/>
    <w:rsid w:val="00DA7FCD"/>
    <w:rsid w:val="00DB7C4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15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DE82A"/>
  <w15:chartTrackingRefBased/>
  <w15:docId w15:val="{56580AC4-DF22-4093-AB2D-C0B47A97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515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F8515B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F8515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F8515B"/>
    <w:rPr>
      <w:sz w:val="24"/>
      <w:lang w:val="hr-HR"/>
    </w:rPr>
  </w:style>
  <w:style w:type="character" w:styleId="FollowedHyperlink">
    <w:name w:val="FollowedHyperlink"/>
    <w:basedOn w:val="DefaultParagraphFont"/>
    <w:rsid w:val="00DB7C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99AC5-BAA0-447A-96F0-D4E10447E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3177</Words>
  <Characters>19257</Characters>
  <Application>Microsoft Office Word</Application>
  <DocSecurity>0</DocSecurity>
  <Lines>160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2024-05-27T12:47:00Z</dcterms:created>
  <dcterms:modified xsi:type="dcterms:W3CDTF">2024-05-27T12:47:00Z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P9_TA(2024)0052_</vt:lpwstr>
  </property>
  <property fmtid="{D5CDD505-2E9C-101B-9397-08002B2CF9AE}" pid="4" name="&lt;Type&gt;">
    <vt:lpwstr>RR</vt:lpwstr>
  </property>
</Properties>
</file>