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56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5661" w:rsidRDefault="00E64300" w:rsidP="0010095E">
            <w:pPr>
              <w:pStyle w:val="EPName"/>
            </w:pPr>
            <w:r w:rsidRPr="000D5661">
              <w:t>Parlament Europejski</w:t>
            </w:r>
          </w:p>
          <w:p w:rsidR="00751A4A" w:rsidRPr="000D56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566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D5661" w:rsidRDefault="00187494" w:rsidP="0010095E">
            <w:pPr>
              <w:pStyle w:val="EPLogo"/>
            </w:pPr>
            <w:r w:rsidRPr="000D56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5661" w:rsidRDefault="00D058B8" w:rsidP="004C5D52">
      <w:pPr>
        <w:pStyle w:val="LineTop"/>
      </w:pPr>
    </w:p>
    <w:p w:rsidR="00680577" w:rsidRPr="000D5661" w:rsidRDefault="00E64300" w:rsidP="00680577">
      <w:pPr>
        <w:pStyle w:val="EPBodyTA1"/>
      </w:pPr>
      <w:r w:rsidRPr="000D5661">
        <w:t>TEKSTY PRZYJĘTE</w:t>
      </w:r>
    </w:p>
    <w:p w:rsidR="00D058B8" w:rsidRPr="000D5661" w:rsidRDefault="00D058B8" w:rsidP="00D058B8">
      <w:pPr>
        <w:pStyle w:val="LineBottom"/>
      </w:pPr>
    </w:p>
    <w:p w:rsidR="00E64300" w:rsidRPr="000D5661" w:rsidRDefault="00E64300" w:rsidP="00E64300">
      <w:pPr>
        <w:pStyle w:val="ATHeading1"/>
      </w:pPr>
      <w:bookmarkStart w:id="0" w:name="TANumber"/>
      <w:r w:rsidRPr="000D5661">
        <w:t>P9_TA(2024)00</w:t>
      </w:r>
      <w:bookmarkEnd w:id="0"/>
      <w:r w:rsidR="0025094A">
        <w:t>52</w:t>
      </w:r>
      <w:bookmarkStart w:id="1" w:name="_GoBack"/>
      <w:bookmarkEnd w:id="1"/>
    </w:p>
    <w:p w:rsidR="00E64300" w:rsidRPr="000D5661" w:rsidRDefault="00E64300" w:rsidP="00E64300">
      <w:pPr>
        <w:pStyle w:val="ATHeading2"/>
      </w:pPr>
      <w:bookmarkStart w:id="2" w:name="title"/>
      <w:r w:rsidRPr="000D5661">
        <w:t>Przegląd mandatu Europejskiego Urzędu ds. Pracy</w:t>
      </w:r>
      <w:bookmarkEnd w:id="2"/>
    </w:p>
    <w:p w:rsidR="00E64300" w:rsidRPr="000D5661" w:rsidRDefault="00E64300" w:rsidP="00E64300">
      <w:pPr>
        <w:rPr>
          <w:i/>
          <w:vanish/>
        </w:rPr>
      </w:pPr>
      <w:r w:rsidRPr="000D5661">
        <w:rPr>
          <w:i/>
        </w:rPr>
        <w:fldChar w:fldCharType="begin"/>
      </w:r>
      <w:r w:rsidRPr="000D5661">
        <w:rPr>
          <w:i/>
        </w:rPr>
        <w:instrText xml:space="preserve"> TC"(</w:instrText>
      </w:r>
      <w:bookmarkStart w:id="3" w:name="DocNumber"/>
      <w:r w:rsidRPr="000D5661">
        <w:rPr>
          <w:i/>
        </w:rPr>
        <w:instrText>B</w:instrText>
      </w:r>
      <w:proofErr w:type="gramStart"/>
      <w:r w:rsidRPr="000D5661">
        <w:rPr>
          <w:i/>
        </w:rPr>
        <w:instrText>9-0059/2024</w:instrText>
      </w:r>
      <w:bookmarkEnd w:id="3"/>
      <w:r w:rsidRPr="000D5661">
        <w:rPr>
          <w:i/>
        </w:rPr>
        <w:instrText>)"\l</w:instrText>
      </w:r>
      <w:proofErr w:type="gramEnd"/>
      <w:r w:rsidRPr="000D5661">
        <w:rPr>
          <w:i/>
        </w:rPr>
        <w:instrText xml:space="preserve">3 \n&gt; \* MERGEFORMAT </w:instrText>
      </w:r>
      <w:r w:rsidRPr="000D5661">
        <w:rPr>
          <w:i/>
        </w:rPr>
        <w:fldChar w:fldCharType="end"/>
      </w:r>
    </w:p>
    <w:p w:rsidR="00E64300" w:rsidRPr="000D5661" w:rsidRDefault="00E64300" w:rsidP="00E64300">
      <w:pPr>
        <w:rPr>
          <w:vanish/>
        </w:rPr>
      </w:pPr>
      <w:bookmarkStart w:id="4" w:name="PE"/>
      <w:r w:rsidRPr="000D5661">
        <w:rPr>
          <w:vanish/>
        </w:rPr>
        <w:t>PE753.637</w:t>
      </w:r>
      <w:bookmarkEnd w:id="4"/>
    </w:p>
    <w:p w:rsidR="00E64300" w:rsidRPr="000D5661" w:rsidRDefault="00E64300" w:rsidP="00E64300">
      <w:pPr>
        <w:pStyle w:val="ATHeading3"/>
      </w:pPr>
      <w:bookmarkStart w:id="5" w:name="Sujet"/>
      <w:r w:rsidRPr="000D5661">
        <w:t xml:space="preserve">Rezolucja Parlamentu Europejskiego z dnia </w:t>
      </w:r>
      <w:r w:rsidR="003530E2">
        <w:t>18 stycznia</w:t>
      </w:r>
      <w:r w:rsidRPr="000D5661">
        <w:t xml:space="preserve"> 2024 r. w sprawie zmiany zakresu kompetencji Europejskiego Urzędu ds. Pracy</w:t>
      </w:r>
      <w:bookmarkEnd w:id="5"/>
      <w:r w:rsidRPr="000D5661">
        <w:t xml:space="preserve"> </w:t>
      </w:r>
      <w:bookmarkStart w:id="6" w:name="References"/>
      <w:r w:rsidRPr="000D5661">
        <w:t>(2023/2866(RSP))</w:t>
      </w:r>
      <w:bookmarkEnd w:id="6"/>
    </w:p>
    <w:p w:rsidR="005036AE" w:rsidRPr="000D5661" w:rsidRDefault="005036AE" w:rsidP="005036AE">
      <w:pPr>
        <w:pStyle w:val="EPComma"/>
      </w:pPr>
      <w:bookmarkStart w:id="7" w:name="TextBodyBegin"/>
      <w:bookmarkEnd w:id="7"/>
      <w:r w:rsidRPr="000D5661">
        <w:rPr>
          <w:i/>
        </w:rPr>
        <w:t>Parlament Europejski</w:t>
      </w:r>
      <w:r w:rsidRPr="000D5661">
        <w:t>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>uwzględniając Europejski filar praw socjalnych uroczyście proklamowany przez Parlament, Radę i Komisję 17 listopada 2017 r.,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>uwzględniając komunikat Komisji z 4 marca 2021 r. zatytułowany „Plan działania na rzecz Europejskiego filaru praw socjalnych” (COM(2021)0102),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>uwzględniając deklarację z Porto przyjętą przez Radę Europejską 8 maja 2021 r.,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>uwzględniając swoją rezolucję z 11 maja 2023 r. w sprawie planu działania na rzecz Europy socjalnej – dwa lata po szczycie w Porto</w:t>
      </w:r>
      <w:r w:rsidRPr="000D5661">
        <w:rPr>
          <w:rStyle w:val="FootnoteReference"/>
        </w:rPr>
        <w:footnoteReference w:id="1"/>
      </w:r>
      <w:r w:rsidRPr="000D5661">
        <w:t>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 xml:space="preserve">uwzględniając swoją rezolucję z 14 stycznia 2014 r. w sprawie skutecznych inspekcji </w:t>
      </w:r>
      <w:proofErr w:type="gramStart"/>
      <w:r w:rsidRPr="000D5661">
        <w:t>pracy</w:t>
      </w:r>
      <w:proofErr w:type="gramEnd"/>
      <w:r w:rsidRPr="000D5661">
        <w:t xml:space="preserve"> jako strategii poprawy warunków pracy w Europie</w:t>
      </w:r>
      <w:r w:rsidRPr="000D5661">
        <w:rPr>
          <w:rStyle w:val="FootnoteReference"/>
        </w:rPr>
        <w:footnoteReference w:id="2"/>
      </w:r>
      <w:r w:rsidRPr="000D5661">
        <w:t>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>uwzględniając rozporządzenie Parlamentu Europejskiego i Rady (UE) 2019/1149 z dnia 20 czerwca 2019 r. ustanawiające Europejski Urząd ds. Pracy, zmieniające rozporządzenia (WE) nr 883/2004, (UE) nr 492/2011 i (UE) 2016/589 oraz uchylające decyzję (UE) 2016/344</w:t>
      </w:r>
      <w:r w:rsidRPr="000D5661">
        <w:rPr>
          <w:rStyle w:val="FootnoteReference"/>
        </w:rPr>
        <w:footnoteReference w:id="3"/>
      </w:r>
      <w:r w:rsidRPr="000D5661">
        <w:t>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>uwzględniając wniosek Komisji z 13 marca 2018 r. dotyczący rozporządzenia Parlamentu Europejskiego i Rady ustanawiającego Europejski Urząd ds. Pracy (COM</w:t>
      </w:r>
      <w:proofErr w:type="gramStart"/>
      <w:r w:rsidRPr="000D5661">
        <w:t>(2018)0131) oraz</w:t>
      </w:r>
      <w:proofErr w:type="gramEnd"/>
      <w:r w:rsidRPr="000D5661">
        <w:t xml:space="preserve"> towarzyszącą mu ocenę skutków (SWD(2018)0068),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>uwzględniając skonsolidowane roczne sprawozdania z działalności Europejskiego Urzędu ds. Pracy za lata 2019, 2020, 2021 i 2022,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 xml:space="preserve">uwzględniając swoją rezolucję z 19 czerwca 2020 r. w sprawie sytuacji w strefie </w:t>
      </w:r>
      <w:proofErr w:type="spellStart"/>
      <w:r w:rsidRPr="000D5661">
        <w:lastRenderedPageBreak/>
        <w:t>Schengen</w:t>
      </w:r>
      <w:proofErr w:type="spellEnd"/>
      <w:r w:rsidRPr="000D5661">
        <w:t xml:space="preserve"> w kontekście pandemii COVID-19</w:t>
      </w:r>
      <w:r w:rsidRPr="000D5661">
        <w:rPr>
          <w:rStyle w:val="FootnoteReference"/>
        </w:rPr>
        <w:footnoteReference w:id="4"/>
      </w:r>
      <w:r w:rsidRPr="000D5661">
        <w:t>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>uwzględniając art. 45 ust. 2 Traktatu o funkcjonowaniu Unii Europejskiej, który stanowi, że swobodny przepływ pracowników obejmuje zniesienie wszelkiej dyskryminacji ze względu na przynależność państwową między pracownikami państw członkowskich w zakresie zatrudnienia, wynagrodzenia i innych warunków pracy,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>uwzględniając art. 132 ust. 2 Regulaminu,</w:t>
      </w:r>
    </w:p>
    <w:p w:rsidR="005036AE" w:rsidRPr="000D5661" w:rsidRDefault="005036AE" w:rsidP="005036AE">
      <w:pPr>
        <w:pStyle w:val="NormalHanging12a"/>
      </w:pPr>
      <w:r w:rsidRPr="000D5661">
        <w:t>–</w:t>
      </w:r>
      <w:r w:rsidRPr="000D5661">
        <w:tab/>
        <w:t xml:space="preserve">uwzględniając projekt rezolucji Komisji Zatrudnienia i Spraw Socjalnych, </w:t>
      </w:r>
    </w:p>
    <w:p w:rsidR="005036AE" w:rsidRPr="000D5661" w:rsidRDefault="005036AE" w:rsidP="005036AE">
      <w:pPr>
        <w:pStyle w:val="NormalHanging12a"/>
      </w:pPr>
      <w:r w:rsidRPr="000D5661">
        <w:t>A.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w 2021 r. około 10 mln obywateli UE w wieku produkcyjnym mieszkało w innym państwie członkowskim</w:t>
      </w:r>
      <w:r w:rsidRPr="000D5661">
        <w:rPr>
          <w:rStyle w:val="FootnoteReference"/>
        </w:rPr>
        <w:footnoteReference w:id="5"/>
      </w:r>
      <w:r w:rsidRPr="000D5661">
        <w:t>; mając na uwadze, że liczba obywateli państw trzecich mieszkających i pracujących w UE wzrosła w ostatnich latach; mając na uwadze, że w 2022 r. na unijnym rynku pracy zatrudnionych było 9,93 mln obywateli państw trzecich, co odpowiada 5,1 % całkowitej liczby ludności w wieku produkcyjnym</w:t>
      </w:r>
      <w:r w:rsidRPr="000D5661">
        <w:rPr>
          <w:rStyle w:val="FootnoteReference"/>
        </w:rPr>
        <w:footnoteReference w:id="6"/>
      </w:r>
      <w:r w:rsidRPr="000D5661">
        <w:t>; mając na uwadze, że pracownicy z państw trzecich nie są jeszcze objęci zakresem działania Europejskiego Urzędu ds. Pracy, chociaż ich problemy związane z mobilnością pracowników i warunkami pracy są często podobne do problemów pracowników z UE;</w:t>
      </w:r>
    </w:p>
    <w:p w:rsidR="005036AE" w:rsidRPr="000D5661" w:rsidRDefault="005036AE" w:rsidP="005036AE">
      <w:pPr>
        <w:pStyle w:val="NormalHanging12a"/>
      </w:pPr>
      <w:r w:rsidRPr="000D5661">
        <w:t>B.</w:t>
      </w:r>
      <w:r w:rsidRPr="000D5661">
        <w:tab/>
        <w:t>mając na uwadze, że swobodny przepływ pracowników i swoboda świadczenia usług to dwie z czterech podstawowych swobód UE; mając na uwadze, że swobody te mają zasadnicze znaczenie dla prawidłowego funkcjonowania jednolitego rynku; mając na uwadze, że należą one do głównych osiągnięć integracji UE;</w:t>
      </w:r>
    </w:p>
    <w:p w:rsidR="005036AE" w:rsidRPr="000D5661" w:rsidRDefault="005036AE" w:rsidP="005036AE">
      <w:pPr>
        <w:pStyle w:val="NormalHanging12a"/>
      </w:pPr>
      <w:r w:rsidRPr="000D5661">
        <w:t>C.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mobilność pracowników może być utrudniona z powodu niewystarczającej koordynacji systemów zabezpieczenia społecznego w państwach członkowskich; mając na uwadze, że kwestie dotyczące przenoszenia praw i uprawnień związanych z zabezpieczeniem społecznym mogą zniechęcać pracowników do podejmowania pracy w innym państwie członkowskim;</w:t>
      </w:r>
    </w:p>
    <w:p w:rsidR="005036AE" w:rsidRPr="000D5661" w:rsidRDefault="005036AE" w:rsidP="005036AE">
      <w:pPr>
        <w:pStyle w:val="NormalHanging12a"/>
      </w:pPr>
      <w:r w:rsidRPr="000D5661">
        <w:t>D.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Parlament wielokrotnie wzywał do utworzenia </w:t>
      </w:r>
      <w:proofErr w:type="spellStart"/>
      <w:r w:rsidRPr="000D5661">
        <w:t>ogólnounijnego</w:t>
      </w:r>
      <w:proofErr w:type="spellEnd"/>
      <w:r w:rsidRPr="000D5661">
        <w:t xml:space="preserve"> numeru zabezpieczenia społecznego, aby umożliwić łatwą identyfikację pracowników, ich statusu zatrudnienia oraz ich praw do zabezpieczenia społecznego;</w:t>
      </w:r>
    </w:p>
    <w:p w:rsidR="005036AE" w:rsidRPr="000D5661" w:rsidRDefault="005036AE" w:rsidP="005036AE">
      <w:pPr>
        <w:pStyle w:val="NormalHanging12a"/>
      </w:pPr>
      <w:r w:rsidRPr="000D5661">
        <w:t>E.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mobilność pracowników pobudza wzrost gospodarczy i przynosi korzyści całej UE, równoważąc podaż na pracę i popyt na nią; mając na uwadze, że mobilność pracowników może również prowadzić do złych warunków pracy i wyzysku pracowników mobilnych poprzez nadużywanie i obchodzenie obowiązujących przepisów lub brak informacji o przysługujących im prawach i obowiązujących układach zbiorowych;</w:t>
      </w:r>
    </w:p>
    <w:p w:rsidR="005036AE" w:rsidRPr="000D5661" w:rsidRDefault="005036AE" w:rsidP="005036AE">
      <w:pPr>
        <w:pStyle w:val="NormalHanging12a"/>
      </w:pPr>
      <w:r w:rsidRPr="000D5661">
        <w:t>F.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zapewnienie sprawiedliwej mobilności i uczciwej konkurencji w oparciu o niedyskryminację i zasadę równej płacy za taką samą pracę pozostaje </w:t>
      </w:r>
      <w:r w:rsidRPr="000D5661">
        <w:lastRenderedPageBreak/>
        <w:t xml:space="preserve">wyzwaniem ze względu na 27 różnych systemów rynku pracy z krajowymi przepisami i praktykami; mając na uwadze, że prawodawstwo Unii dotyczące praw pracowniczych i socjalnych pracowników musi być należycie wdrażane i egzekwowane we wszystkich państwach członkowskich, a także w sytuacjach transgranicznych; mając na uwadze, że Europejski Urząd ds. Pracy powinien również zachęcać do stosowania innowacyjnych podejść do skutecznej współpracy transgranicznej oraz do gromadzenia, analizy i wymiany informacji; mając na uwadze, że brakuje wystarczających usług wsparcia dla pracowników mobilnych, </w:t>
      </w:r>
      <w:proofErr w:type="gramStart"/>
      <w:r w:rsidRPr="000D5661">
        <w:t>w</w:t>
      </w:r>
      <w:proofErr w:type="gramEnd"/>
      <w:r w:rsidRPr="000D5661">
        <w:t xml:space="preserve"> szczególności dla obywateli państw trzecich, takich jak doradztwo prawne, społeczne i psychologiczne;</w:t>
      </w:r>
    </w:p>
    <w:p w:rsidR="005036AE" w:rsidRPr="000D5661" w:rsidRDefault="005036AE" w:rsidP="005036AE">
      <w:pPr>
        <w:pStyle w:val="NormalHanging12a"/>
      </w:pPr>
      <w:r w:rsidRPr="000D5661">
        <w:t>G.</w:t>
      </w:r>
      <w:r w:rsidRPr="000D5661">
        <w:tab/>
        <w:t>mając na uwadze, że w Europejskim filarze praw socjalnych, proklamowanym w Göteborgu w 2017 r., określono 20 zasad i ustanowiono zbiór przepisów socjalnych na rzecz silnej, socjalnej Europy, która jest sprawiedliwa i sprzyja włączeniu społecznemu; mając na uwadze, że równe prawa i szanse, dostęp do rynku pracy, sprawiedliwe warunki pracy, ochrona socjalna, włączenie społeczne i autonomia partnerów stanowią fundamenty Unii zakorzenione w traktatach;</w:t>
      </w:r>
    </w:p>
    <w:p w:rsidR="005036AE" w:rsidRPr="000D5661" w:rsidRDefault="005036AE" w:rsidP="005036AE">
      <w:pPr>
        <w:pStyle w:val="NormalHanging12a"/>
      </w:pPr>
      <w:r w:rsidRPr="000D5661">
        <w:t>H.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krajowe organy egzekwowania prawa, takie jak inspektoraty pracy i zabezpieczenia społecznego, oraz partnerzy społeczni zaangażowani w inspekcje pracy i zabezpieczenia społecznego nie zawsze dysponują niezbędnymi zasobami, a zatem mogą mieć trudności ze skutecznym egzekwowaniem prawa krajowego i unijnego, zwłaszcza w sytuacjach transgranicznych; mając na uwadze, że skuteczne egzekwowanie przepisów wymaga wystarczających zasobów, a także zorganizowanej współpracy i regularnej oraz bezpiecznej wymiany informacji między państwami członkowskimi i wszystkimi zainteresowanymi stronami;</w:t>
      </w:r>
    </w:p>
    <w:p w:rsidR="005036AE" w:rsidRPr="000D5661" w:rsidRDefault="005036AE" w:rsidP="005036AE">
      <w:pPr>
        <w:pStyle w:val="NormalHanging12a"/>
      </w:pPr>
      <w:r w:rsidRPr="000D5661">
        <w:t>I.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Europejski Urząd ds. Pracy ustanowiono w celu ułatwienia współpracy transgranicznej w zakresie skutecznego egzekwowania prawa pracy, w tym wspólnych i uzgodnionych inspekcji, oraz wymiany informacji między państwami członkowskimi na temat kwestii związanych z mobilnością pracowników, w celu wspierania sprawiedliwych i dobrze funkcjonujących rynków pracy i systemów opieki społecznej, ochrony pracowników i zapewnienia uczciwej konkurencji na jednolitym rynku;</w:t>
      </w:r>
    </w:p>
    <w:p w:rsidR="005036AE" w:rsidRPr="000D5661" w:rsidRDefault="005036AE" w:rsidP="005036AE">
      <w:pPr>
        <w:pStyle w:val="NormalHanging12a"/>
      </w:pPr>
      <w:r w:rsidRPr="000D5661">
        <w:t>J.</w:t>
      </w:r>
      <w:r w:rsidRPr="000D5661">
        <w:tab/>
        <w:t>mając na uwadze, że państwa członkowskie powinny udzielać wsparcia, informacji i porad pracownikom i pracodawcom; mając na uwadze, że ani Europejski Urząd ds. Pracy, ani zaangażowane związki zawodowe nie mają wystarczających zasobów, aby pełnić rolę punktu informacyjnego dla osób fizycznych;</w:t>
      </w:r>
    </w:p>
    <w:p w:rsidR="005036AE" w:rsidRPr="000D5661" w:rsidRDefault="005036AE" w:rsidP="005036AE">
      <w:pPr>
        <w:pStyle w:val="NormalHanging12a"/>
      </w:pPr>
      <w:r w:rsidRPr="000D5661">
        <w:t>K.</w:t>
      </w:r>
      <w:r w:rsidRPr="000D5661">
        <w:tab/>
        <w:t xml:space="preserve">mając na uwadze, że na podstawie rozporządzenia ustanawiającego Europejski Urząd ds. Pracy musi przyczyniać się do zapewnienia sprawiedliwej mobilności pracowników w całej Unii oraz wspierać państwa członkowskie i Komisję w koordynacji systemów zabezpieczenia społecznego w Unii; mając na uwadze, że Europejski Urząd ds. Pracy wykonuje szereg zadań w tym zakresie, w tym ułatwianie osobom fizycznym, pracodawcom i partnerom społecznym dostępu do informacji na temat mobilności pracowników, wspieranie państw członkowskich w promowaniu transgranicznego kojarzenia ofert pracy z poszukującymi zatrudnienia i koordynowanie Europejskich Służb Zatrudnienia (EURES), ułatwianie współpracy i wymiany informacji między państwami członkowskimi, koordynowanie i wspieranie uzgodnionych i wspólnych inspekcji, </w:t>
      </w:r>
      <w:proofErr w:type="gramStart"/>
      <w:r w:rsidRPr="000D5661">
        <w:t>przeprowadzanie</w:t>
      </w:r>
      <w:proofErr w:type="gramEnd"/>
      <w:r w:rsidRPr="000D5661">
        <w:t xml:space="preserve"> analiz i ocen ryzyka w kwestiach związanych z transgraniczną mobilnością pracowników, wspieranie państw członkowskich w </w:t>
      </w:r>
      <w:r w:rsidRPr="000D5661">
        <w:lastRenderedPageBreak/>
        <w:t>budowaniu zdolności w dziedzinie mobilności pracowników i przeciwdziałania pracy nierejestrowanej oraz mediacja w sporach między państwami członkowskimi dotyczących stosowania odpowiednich przepisów UE;</w:t>
      </w:r>
    </w:p>
    <w:p w:rsidR="005036AE" w:rsidRPr="000D5661" w:rsidRDefault="005036AE" w:rsidP="005036AE">
      <w:pPr>
        <w:pStyle w:val="NormalHanging12a"/>
      </w:pPr>
      <w:r w:rsidRPr="000D5661">
        <w:t>L.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Europejski Urząd ds. Pracy nie osiągnął jeszcze swojego pełnego potencjału operacyjnego; mając na uwadze, że działalność i wpływ Europejskiego Urzędu ds. Pracy są ograniczone ze względu na dobrowolny charakter współpracy i uczestnictwa państw członkowskich oraz jego ograniczone kompetencje w zakresie wnioskowania o dane pracowników, których to dotyczy, i przedsiębiorstw, a także przetwarzania tych danych; mając na uwadze, że ramy prawne Europejskiego Urzędu ds. Pracy uniemożliwiają mu prowadzenie dochodzeń z własnej inicjatywy i zajmowanie się kwestiami związanymi z mobilnością pracowników z państw trzecich;</w:t>
      </w:r>
    </w:p>
    <w:p w:rsidR="005036AE" w:rsidRPr="000D5661" w:rsidRDefault="005036AE" w:rsidP="005036AE">
      <w:pPr>
        <w:pStyle w:val="NormalHanging12a"/>
      </w:pPr>
      <w:r w:rsidRPr="000D5661">
        <w:t>M.</w:t>
      </w:r>
      <w:r w:rsidRPr="000D5661">
        <w:tab/>
        <w:t>mając na uwadze, że zasady i praktyki dotyczące przeprowadzania inspekcji pracy różnią się znacznie w poszczególnych państwach członkowskich, podobnie jak współpraca między organami krajowymi a Europejskim Urzędem ds. Pracy;</w:t>
      </w:r>
    </w:p>
    <w:p w:rsidR="005036AE" w:rsidRPr="000D5661" w:rsidRDefault="005036AE" w:rsidP="005036AE">
      <w:pPr>
        <w:pStyle w:val="NormalHanging12a"/>
      </w:pPr>
      <w:r w:rsidRPr="000D5661">
        <w:t>N.</w:t>
      </w:r>
      <w:r w:rsidRPr="000D5661">
        <w:tab/>
        <w:t>mając na uwadze, że Europejskiemu Urzędowi Nadzoru Bankowego powierzono zadanie prowadzenia dochodzeń z własnej inicjatywy; mając na uwadze, że niektóre agencje europejskie, takie jak Europol, mają dostęp do bazy danych systemu wymiany informacji na rynku wewnętrznym i mogą przetwarzać dane osobowe; mając na uwadze, że Europejski Urząd ds. Pracy nie posiada podobnych uprawnień;</w:t>
      </w:r>
    </w:p>
    <w:p w:rsidR="005036AE" w:rsidRPr="000D5661" w:rsidRDefault="005036AE" w:rsidP="005036AE">
      <w:pPr>
        <w:pStyle w:val="NormalHanging12a"/>
      </w:pPr>
      <w:r w:rsidRPr="000D5661">
        <w:t>O.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partnerzy społeczni nie muszą najpierw wyczerpać krajowych możliwości egzekwowania przepisów, ponieważ mogą w każdej chwili zwrócić uwagę Europejskiego Urzędu ds. Pracy na sprawy transgraniczne w celu wszczęcia kontroli transgranicznych; mając na uwadze, że terminowe, systematyczne i strukturalne zaangażowanie unijnych, sektorowych i krajowych partnerów społecznych jest niezbędne do poprawy skuteczności Europejskiego Urzędu ds. Pracy;</w:t>
      </w:r>
    </w:p>
    <w:p w:rsidR="005036AE" w:rsidRPr="000D5661" w:rsidRDefault="005036AE" w:rsidP="005036AE">
      <w:pPr>
        <w:pStyle w:val="NormalHanging12a"/>
      </w:pPr>
      <w:r w:rsidRPr="000D5661">
        <w:t>P.</w:t>
      </w:r>
      <w:r w:rsidRPr="000D5661">
        <w:tab/>
        <w:t>mając na uwadze, że europejska platforma przeciwdziałania pracy nierejestrowanej została zintegrowana z Europejskim Urzędem ds. Pracy; mając na uwadze, że praca nierejestrowana pozostaje poważnym problemem w UE; mając na uwadze, że niektóre sektory, takie jak branża turystyczno-hotelarska, budowlana, turystyczna, usług w zakresie opieki oraz związanych z gospodarstwem domowym, są bardziej narażone na ten problem niż inne;</w:t>
      </w:r>
    </w:p>
    <w:p w:rsidR="005036AE" w:rsidRPr="000D5661" w:rsidRDefault="005036AE" w:rsidP="005036AE">
      <w:pPr>
        <w:pStyle w:val="NormalHanging12a"/>
      </w:pPr>
      <w:r w:rsidRPr="000D5661">
        <w:t>Q.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badania i analizy Europejskiego Urzędu ds. Pracy są często zlecane zewnętrznym wykonawcom, co uniemożliwia Urzędowi gromadzenie własnej wiedzy fachowej i może podważać jego niezależność;</w:t>
      </w:r>
    </w:p>
    <w:p w:rsidR="005036AE" w:rsidRPr="000D5661" w:rsidRDefault="005036AE" w:rsidP="005036AE">
      <w:pPr>
        <w:pStyle w:val="NormalHanging12a"/>
      </w:pPr>
      <w:r w:rsidRPr="000D5661">
        <w:t>R.</w:t>
      </w:r>
      <w:r w:rsidRPr="000D5661">
        <w:tab/>
        <w:t>mając na uwadze, że jednym z celów ustanowienia Europejskiego Urzędu ds. Pracy było rozwiązanie problemu niewystarczającej wymiany informacji między organami krajowymi odpowiedzialnymi za różne aspekty mobilności pracowników i koordynację systemów zabezpieczenia społecznego w celu zapewnienia jak najskuteczniejszego wykorzystania wszystkich dostępnych środków w obszarach, w których Europejski Urząd ds. Pracy może wnieść wartość dodaną;</w:t>
      </w:r>
    </w:p>
    <w:p w:rsidR="005036AE" w:rsidRPr="000D5661" w:rsidRDefault="003530E2" w:rsidP="005036AE">
      <w:pPr>
        <w:pStyle w:val="NormalHanging12a"/>
      </w:pPr>
      <w:r>
        <w:t>S.</w:t>
      </w:r>
      <w:r w:rsidR="005036AE" w:rsidRPr="000D5661">
        <w:tab/>
        <w:t xml:space="preserve">mając na uwadze, że zwiększają się niedopasowanie umiejętności i niedobory siły roboczej w UE; mając na uwadze, że EURES może odgrywać kluczową rolę we wspieraniu mobilności pracowników i transgranicznego pośrednictwa pracy; mając na </w:t>
      </w:r>
      <w:r w:rsidR="005036AE" w:rsidRPr="000D5661">
        <w:lastRenderedPageBreak/>
        <w:t>uwadze, że Europejski Urząd ds. Pracy nie jest w stanie świadczyć usług wsparcia technicznego osobom poszukującym pracy i przedsiębiorstwom; mając na uwadze, że nie wykorzystano pełnego potencjału EURES; mając na uwadze, że władze krajowe, agencje zatrudnienia i partnerzy społeczni powinni bardziej promować korzystanie z EURES;</w:t>
      </w:r>
    </w:p>
    <w:p w:rsidR="005036AE" w:rsidRPr="000D5661" w:rsidRDefault="005036AE" w:rsidP="005036AE">
      <w:pPr>
        <w:pStyle w:val="NormalHanging12a"/>
      </w:pPr>
      <w:r w:rsidRPr="000D5661">
        <w:t>T.</w:t>
      </w:r>
      <w:r w:rsidRPr="000D5661">
        <w:tab/>
        <w:t xml:space="preserve">mając na uwadze, że do dnia 1 sierpnia 2024 r., a następnie co pięć lat, Komisja musi dokonywać oceny skuteczności działania Europejskiego Urzędu ds. Pracy w odniesieniu do jego celów, zakresu kompetencji i zadań, zgodnie z art. 40 rozporządzenia (UE) 2019/1149; mając na uwadze, że w ramach oceny Komisji należy uwzględnić wkład Europejskiego Urzędu ds. Pracy i właściwych zainteresowanych stron, oraz czy istnieje potrzeba zmiany zakresu kompetencji i zakresu działalności Europejskiego Urzędu ds. Pracy, w tym rozszerzenia jego zakresu w celu uwzględnienia potrzeb poszczególnych sektorów; mając na uwadze, że w ramach tej oceny należy również zbadać dalsze synergie i możliwości dostosowania się do </w:t>
      </w:r>
      <w:proofErr w:type="gramStart"/>
      <w:r w:rsidRPr="000D5661">
        <w:t>działań</w:t>
      </w:r>
      <w:proofErr w:type="gramEnd"/>
      <w:r w:rsidRPr="000D5661">
        <w:t xml:space="preserve"> innych agencji w dziedzinie zatrudnienia, polityki społecznej i praw podstawowych, a także określić obszary, w których działania Europejskiego Urzędu ds. Pracy mogłyby przynieść organom krajowym większą wartość dodaną;</w:t>
      </w:r>
    </w:p>
    <w:p w:rsidR="005036AE" w:rsidRPr="000D5661" w:rsidRDefault="005036AE" w:rsidP="005036AE">
      <w:pPr>
        <w:pStyle w:val="NormalHanging12a"/>
      </w:pPr>
      <w:r w:rsidRPr="000D5661">
        <w:t>U.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w ramach oceny należy nadal rozważać regularną współpracę i wymianę informacji z Europolem i </w:t>
      </w:r>
      <w:proofErr w:type="spellStart"/>
      <w:r w:rsidRPr="000D5661">
        <w:t>Eurojustem</w:t>
      </w:r>
      <w:proofErr w:type="spellEnd"/>
      <w:r w:rsidRPr="000D5661">
        <w:t xml:space="preserve"> w przypadku przestępstw, w szczególności w przypadku przestępczości zorganizowanej, na przykład w sektorze budowlanym, a w przypadku dotacji europejskich – z Prokuraturą Europejską;</w:t>
      </w:r>
    </w:p>
    <w:p w:rsidR="005036AE" w:rsidRPr="000D5661" w:rsidRDefault="005036AE" w:rsidP="005036AE">
      <w:pPr>
        <w:pStyle w:val="NormalHanging12a"/>
      </w:pPr>
      <w:r w:rsidRPr="000D5661">
        <w:t>V.</w:t>
      </w:r>
      <w:r w:rsidRPr="000D5661">
        <w:tab/>
      </w:r>
      <w:proofErr w:type="gramStart"/>
      <w:r w:rsidRPr="000D5661">
        <w:t>mając</w:t>
      </w:r>
      <w:proofErr w:type="gramEnd"/>
      <w:r w:rsidRPr="000D5661">
        <w:t xml:space="preserve"> na uwadze, że w rezolucji z 11 maja 2023 r. w sprawie planu działania na rzecz Europy socjalnej – dwa lata po szczycie w Porto Parlament podkreślił znaczenie dobrze funkcjonującego i skutecznego Europejskiego Urzędu ds. Pracy; mając na uwadze, że Parlament wezwał już Komisję do skorzystania z okazji, jaką daje nadchodząca ocena, w celu przedłożenia wniosku ustawodawczego w sprawie przeglądu zakresu rozporządzenia ustanawiającego Europejski Urząd ds. Pracy i umożliwienia mu pełnego wykorzystania jego potencjału, zwłaszcza w odniesieniu do jego uprawnień dochodzeniowych i śledczych;</w:t>
      </w:r>
    </w:p>
    <w:p w:rsidR="005036AE" w:rsidRPr="000D5661" w:rsidRDefault="005036AE" w:rsidP="005036AE">
      <w:pPr>
        <w:pStyle w:val="NormalHanging12a"/>
      </w:pPr>
      <w:r w:rsidRPr="000D5661">
        <w:t>1.</w:t>
      </w:r>
      <w:r w:rsidRPr="000D5661">
        <w:tab/>
      </w:r>
      <w:proofErr w:type="gramStart"/>
      <w:r w:rsidRPr="000D5661">
        <w:t>wzywa</w:t>
      </w:r>
      <w:proofErr w:type="gramEnd"/>
      <w:r w:rsidRPr="000D5661">
        <w:t xml:space="preserve"> Komisję, aby w oparciu o wnioski wyciągnięte od 2019 r. oraz bieżącą ocenę mandatu i zdolności operacyjnych Europejskiego Urzędu ds. Pracy przedstawiła wniosek dotyczący ukierunkowanej rewizji rozporządzenia ustanawiającego Europejski Urząd ds. Pracy w celu wzmocnienia jego mandatu i wartości dodanej dla organów krajowych, aby umożliwić mu pełną realizację jego misji, jaką jest zapewnienie sprawiedliwej mobilności pracowników;</w:t>
      </w:r>
    </w:p>
    <w:p w:rsidR="005036AE" w:rsidRPr="000D5661" w:rsidRDefault="005036AE" w:rsidP="005036AE">
      <w:pPr>
        <w:pStyle w:val="NormalHanging12a"/>
      </w:pPr>
      <w:r w:rsidRPr="000D5661">
        <w:t>2.</w:t>
      </w:r>
      <w:r w:rsidRPr="000D5661">
        <w:tab/>
      </w:r>
      <w:proofErr w:type="gramStart"/>
      <w:r w:rsidRPr="000D5661">
        <w:t>apeluje</w:t>
      </w:r>
      <w:proofErr w:type="gramEnd"/>
      <w:r w:rsidRPr="000D5661">
        <w:t xml:space="preserve"> o istotne wzmocnienie mandatu Europejskiego Urzędu ds. Pracy, aby zapewnić jego wartość dodaną dla krajowych organów egzekwowania prawa, umożliwiając mu prowadzenie dochodzeń w sprawie domniemanych naruszeń lub niestosowania prawa UE oraz wszczynanie i prowadzenie dochodzeń i inspekcji w sprawach transgranicznych z własnej inicjatywy, po powiadomieniu właściwych organów krajowych, w szczególności w sprawach dotyczących naruszeń prawa UE lub w przypadku, gdy właściwe organy krajowe nie podjęły działań następczych w związku z domniemanymi naruszeniami lub niestosowaniem prawa UE; podkreśla potrzebę powiadamiania właściwych organów krajowych i informowania partnerów społecznych o wszelkich dochodzeniach lub śledztwach prowadzonych przez Europejski Urząd ds. Pracy w ich </w:t>
      </w:r>
      <w:proofErr w:type="gramStart"/>
      <w:r w:rsidRPr="000D5661">
        <w:t>jurysdykcji</w:t>
      </w:r>
      <w:proofErr w:type="gramEnd"/>
      <w:r w:rsidRPr="000D5661">
        <w:t xml:space="preserve"> oraz dopilnowania, aby właściwe organy krajowe niezwłocznie </w:t>
      </w:r>
      <w:r w:rsidRPr="000D5661">
        <w:lastRenderedPageBreak/>
        <w:t>przekazywały Europejskiemu Urzędowi ds. Pracy wszelkie informacje, które uzna on za niezbędne do prowadzenia swoich dochodzeń, zgodnie z krajowymi przepisami i praktykami;</w:t>
      </w:r>
    </w:p>
    <w:p w:rsidR="005036AE" w:rsidRPr="000D5661" w:rsidRDefault="005036AE" w:rsidP="005036AE">
      <w:pPr>
        <w:pStyle w:val="NormalHanging12a"/>
      </w:pPr>
      <w:r w:rsidRPr="000D5661">
        <w:t>3.</w:t>
      </w:r>
      <w:r w:rsidRPr="000D5661">
        <w:tab/>
      </w:r>
      <w:proofErr w:type="gramStart"/>
      <w:r w:rsidRPr="000D5661">
        <w:t>przypomina</w:t>
      </w:r>
      <w:proofErr w:type="gramEnd"/>
      <w:r w:rsidRPr="000D5661">
        <w:t>, że w niektórych państwach członkowskich inspekcje pracy są przeprowadzane przez partnerów społecznych; podkreśla znaczenie zagwarantowania skutecznej współpracy między Europejskim Urzędem ds. Pracy i właściwymi organami krajowymi a partnerami społecznymi, przy jednoczesnym zapewnieniu poszanowania ich autonomii, praw i prerogatyw zgodnie z krajowymi stosunkami pracy;</w:t>
      </w:r>
    </w:p>
    <w:p w:rsidR="005036AE" w:rsidRPr="000D5661" w:rsidRDefault="005036AE" w:rsidP="005036AE">
      <w:pPr>
        <w:pStyle w:val="NormalHanging12a"/>
      </w:pPr>
      <w:r w:rsidRPr="000D5661">
        <w:t>4.</w:t>
      </w:r>
      <w:r w:rsidRPr="000D5661">
        <w:tab/>
      </w:r>
      <w:proofErr w:type="gramStart"/>
      <w:r w:rsidRPr="000D5661">
        <w:t>przypomina</w:t>
      </w:r>
      <w:proofErr w:type="gramEnd"/>
      <w:r w:rsidRPr="000D5661">
        <w:t xml:space="preserve">, że zakres działalności Europejskiego Urzędu ds. Pracy jest ograniczony do aktów Unii wymienionych w rozporządzeniu ustanawiającym; zauważa jednak, że Urząd często boryka się z problemami związanymi z warunkami pracy obywateli państw trzecich, do których zastosowanie mają odpowiednie przepisy prawa pracy; w związku z tym wzywa do rozszerzenia zakresu mandatu Europejskiego Urzędu ds. Pracy o mobilność pracowników będących obywatelami państw trzecich, ze szczególnym naciskiem na położenie kresu fikcyjnemu delegowaniu i fikcyjnemu samozatrudnieniu; podkreśla potrzebę lepszego wspierania państw członkowskich w stosowaniu odpowiedniego prawa UE oraz wyraźnego uwzględnienia w swoim mandacie przepisów sektorowych dotyczących prawa pracy w kontekście mobilności pracowników, na przykład </w:t>
      </w:r>
      <w:proofErr w:type="gramStart"/>
      <w:r w:rsidRPr="000D5661">
        <w:t>w</w:t>
      </w:r>
      <w:proofErr w:type="gramEnd"/>
      <w:r w:rsidRPr="000D5661">
        <w:t xml:space="preserve"> sektorze transportu, sektorze budowlanym i sektorze rolnictwa, a także w odniesieniu do pracy tymczasowej;</w:t>
      </w:r>
    </w:p>
    <w:p w:rsidR="005036AE" w:rsidRPr="000D5661" w:rsidRDefault="005036AE" w:rsidP="005036AE">
      <w:pPr>
        <w:pStyle w:val="NormalHanging12a"/>
      </w:pPr>
      <w:r w:rsidRPr="000D5661">
        <w:t>5.</w:t>
      </w:r>
      <w:r w:rsidRPr="000D5661">
        <w:tab/>
      </w:r>
      <w:proofErr w:type="gramStart"/>
      <w:r w:rsidRPr="000D5661">
        <w:t>podkreśla</w:t>
      </w:r>
      <w:proofErr w:type="gramEnd"/>
      <w:r w:rsidRPr="000D5661">
        <w:t xml:space="preserve"> potrzebę zapewnienia odpowiednich działań następczych w związku z uzgodnionymi i wspólnymi inspekcjami wspieranymi lub ułatwianymi przez Europejski Urząd ds. Pracy; wzywa do ustanowienia skutecznych procedur w celu zapewnienia, aby naruszenia prawa krajowego i unijnego wykryte w dziedzinie mobilności pracowników były odpowiednio rozwiązywane w drodze procedur administracyjnych lub prawnych w państwach członkowskich; podkreśla, że Europejski Urząd ds. Pracy powinien być uprawniony do wszczynania postępowań administracyjnych i sądowych w przypadkach podejrzenia naruszenia przepisów; podkreśla, że Europejski Urząd ds. Pracy, w ramach swojego mandatu, powinien wspierać odzyskiwanie niezapłaconych wynagrodzeń i składek na ubezpieczenie społeczne w sprawach transgranicznych, na przykład poprzez dostarczanie dostępnych </w:t>
      </w:r>
      <w:proofErr w:type="gramStart"/>
      <w:r w:rsidRPr="000D5661">
        <w:t>informacji</w:t>
      </w:r>
      <w:proofErr w:type="gramEnd"/>
      <w:r w:rsidRPr="000D5661">
        <w:t xml:space="preserve"> i dowodów;</w:t>
      </w:r>
    </w:p>
    <w:p w:rsidR="005036AE" w:rsidRPr="000D5661" w:rsidRDefault="005036AE" w:rsidP="005036AE">
      <w:pPr>
        <w:pStyle w:val="NormalHanging12a"/>
      </w:pPr>
      <w:r w:rsidRPr="000D5661">
        <w:t>6.</w:t>
      </w:r>
      <w:r w:rsidRPr="000D5661">
        <w:tab/>
      </w:r>
      <w:proofErr w:type="gramStart"/>
      <w:r w:rsidRPr="000D5661">
        <w:t>podkreśla</w:t>
      </w:r>
      <w:proofErr w:type="gramEnd"/>
      <w:r w:rsidRPr="000D5661">
        <w:t>, że Europejski Urząd ds. Pracy powinien dogłębnie zajmować się sprawami zgłaszanymi mu przez organizacje partnerów społecznych, inicjując wspólne i uzgodnione inspekcje z właściwymi organami krajowymi lub przeprowadzając inspekcje samodzielnie; podkreśla, że partnerzy społeczni powinni mieć możliwość zwrócenia się o przeprowadzenie dochodzenia lub inspekcji przez Europejski Urząd ds. Pracy; podkreśla, że partnerzy społeczni powinni otrzymywać informacje na temat postępowań oraz – w przypadku odrzucenia wniosku przez Europejski Urząd ds. Pracy – wyczerpujące uzasadnienie;</w:t>
      </w:r>
    </w:p>
    <w:p w:rsidR="005036AE" w:rsidRPr="000D5661" w:rsidRDefault="005036AE" w:rsidP="005036AE">
      <w:pPr>
        <w:pStyle w:val="NormalHanging12a"/>
      </w:pPr>
      <w:r w:rsidRPr="000D5661">
        <w:t>7.</w:t>
      </w:r>
      <w:r w:rsidRPr="000D5661">
        <w:tab/>
      </w:r>
      <w:proofErr w:type="gramStart"/>
      <w:r w:rsidRPr="000D5661">
        <w:t>podkreśla</w:t>
      </w:r>
      <w:proofErr w:type="gramEnd"/>
      <w:r w:rsidRPr="000D5661">
        <w:t xml:space="preserve">, że konieczne jest skuteczne egzekwowanie przepisów, w tym odstraszające sankcje finansowe, aby położyć kres nieprzestrzeganiu przepisów prawa pracy, obchodzeniu płatności z tytułu zabezpieczenia społecznego i uchylaniu się od opodatkowania w działalności transgranicznej; w związku z tym wzywa Europejski Urząd ds. Pracy do priorytetowego traktowania, w ramach swojego mandatu, transgranicznego egzekwowania prawa i kontroli oraz do współpracy z innymi właściwymi agencjami UE; podkreśla, że Europejski Urząd ds. Pracy powinien </w:t>
      </w:r>
      <w:r w:rsidRPr="000D5661">
        <w:lastRenderedPageBreak/>
        <w:t>prowadzić rejestr przypadków naruszenia prawa UE i prawa krajowego w dziedzinie mobilności pracowników, zgodnie z obowiązującymi przepisami UE o ochronie danych;</w:t>
      </w:r>
    </w:p>
    <w:p w:rsidR="005036AE" w:rsidRPr="000D5661" w:rsidRDefault="005036AE" w:rsidP="005036AE">
      <w:pPr>
        <w:pStyle w:val="NormalHanging12a"/>
      </w:pPr>
      <w:r w:rsidRPr="000D5661">
        <w:t>8.</w:t>
      </w:r>
      <w:r w:rsidRPr="000D5661">
        <w:tab/>
      </w:r>
      <w:proofErr w:type="gramStart"/>
      <w:r w:rsidRPr="000D5661">
        <w:t>przypomina</w:t>
      </w:r>
      <w:proofErr w:type="gramEnd"/>
      <w:r w:rsidRPr="000D5661">
        <w:t>, że we wniosku Komisji dotyczącym rozporządzenia ustanawiającego Europejski Urząd ds. Pracy (art. 10 ust. 7) przewidziano obowiązek zgłaszania przez Europejski Urząd ds. Pracy podejrzewanych nieprawidłowości „w stosowaniu prawa Unii, w tym wykraczających poza zakres jego kompetencji” Komisji i organom danego państwa członkowskiego, jeżeli Urząd uzyska wiedzę o takich nieprawidłowościach w trakcie swojej pracy; ubolewa, że przepis ten nie został uwzględniony w przyjętym tekście rozporządzenia ustanawiającego; uważa, że taki przepis należy włączyć do rewizji rozporządzenia ustanawiającego Europejski Urząd ds. Pracy;</w:t>
      </w:r>
    </w:p>
    <w:p w:rsidR="005036AE" w:rsidRPr="000D5661" w:rsidRDefault="005036AE" w:rsidP="005036AE">
      <w:pPr>
        <w:pStyle w:val="NormalHanging12a"/>
        <w:rPr>
          <w:bCs/>
          <w:iCs/>
        </w:rPr>
      </w:pPr>
      <w:r w:rsidRPr="000D5661">
        <w:t>9.</w:t>
      </w:r>
      <w:r w:rsidRPr="000D5661">
        <w:tab/>
      </w:r>
      <w:proofErr w:type="gramStart"/>
      <w:r w:rsidRPr="000D5661">
        <w:t>apeluje</w:t>
      </w:r>
      <w:proofErr w:type="gramEnd"/>
      <w:r w:rsidRPr="000D5661">
        <w:t xml:space="preserve"> o terminowe, systematyczne i strukturalne zaangażowanie unijnych, sektorowych i krajowych partnerów społecznych w opracowywanie i prowadzenie działań Europejskiego Urzędu ds. Prac w celu poprawy jego skuteczności; wzywa właściwe organy krajowe do ściślejszej współpracy z krajowymi partnerami społecznymi, ponieważ są oni ekspertami w dziedzinie prawa pracy;</w:t>
      </w:r>
    </w:p>
    <w:p w:rsidR="005036AE" w:rsidRPr="000D5661" w:rsidRDefault="005036AE" w:rsidP="005036AE">
      <w:pPr>
        <w:pStyle w:val="NormalHanging12a"/>
        <w:rPr>
          <w:bCs/>
          <w:iCs/>
        </w:rPr>
      </w:pPr>
      <w:r w:rsidRPr="000D5661">
        <w:t>10.</w:t>
      </w:r>
      <w:r w:rsidRPr="000D5661">
        <w:tab/>
      </w:r>
      <w:proofErr w:type="gramStart"/>
      <w:r w:rsidRPr="000D5661">
        <w:t>wzywa</w:t>
      </w:r>
      <w:proofErr w:type="gramEnd"/>
      <w:r w:rsidRPr="000D5661">
        <w:t xml:space="preserve"> państwa członkowskie do uznania wartości dodanej Europejskiego Urzędu ds. Pracy, do zacieśnienia współpracy między właściwymi organami a Europejskim Urzędem ds. Pracy oraz do zapewnienia wystarczających zasobów na szczeblu krajowym, aby zagwarantować, że właściwe organy dysponują środkami, zdolnościami i strukturą umożliwiającymi współpracę i skuteczne działanie; przypomina o kluczowej roli krajowych urzędników łącznikowych w ułatwianiu współpracy między państwami członkowskimi a Europejskim Urzędem ds. Pracy poprzez pełnienie funkcji krajowych punktów kontaktowych oraz w ułatwianiu wymiany informacji między Europejskim Urzędem ds. Pracy a państwami członkowskimi; podkreśla, że eksperci krajowi oddelegowani przez państwa członkowskie, w tym krajowi urzędnicy łącznikowi, powinni pomagać w realizacji zadań Europejskiego Urzędu ds. Pracy i nie powinni pracować pod kierownictwem lub nadzorem swojego państwa członkowskiego; podkreśla potrzebę zaoferowania partnerom społecznym na szczeblu UE możliwości wyznaczenia po jednym urzędniku łącznikowym;</w:t>
      </w:r>
    </w:p>
    <w:p w:rsidR="005036AE" w:rsidRPr="000D5661" w:rsidRDefault="005036AE" w:rsidP="005036AE">
      <w:pPr>
        <w:pStyle w:val="NormalHanging12a"/>
      </w:pPr>
      <w:r w:rsidRPr="000D5661">
        <w:t>11.</w:t>
      </w:r>
      <w:r w:rsidRPr="000D5661">
        <w:tab/>
      </w:r>
      <w:proofErr w:type="gramStart"/>
      <w:r w:rsidRPr="000D5661">
        <w:t>zwraca</w:t>
      </w:r>
      <w:proofErr w:type="gramEnd"/>
      <w:r w:rsidRPr="000D5661">
        <w:t xml:space="preserve"> uwagę na coraz częstsze występowanie niepewnych warunków pracy i życia wśród obywateli państw trzecich, którzy są na przykład zależni od warunków mieszkaniowych zapewnianych przez pracodawcę; podkreśla, że Europejski Urząd ds. Pracy powinien być uprawniony do zajmowania się sytuacją obywateli państw trzecich na podstawie obowiązujących przepisów prawa pracy UE oraz że w związku z tym potrzebna jest ścisła współpraca z państwami członkowskimi, partnerami społecznymi i organizacjami społeczeństwa obywatelskiego; zwraca uwagę, że państwa członkowskie mogłyby skorzystać ze zdolności Europejskiego Urzędu ds. Pracy do dostarczania informacji na temat warunków pracy mobilnych obywateli państw trzecich; podkreśla, że Europejski Urząd ds. Pracy powinien mieć </w:t>
      </w:r>
      <w:proofErr w:type="gramStart"/>
      <w:r w:rsidRPr="000D5661">
        <w:t>możliwość</w:t>
      </w:r>
      <w:proofErr w:type="gramEnd"/>
      <w:r w:rsidRPr="000D5661">
        <w:t xml:space="preserve"> gromadzenia i uzyskiwania dostępu do danych dotyczących sytuacji pracowników mobilnych, w tym obywateli państw trzecich, zgodnie z obowiązującymi unijnymi przepisami o ochronie danych, a także wspierania państw członkowskich w lepszym egzekwowaniu obowiązujących przepisów dotyczących obywateli państw trzecich pracujących na jednolitym rynku; zauważa, że Europejski Urząd ds. Pracy mógłby również odegrać rolę w ułatwianiu współpracy i wymiany informacji między państwami członkowskimi na temat poprawy dostępu obywateli państw trzecich do właściwych organów ds. mobilności </w:t>
      </w:r>
      <w:r w:rsidRPr="000D5661">
        <w:lastRenderedPageBreak/>
        <w:t>pracowników i warunków pracy;</w:t>
      </w:r>
    </w:p>
    <w:p w:rsidR="005036AE" w:rsidRPr="000D5661" w:rsidRDefault="005036AE" w:rsidP="005036AE">
      <w:pPr>
        <w:pStyle w:val="NormalHanging12a"/>
      </w:pPr>
      <w:r w:rsidRPr="000D5661">
        <w:t>12.</w:t>
      </w:r>
      <w:r w:rsidRPr="000D5661">
        <w:tab/>
      </w:r>
      <w:proofErr w:type="gramStart"/>
      <w:r w:rsidRPr="000D5661">
        <w:t>ubolewa</w:t>
      </w:r>
      <w:proofErr w:type="gramEnd"/>
      <w:r w:rsidRPr="000D5661">
        <w:t>, że Komisja nie podjęła działań następczych w związku z rezolucją Parlamentu z 25 listopada 2021 r. w sprawie wprowadzenia europejskiej karty zabezpieczenia społecznego w celu poprawy cyfrowego egzekwowania praw w zakresie zabezpieczenia społecznego i sprawiedliwej mobilności</w:t>
      </w:r>
      <w:r w:rsidRPr="000D5661">
        <w:rPr>
          <w:rStyle w:val="FootnoteReference"/>
        </w:rPr>
        <w:footnoteReference w:id="7"/>
      </w:r>
      <w:r w:rsidRPr="000D5661">
        <w:t xml:space="preserve"> ani w związku z jego ponawianym apelem o przedstawienie wniosku ustawodawczego w sprawie utworzenia europejskiego numeru zabezpieczenia społecznego; w związku z tym ponawia swój apel do Komisji o niezwłoczne przedstawienie takiego wniosku, aby ułatwić działania w zakresie egzekwowania przepisów przez Europejski Urząd ds. Pracy i organy krajowe oraz umożliwić koordynację systemów zabezpieczenia społecznego i zagwarantować sprawiedliwą mobilność pracowników;</w:t>
      </w:r>
    </w:p>
    <w:p w:rsidR="005036AE" w:rsidRPr="000D5661" w:rsidRDefault="005036AE" w:rsidP="005036AE">
      <w:pPr>
        <w:pStyle w:val="NormalHanging12a"/>
      </w:pPr>
      <w:r w:rsidRPr="000D5661">
        <w:t>13.</w:t>
      </w:r>
      <w:r w:rsidRPr="000D5661">
        <w:tab/>
      </w:r>
      <w:proofErr w:type="gramStart"/>
      <w:r w:rsidRPr="000D5661">
        <w:t>zwraca</w:t>
      </w:r>
      <w:proofErr w:type="gramEnd"/>
      <w:r w:rsidRPr="000D5661">
        <w:t xml:space="preserve"> uwagę, że wyzysk, oszukańcze i nieuczciwe praktyki korporacyjne związane z mobilnością pracowników stosowane przez podmioty międzynarodowe nie zawsze są łatwe do zidentyfikowania i zwalczania na szczeblu krajowym; jest zatem przekonany, że Europejski Urząd ds. Pracy mógłby wnieść wartość dodaną poprzez analizy operacyjne na szczeblu UE w celu lepszego identyfikowania i ujawniania sektorów ryzyka oraz nieuczciwych praktyk zaangażowanych podmiotów, a także wymianę najlepszych praktyk w zakresie zwalczania takich przypadków; ubolewa, że obecne rozporządzenie w sprawie Europejskiego Urzędu ds. Pracy nie stanowi wystarczającej podstawy prawnej do przeprowadzania analiz ryzyka operacyjnego ani żadnych procedur następczych; przypomina, że wszelkie działania niezgodne z prawem UE w dziedzinie mobilności pracowników lub jego naruszenia powinny pociągać za sobą dochodzenia i, w stosownych przypadkach, odstraszające sankcje;</w:t>
      </w:r>
    </w:p>
    <w:p w:rsidR="005036AE" w:rsidRPr="000D5661" w:rsidRDefault="005036AE" w:rsidP="005036AE">
      <w:pPr>
        <w:pStyle w:val="NormalHanging12a"/>
      </w:pPr>
      <w:r w:rsidRPr="000D5661">
        <w:t>14.</w:t>
      </w:r>
      <w:r w:rsidRPr="000D5661">
        <w:tab/>
      </w:r>
      <w:proofErr w:type="gramStart"/>
      <w:r w:rsidRPr="000D5661">
        <w:t>wzywa</w:t>
      </w:r>
      <w:proofErr w:type="gramEnd"/>
      <w:r w:rsidRPr="000D5661">
        <w:t xml:space="preserve"> do wprowadzenia jasnego przepisu umożliwiającego Europejskiemu Urzędowi ds. Pracy przetwarzanie niezbędnych danych związanych z dochodzeniami i analizami operacyjnymi zgodnie z obowiązującymi przepisami UE dotyczącymi ochrony danych; wzywa do zapewnienia Europejskiemu Urzędowi ds. Pracy dostępu do systemu wymiany informacji na rynku wewnętrznym i innych odpowiednich baz danych, pod warunkiem zapewnienia poufności danych i poszanowania praw podstawowych wszystkich osób, których dane dotyczą; podkreśla, że aby wykonywać swoje zadania w sposób terminowy i skuteczny, Europejski Urząd ds. Pracy potrzebuje również dostępu do wszystkich danych krajowych istotnych dla jego pracy, w tym ustaleń z inspekcji i działań w zakresie egzekwowania prawa prowadzonych przez </w:t>
      </w:r>
      <w:proofErr w:type="gramStart"/>
      <w:r w:rsidRPr="000D5661">
        <w:t>państwa</w:t>
      </w:r>
      <w:proofErr w:type="gramEnd"/>
      <w:r w:rsidRPr="000D5661">
        <w:t xml:space="preserve"> członkowskie;</w:t>
      </w:r>
    </w:p>
    <w:p w:rsidR="005036AE" w:rsidRPr="000D5661" w:rsidRDefault="005036AE" w:rsidP="005036AE">
      <w:pPr>
        <w:pStyle w:val="NormalHanging12a"/>
      </w:pPr>
      <w:r w:rsidRPr="000D5661">
        <w:t>15.</w:t>
      </w:r>
      <w:r w:rsidRPr="000D5661">
        <w:tab/>
      </w:r>
      <w:proofErr w:type="gramStart"/>
      <w:r w:rsidRPr="000D5661">
        <w:t>podkreśla</w:t>
      </w:r>
      <w:proofErr w:type="gramEnd"/>
      <w:r w:rsidRPr="000D5661">
        <w:t xml:space="preserve"> ważną rolę, jaką EURES może odegrać w rozwiązywaniu problemu niedoboru siły roboczej i niedopasowania umiejętności</w:t>
      </w:r>
      <w:r w:rsidRPr="000D5661">
        <w:rPr>
          <w:rStyle w:val="FootnoteReference"/>
        </w:rPr>
        <w:footnoteReference w:id="8"/>
      </w:r>
      <w:r w:rsidRPr="000D5661">
        <w:t xml:space="preserve"> w całej UE, a także w dostarczaniu ogólnych informacji na temat krajowych rynków pracy i systemów zabezpieczenia społecznego oraz informacji w czasie rzeczywistym na temat dostępnych miejsc pracy; podkreśla znaczenie bardziej przyjaznego dla użytkownika portalu EURES dla osób mobilnych poszukujących pracy i potencjalnych pracodawców;</w:t>
      </w:r>
    </w:p>
    <w:p w:rsidR="005036AE" w:rsidRPr="000D5661" w:rsidRDefault="005036AE" w:rsidP="005036AE">
      <w:pPr>
        <w:pStyle w:val="NormalHanging12a"/>
      </w:pPr>
      <w:r w:rsidRPr="000D5661">
        <w:t>16.</w:t>
      </w:r>
      <w:r w:rsidRPr="000D5661">
        <w:tab/>
      </w:r>
      <w:proofErr w:type="gramStart"/>
      <w:r w:rsidRPr="000D5661">
        <w:t>apeluje</w:t>
      </w:r>
      <w:proofErr w:type="gramEnd"/>
      <w:r w:rsidRPr="000D5661">
        <w:t xml:space="preserve"> o lepszą koordynację i współpracę między państwami członkowskimi, </w:t>
      </w:r>
      <w:r w:rsidRPr="000D5661">
        <w:lastRenderedPageBreak/>
        <w:t>partnerami społecznymi i Europejskim Urzędem ds. Pracy w zakresie dostarczania pracownikom i pracodawcom informacji na temat mobilności pracowników i praw pracowniczych;</w:t>
      </w:r>
    </w:p>
    <w:p w:rsidR="005036AE" w:rsidRPr="000D5661" w:rsidRDefault="005036AE" w:rsidP="005036AE">
      <w:pPr>
        <w:pStyle w:val="NormalHanging12a"/>
      </w:pPr>
      <w:r w:rsidRPr="000D5661">
        <w:t>17.</w:t>
      </w:r>
      <w:r w:rsidRPr="000D5661">
        <w:tab/>
      </w:r>
      <w:proofErr w:type="gramStart"/>
      <w:r w:rsidRPr="000D5661">
        <w:t>podkreśla</w:t>
      </w:r>
      <w:proofErr w:type="gramEnd"/>
      <w:r w:rsidRPr="000D5661">
        <w:t xml:space="preserve"> potrzebę skutecznej współpracy między agencjami UE w celu uzyskania efektu synergii;</w:t>
      </w:r>
    </w:p>
    <w:p w:rsidR="005036AE" w:rsidRPr="000D5661" w:rsidRDefault="005036AE" w:rsidP="005036AE">
      <w:pPr>
        <w:pStyle w:val="NormalHanging12a"/>
      </w:pPr>
      <w:r w:rsidRPr="000D5661">
        <w:t>18.</w:t>
      </w:r>
      <w:r w:rsidRPr="000D5661">
        <w:tab/>
      </w:r>
      <w:proofErr w:type="gramStart"/>
      <w:r w:rsidRPr="000D5661">
        <w:t>wzywa</w:t>
      </w:r>
      <w:proofErr w:type="gramEnd"/>
      <w:r w:rsidRPr="000D5661">
        <w:t xml:space="preserve"> do rozszerzenia współpracy w zakresie wymiany informacji z Europolem i </w:t>
      </w:r>
      <w:proofErr w:type="spellStart"/>
      <w:r w:rsidRPr="000D5661">
        <w:t>Eurojustem</w:t>
      </w:r>
      <w:proofErr w:type="spellEnd"/>
      <w:r w:rsidRPr="000D5661">
        <w:t xml:space="preserve"> w przypadku przestępstw, w szczególności w przypadku przestępczości zorganizowanej, na przykład w sektorze budowlanym, a także, gdy dotyczy to dotacji europejskich – z Prokuraturą Europejską;</w:t>
      </w:r>
    </w:p>
    <w:p w:rsidR="005036AE" w:rsidRPr="000D5661" w:rsidRDefault="005036AE" w:rsidP="005036AE">
      <w:pPr>
        <w:pStyle w:val="NormalHanging12a"/>
      </w:pPr>
      <w:r w:rsidRPr="000D5661">
        <w:t>19.</w:t>
      </w:r>
      <w:r w:rsidRPr="000D5661">
        <w:tab/>
      </w:r>
      <w:proofErr w:type="gramStart"/>
      <w:r w:rsidRPr="000D5661">
        <w:t>podkreśla</w:t>
      </w:r>
      <w:proofErr w:type="gramEnd"/>
      <w:r w:rsidRPr="000D5661">
        <w:t>, że Europejski Urząd ds. Pracy potrzebuje wystarczających zasobów, w tym własnego personelu, do wykonywania swoich zadań, w szczególności inspekcji w terenie w celu wykrywania naruszeń prawa pracy; zauważa, że wysoki odsetek oddelegowanych ekspertów krajowych w Europejskim Urzędzie ds. Pracy stanowi istotną przeszkodę dla jego działań w perspektywie średnio- i długoterminowej; przypomina, że oddelegowani eksperci krajowi wykonują jedynie zadania tymczasowe, co może przyczynić się do niespójności instytucjonalnej, zagrozić ciągłości operacyjnej oraz utrudnić wykonywanie głównych zadań Europejskiego Urzędu ds. Pracy; w związku z tym wzywa do przekształcenia wystarczającej liczby stanowisk oddelegowanych ekspertów krajowych w stanowiska stałe;</w:t>
      </w:r>
    </w:p>
    <w:p w:rsidR="005036AE" w:rsidRPr="000D5661" w:rsidRDefault="005036AE" w:rsidP="005036AE">
      <w:pPr>
        <w:pStyle w:val="NormalHanging12a"/>
      </w:pPr>
      <w:r w:rsidRPr="000D5661">
        <w:t>20.</w:t>
      </w:r>
      <w:r w:rsidRPr="000D5661">
        <w:tab/>
      </w:r>
      <w:proofErr w:type="gramStart"/>
      <w:r w:rsidRPr="000D5661">
        <w:t>zobowiązuje</w:t>
      </w:r>
      <w:proofErr w:type="gramEnd"/>
      <w:r w:rsidRPr="000D5661">
        <w:t xml:space="preserve"> swoją przewodniczącą do przekazania niniejszej rezolucji Radzie i Komisji.</w:t>
      </w:r>
    </w:p>
    <w:p w:rsidR="00E365E1" w:rsidRPr="000D5661" w:rsidRDefault="00E365E1" w:rsidP="00E64300"/>
    <w:sectPr w:rsidR="00E365E1" w:rsidRPr="000D5661" w:rsidSect="000D56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300" w:rsidRPr="000D5661" w:rsidRDefault="00E64300">
      <w:r w:rsidRPr="000D5661">
        <w:separator/>
      </w:r>
    </w:p>
  </w:endnote>
  <w:endnote w:type="continuationSeparator" w:id="0">
    <w:p w:rsidR="00E64300" w:rsidRPr="000D5661" w:rsidRDefault="00E64300">
      <w:r w:rsidRPr="000D56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6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6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6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300" w:rsidRPr="000D5661" w:rsidRDefault="00E64300">
      <w:r w:rsidRPr="000D5661">
        <w:separator/>
      </w:r>
    </w:p>
  </w:footnote>
  <w:footnote w:type="continuationSeparator" w:id="0">
    <w:p w:rsidR="00E64300" w:rsidRPr="000D5661" w:rsidRDefault="00E64300">
      <w:r w:rsidRPr="000D5661">
        <w:continuationSeparator/>
      </w:r>
    </w:p>
  </w:footnote>
  <w:footnote w:id="1">
    <w:p w:rsidR="005036AE" w:rsidRPr="0025094A" w:rsidRDefault="005036AE" w:rsidP="000D5661">
      <w:pPr>
        <w:pStyle w:val="FootnoteText"/>
        <w:ind w:left="567" w:hanging="567"/>
        <w:rPr>
          <w:sz w:val="24"/>
          <w:lang w:val="fi-FI"/>
        </w:rPr>
      </w:pPr>
      <w:r w:rsidRPr="000D5661">
        <w:rPr>
          <w:rStyle w:val="FootnoteReference"/>
          <w:sz w:val="24"/>
          <w:lang w:val="pl-PL"/>
        </w:rPr>
        <w:footnoteRef/>
      </w:r>
      <w:r w:rsidR="000D5661" w:rsidRPr="0025094A">
        <w:rPr>
          <w:sz w:val="24"/>
          <w:lang w:val="fi-FI"/>
        </w:rPr>
        <w:t xml:space="preserve"> </w:t>
      </w:r>
      <w:r w:rsidR="000D5661" w:rsidRPr="0025094A">
        <w:rPr>
          <w:sz w:val="24"/>
          <w:lang w:val="fi-FI"/>
        </w:rPr>
        <w:tab/>
      </w:r>
      <w:r w:rsidRPr="0025094A">
        <w:rPr>
          <w:sz w:val="24"/>
          <w:lang w:val="fi-FI"/>
        </w:rPr>
        <w:t>Dz.U. C, C/2023/1072, 15.12.2023, ELI: http://data.europa.eu/eli/C/2023/1072/oj.</w:t>
      </w:r>
    </w:p>
  </w:footnote>
  <w:footnote w:id="2">
    <w:p w:rsidR="005036AE" w:rsidRPr="000D5661" w:rsidRDefault="005036AE" w:rsidP="000D5661">
      <w:pPr>
        <w:pStyle w:val="FootnoteText"/>
        <w:ind w:left="567" w:hanging="567"/>
        <w:rPr>
          <w:sz w:val="24"/>
          <w:lang w:val="pl-PL"/>
        </w:rPr>
      </w:pPr>
      <w:r w:rsidRPr="000D5661">
        <w:rPr>
          <w:rStyle w:val="FootnoteReference"/>
          <w:sz w:val="24"/>
          <w:lang w:val="pl-PL"/>
        </w:rPr>
        <w:footnoteRef/>
      </w:r>
      <w:r w:rsidR="000D5661" w:rsidRPr="000D5661">
        <w:rPr>
          <w:sz w:val="24"/>
          <w:lang w:val="pl-PL"/>
        </w:rPr>
        <w:t xml:space="preserve"> </w:t>
      </w:r>
      <w:r w:rsidR="000D5661" w:rsidRPr="000D5661">
        <w:rPr>
          <w:sz w:val="24"/>
          <w:lang w:val="pl-PL"/>
        </w:rPr>
        <w:tab/>
      </w:r>
      <w:r w:rsidRPr="000D5661">
        <w:rPr>
          <w:sz w:val="24"/>
          <w:lang w:val="pl-PL"/>
        </w:rPr>
        <w:t xml:space="preserve">Dz.U. C 482 z 23.12.2016, </w:t>
      </w:r>
      <w:proofErr w:type="gramStart"/>
      <w:r w:rsidRPr="000D5661">
        <w:rPr>
          <w:sz w:val="24"/>
          <w:lang w:val="pl-PL"/>
        </w:rPr>
        <w:t>s</w:t>
      </w:r>
      <w:proofErr w:type="gramEnd"/>
      <w:r w:rsidRPr="000D5661">
        <w:rPr>
          <w:sz w:val="24"/>
          <w:lang w:val="pl-PL"/>
        </w:rPr>
        <w:t>. 31.</w:t>
      </w:r>
    </w:p>
  </w:footnote>
  <w:footnote w:id="3">
    <w:p w:rsidR="005036AE" w:rsidRPr="000D5661" w:rsidRDefault="005036AE" w:rsidP="000D5661">
      <w:pPr>
        <w:pStyle w:val="FootnoteText"/>
        <w:ind w:left="567" w:hanging="567"/>
        <w:rPr>
          <w:sz w:val="24"/>
          <w:lang w:val="pl-PL"/>
        </w:rPr>
      </w:pPr>
      <w:r w:rsidRPr="000D5661">
        <w:rPr>
          <w:rStyle w:val="FootnoteReference"/>
          <w:sz w:val="24"/>
          <w:lang w:val="pl-PL"/>
        </w:rPr>
        <w:footnoteRef/>
      </w:r>
      <w:r w:rsidR="000D5661" w:rsidRPr="000D5661">
        <w:rPr>
          <w:sz w:val="24"/>
          <w:lang w:val="pl-PL"/>
        </w:rPr>
        <w:t xml:space="preserve"> </w:t>
      </w:r>
      <w:r w:rsidR="000D5661" w:rsidRPr="000D5661">
        <w:rPr>
          <w:sz w:val="24"/>
          <w:lang w:val="pl-PL"/>
        </w:rPr>
        <w:tab/>
      </w:r>
      <w:r w:rsidRPr="000D5661">
        <w:rPr>
          <w:sz w:val="24"/>
          <w:lang w:val="pl-PL"/>
        </w:rPr>
        <w:t xml:space="preserve">Dz.U. L 186 z 11.7.2019, </w:t>
      </w:r>
      <w:proofErr w:type="gramStart"/>
      <w:r w:rsidRPr="000D5661">
        <w:rPr>
          <w:sz w:val="24"/>
          <w:lang w:val="pl-PL"/>
        </w:rPr>
        <w:t>s</w:t>
      </w:r>
      <w:proofErr w:type="gramEnd"/>
      <w:r w:rsidRPr="000D5661">
        <w:rPr>
          <w:sz w:val="24"/>
          <w:lang w:val="pl-PL"/>
        </w:rPr>
        <w:t>. 21.</w:t>
      </w:r>
    </w:p>
  </w:footnote>
  <w:footnote w:id="4">
    <w:p w:rsidR="005036AE" w:rsidRPr="000D5661" w:rsidRDefault="005036AE" w:rsidP="000D5661">
      <w:pPr>
        <w:pStyle w:val="FootnoteText"/>
        <w:ind w:left="567" w:hanging="567"/>
        <w:rPr>
          <w:sz w:val="24"/>
          <w:lang w:val="pl-PL"/>
        </w:rPr>
      </w:pPr>
      <w:r w:rsidRPr="000D5661">
        <w:rPr>
          <w:rStyle w:val="FootnoteReference"/>
          <w:sz w:val="24"/>
          <w:lang w:val="pl-PL"/>
        </w:rPr>
        <w:footnoteRef/>
      </w:r>
      <w:r w:rsidR="000D5661" w:rsidRPr="000D5661">
        <w:rPr>
          <w:sz w:val="24"/>
          <w:lang w:val="pl-PL"/>
        </w:rPr>
        <w:t xml:space="preserve"> </w:t>
      </w:r>
      <w:r w:rsidR="000D5661" w:rsidRPr="000D5661">
        <w:rPr>
          <w:sz w:val="24"/>
          <w:lang w:val="pl-PL"/>
        </w:rPr>
        <w:tab/>
      </w:r>
      <w:r w:rsidRPr="000D5661">
        <w:rPr>
          <w:sz w:val="24"/>
          <w:lang w:val="pl-PL"/>
        </w:rPr>
        <w:t xml:space="preserve">Dz.U. C 362 z 8.9.2021, </w:t>
      </w:r>
      <w:proofErr w:type="gramStart"/>
      <w:r w:rsidRPr="000D5661">
        <w:rPr>
          <w:sz w:val="24"/>
          <w:lang w:val="pl-PL"/>
        </w:rPr>
        <w:t>s</w:t>
      </w:r>
      <w:proofErr w:type="gramEnd"/>
      <w:r w:rsidRPr="000D5661">
        <w:rPr>
          <w:sz w:val="24"/>
          <w:lang w:val="pl-PL"/>
        </w:rPr>
        <w:t>. 82.</w:t>
      </w:r>
    </w:p>
  </w:footnote>
  <w:footnote w:id="5">
    <w:p w:rsidR="005036AE" w:rsidRPr="000D5661" w:rsidRDefault="005036AE" w:rsidP="000D5661">
      <w:pPr>
        <w:pStyle w:val="FootnoteText"/>
        <w:ind w:left="567" w:hanging="567"/>
        <w:rPr>
          <w:sz w:val="24"/>
          <w:lang w:val="pl-PL"/>
        </w:rPr>
      </w:pPr>
      <w:r w:rsidRPr="000D5661">
        <w:rPr>
          <w:rStyle w:val="FootnoteReference"/>
          <w:sz w:val="24"/>
          <w:lang w:val="pl-PL"/>
        </w:rPr>
        <w:footnoteRef/>
      </w:r>
      <w:r w:rsidR="000D5661" w:rsidRPr="000D5661">
        <w:rPr>
          <w:sz w:val="24"/>
          <w:lang w:val="pl-PL"/>
        </w:rPr>
        <w:t xml:space="preserve"> </w:t>
      </w:r>
      <w:r w:rsidR="000D5661" w:rsidRPr="000D5661">
        <w:rPr>
          <w:sz w:val="24"/>
          <w:lang w:val="pl-PL"/>
        </w:rPr>
        <w:tab/>
      </w:r>
      <w:r w:rsidRPr="000D5661">
        <w:rPr>
          <w:sz w:val="24"/>
          <w:lang w:val="pl-PL"/>
        </w:rPr>
        <w:t>Komisja Europejska, „</w:t>
      </w:r>
      <w:proofErr w:type="spellStart"/>
      <w:r w:rsidRPr="000D5661">
        <w:rPr>
          <w:sz w:val="24"/>
          <w:lang w:val="pl-PL"/>
        </w:rPr>
        <w:t>Annual</w:t>
      </w:r>
      <w:proofErr w:type="spellEnd"/>
      <w:r w:rsidRPr="000D5661">
        <w:rPr>
          <w:sz w:val="24"/>
          <w:lang w:val="pl-PL"/>
        </w:rPr>
        <w:t xml:space="preserve"> Report on Intra-EU </w:t>
      </w:r>
      <w:proofErr w:type="spellStart"/>
      <w:r w:rsidRPr="000D5661">
        <w:rPr>
          <w:sz w:val="24"/>
          <w:lang w:val="pl-PL"/>
        </w:rPr>
        <w:t>Labour</w:t>
      </w:r>
      <w:proofErr w:type="spellEnd"/>
      <w:r w:rsidRPr="000D5661">
        <w:rPr>
          <w:sz w:val="24"/>
          <w:lang w:val="pl-PL"/>
        </w:rPr>
        <w:t xml:space="preserve"> </w:t>
      </w:r>
      <w:proofErr w:type="spellStart"/>
      <w:r w:rsidRPr="000D5661">
        <w:rPr>
          <w:sz w:val="24"/>
          <w:lang w:val="pl-PL"/>
        </w:rPr>
        <w:t>Mobility</w:t>
      </w:r>
      <w:proofErr w:type="spellEnd"/>
      <w:r w:rsidRPr="000D5661">
        <w:rPr>
          <w:sz w:val="24"/>
          <w:lang w:val="pl-PL"/>
        </w:rPr>
        <w:t xml:space="preserve"> 2022 [Sprawozdanie roczne za 2022 r. na temat mobilności pracowników w UE</w:t>
      </w:r>
      <w:proofErr w:type="gramStart"/>
      <w:r w:rsidRPr="000D5661">
        <w:rPr>
          <w:sz w:val="24"/>
          <w:lang w:val="pl-PL"/>
        </w:rPr>
        <w:t>]”, Dyrekcja</w:t>
      </w:r>
      <w:proofErr w:type="gramEnd"/>
      <w:r w:rsidRPr="000D5661">
        <w:rPr>
          <w:sz w:val="24"/>
          <w:lang w:val="pl-PL"/>
        </w:rPr>
        <w:t xml:space="preserve"> Generalna ds. Zatrudnienia, Spraw Społecznych i Włączenia Społecznego, 2022 r.</w:t>
      </w:r>
    </w:p>
  </w:footnote>
  <w:footnote w:id="6">
    <w:p w:rsidR="005036AE" w:rsidRPr="000D5661" w:rsidRDefault="005036AE" w:rsidP="000D5661">
      <w:pPr>
        <w:pStyle w:val="FootnoteText"/>
        <w:ind w:left="567" w:hanging="567"/>
        <w:rPr>
          <w:sz w:val="24"/>
          <w:lang w:val="pl-PL"/>
        </w:rPr>
      </w:pPr>
      <w:r w:rsidRPr="000D5661">
        <w:rPr>
          <w:rStyle w:val="FootnoteReference"/>
          <w:sz w:val="24"/>
          <w:lang w:val="pl-PL"/>
        </w:rPr>
        <w:footnoteRef/>
      </w:r>
      <w:r w:rsidR="000D5661" w:rsidRPr="000D5661">
        <w:rPr>
          <w:sz w:val="24"/>
          <w:lang w:val="pl-PL"/>
        </w:rPr>
        <w:t xml:space="preserve"> </w:t>
      </w:r>
      <w:r w:rsidR="000D5661" w:rsidRPr="000D5661">
        <w:rPr>
          <w:sz w:val="24"/>
          <w:lang w:val="pl-PL"/>
        </w:rPr>
        <w:tab/>
      </w:r>
      <w:r w:rsidRPr="000D5661">
        <w:rPr>
          <w:sz w:val="24"/>
          <w:lang w:val="pl-PL"/>
        </w:rPr>
        <w:t>Komisja Europejska, „</w:t>
      </w:r>
      <w:proofErr w:type="spellStart"/>
      <w:r w:rsidRPr="000D5661">
        <w:rPr>
          <w:sz w:val="24"/>
          <w:lang w:val="pl-PL"/>
        </w:rPr>
        <w:t>Statistics</w:t>
      </w:r>
      <w:proofErr w:type="spellEnd"/>
      <w:r w:rsidRPr="000D5661">
        <w:rPr>
          <w:sz w:val="24"/>
          <w:lang w:val="pl-PL"/>
        </w:rPr>
        <w:t xml:space="preserve"> on </w:t>
      </w:r>
      <w:proofErr w:type="spellStart"/>
      <w:r w:rsidRPr="000D5661">
        <w:rPr>
          <w:sz w:val="24"/>
          <w:lang w:val="pl-PL"/>
        </w:rPr>
        <w:t>migration</w:t>
      </w:r>
      <w:proofErr w:type="spellEnd"/>
      <w:r w:rsidRPr="000D5661">
        <w:rPr>
          <w:sz w:val="24"/>
          <w:lang w:val="pl-PL"/>
        </w:rPr>
        <w:t xml:space="preserve"> to Europe [Statystyki dotyczące migracji do Europy</w:t>
      </w:r>
      <w:proofErr w:type="gramStart"/>
      <w:r w:rsidRPr="000D5661">
        <w:rPr>
          <w:sz w:val="24"/>
          <w:lang w:val="pl-PL"/>
        </w:rPr>
        <w:t>]”, maj</w:t>
      </w:r>
      <w:proofErr w:type="gramEnd"/>
      <w:r w:rsidRPr="000D5661">
        <w:rPr>
          <w:sz w:val="24"/>
          <w:lang w:val="pl-PL"/>
        </w:rPr>
        <w:t xml:space="preserve"> 2023 r.</w:t>
      </w:r>
    </w:p>
  </w:footnote>
  <w:footnote w:id="7">
    <w:p w:rsidR="005036AE" w:rsidRPr="000D5661" w:rsidRDefault="005036AE" w:rsidP="000D5661">
      <w:pPr>
        <w:pStyle w:val="FootnoteText"/>
        <w:ind w:left="567" w:hanging="567"/>
        <w:rPr>
          <w:sz w:val="24"/>
          <w:lang w:val="pl-PL"/>
        </w:rPr>
      </w:pPr>
      <w:r w:rsidRPr="000D5661">
        <w:rPr>
          <w:rStyle w:val="FootnoteReference"/>
          <w:sz w:val="24"/>
          <w:lang w:val="pl-PL"/>
        </w:rPr>
        <w:footnoteRef/>
      </w:r>
      <w:r w:rsidR="000D5661" w:rsidRPr="000D5661">
        <w:rPr>
          <w:sz w:val="24"/>
          <w:lang w:val="pl-PL"/>
        </w:rPr>
        <w:t xml:space="preserve"> </w:t>
      </w:r>
      <w:r w:rsidR="000D5661" w:rsidRPr="000D5661">
        <w:rPr>
          <w:sz w:val="24"/>
          <w:lang w:val="pl-PL"/>
        </w:rPr>
        <w:tab/>
      </w:r>
      <w:r w:rsidRPr="000D5661">
        <w:rPr>
          <w:sz w:val="24"/>
          <w:lang w:val="pl-PL"/>
        </w:rPr>
        <w:t xml:space="preserve">Dz.U. C 224 z 8.6.2022, </w:t>
      </w:r>
      <w:proofErr w:type="gramStart"/>
      <w:r w:rsidRPr="000D5661">
        <w:rPr>
          <w:sz w:val="24"/>
          <w:lang w:val="pl-PL"/>
        </w:rPr>
        <w:t>s</w:t>
      </w:r>
      <w:proofErr w:type="gramEnd"/>
      <w:r w:rsidRPr="000D5661">
        <w:rPr>
          <w:sz w:val="24"/>
          <w:lang w:val="pl-PL"/>
        </w:rPr>
        <w:t>. 81.</w:t>
      </w:r>
    </w:p>
  </w:footnote>
  <w:footnote w:id="8">
    <w:p w:rsidR="005036AE" w:rsidRPr="000D5661" w:rsidRDefault="005036AE" w:rsidP="000D5661">
      <w:pPr>
        <w:pStyle w:val="FootnoteText"/>
        <w:ind w:left="567" w:hanging="567"/>
        <w:rPr>
          <w:sz w:val="24"/>
          <w:lang w:val="pl-PL"/>
        </w:rPr>
      </w:pPr>
      <w:r w:rsidRPr="000D5661">
        <w:rPr>
          <w:rStyle w:val="FootnoteReference"/>
          <w:sz w:val="24"/>
          <w:lang w:val="pl-PL"/>
        </w:rPr>
        <w:footnoteRef/>
      </w:r>
      <w:r w:rsidR="000D5661" w:rsidRPr="000D5661">
        <w:rPr>
          <w:sz w:val="24"/>
          <w:lang w:val="pl-PL"/>
        </w:rPr>
        <w:t xml:space="preserve"> </w:t>
      </w:r>
      <w:r w:rsidR="000D5661" w:rsidRPr="000D5661">
        <w:rPr>
          <w:sz w:val="24"/>
          <w:lang w:val="pl-PL"/>
        </w:rPr>
        <w:tab/>
      </w:r>
      <w:r w:rsidRPr="000D5661">
        <w:rPr>
          <w:sz w:val="24"/>
          <w:lang w:val="pl-PL"/>
        </w:rPr>
        <w:t>EURES, ‘</w:t>
      </w:r>
      <w:r w:rsidR="0025094A">
        <w:fldChar w:fldCharType="begin"/>
      </w:r>
      <w:r w:rsidR="0025094A" w:rsidRPr="0025094A">
        <w:rPr>
          <w:lang w:val="pl-PL"/>
        </w:rPr>
        <w:instrText xml:space="preserve"> HYPERLINK "https:</w:instrText>
      </w:r>
      <w:r w:rsidR="0025094A" w:rsidRPr="0025094A">
        <w:rPr>
          <w:lang w:val="pl-PL"/>
        </w:rPr>
        <w:instrText xml:space="preserve">//www.ela.europa.eu/sites/default/files/2023-09/ELA-eures-shortages-surpluses-report-2022.pdf" </w:instrText>
      </w:r>
      <w:r w:rsidR="0025094A">
        <w:fldChar w:fldCharType="separate"/>
      </w:r>
      <w:r w:rsidRPr="000D5661">
        <w:rPr>
          <w:rStyle w:val="Hyperlink"/>
          <w:sz w:val="24"/>
          <w:lang w:val="pl-PL"/>
        </w:rPr>
        <w:t xml:space="preserve">Report on </w:t>
      </w:r>
      <w:proofErr w:type="spellStart"/>
      <w:r w:rsidRPr="000D5661">
        <w:rPr>
          <w:rStyle w:val="Hyperlink"/>
          <w:sz w:val="24"/>
          <w:lang w:val="pl-PL"/>
        </w:rPr>
        <w:t>labour</w:t>
      </w:r>
      <w:proofErr w:type="spellEnd"/>
      <w:r w:rsidRPr="000D5661">
        <w:rPr>
          <w:rStyle w:val="Hyperlink"/>
          <w:sz w:val="24"/>
          <w:lang w:val="pl-PL"/>
        </w:rPr>
        <w:t xml:space="preserve"> </w:t>
      </w:r>
      <w:proofErr w:type="spellStart"/>
      <w:r w:rsidRPr="000D5661">
        <w:rPr>
          <w:rStyle w:val="Hyperlink"/>
          <w:sz w:val="24"/>
          <w:lang w:val="pl-PL"/>
        </w:rPr>
        <w:t>shortages</w:t>
      </w:r>
      <w:proofErr w:type="spellEnd"/>
      <w:r w:rsidRPr="000D5661">
        <w:rPr>
          <w:rStyle w:val="Hyperlink"/>
          <w:sz w:val="24"/>
          <w:lang w:val="pl-PL"/>
        </w:rPr>
        <w:t xml:space="preserve"> and </w:t>
      </w:r>
      <w:proofErr w:type="spellStart"/>
      <w:r w:rsidRPr="000D5661">
        <w:rPr>
          <w:rStyle w:val="Hyperlink"/>
          <w:sz w:val="24"/>
          <w:lang w:val="pl-PL"/>
        </w:rPr>
        <w:t>surpluses</w:t>
      </w:r>
      <w:proofErr w:type="spellEnd"/>
      <w:r w:rsidRPr="000D5661">
        <w:rPr>
          <w:rStyle w:val="Hyperlink"/>
          <w:sz w:val="24"/>
          <w:lang w:val="pl-PL"/>
        </w:rPr>
        <w:t xml:space="preserve"> – 2022 [Sprawozdanie dotyczące niedoborów i nadwyżek siły roboczej – 2022 r</w:t>
      </w:r>
      <w:proofErr w:type="gramStart"/>
      <w:r w:rsidRPr="000D5661">
        <w:rPr>
          <w:rStyle w:val="Hyperlink"/>
          <w:sz w:val="24"/>
          <w:lang w:val="pl-PL"/>
        </w:rPr>
        <w:t>.]</w:t>
      </w:r>
      <w:r w:rsidR="0025094A">
        <w:rPr>
          <w:rStyle w:val="Hyperlink"/>
          <w:sz w:val="24"/>
          <w:lang w:val="pl-PL"/>
        </w:rPr>
        <w:fldChar w:fldCharType="end"/>
      </w:r>
      <w:r w:rsidRPr="000D5661">
        <w:rPr>
          <w:sz w:val="24"/>
          <w:lang w:val="pl-PL"/>
        </w:rPr>
        <w:t>’, Urząd</w:t>
      </w:r>
      <w:proofErr w:type="gramEnd"/>
      <w:r w:rsidRPr="000D5661">
        <w:rPr>
          <w:sz w:val="24"/>
          <w:lang w:val="pl-PL"/>
        </w:rPr>
        <w:t xml:space="preserve"> Publikacji Unii Europejskiej, Luksemburg, 2023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6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6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56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9/2024"/>
    <w:docVar w:name="dvlangue" w:val="PL"/>
    <w:docVar w:name="dvnumam" w:val="0"/>
    <w:docVar w:name="dvpe" w:val="753.637"/>
    <w:docVar w:name="dvtitre" w:val="Rezolucja Parlamentu Europejskiego z dnia  2024 r. w sprawie zmiany zakresu kompetencji Europejskiego Urzędu ds. Pracy(2023/2866(RSP))"/>
  </w:docVars>
  <w:rsids>
    <w:rsidRoot w:val="00E64300"/>
    <w:rsid w:val="00002272"/>
    <w:rsid w:val="00064002"/>
    <w:rsid w:val="000677B9"/>
    <w:rsid w:val="000831BA"/>
    <w:rsid w:val="000A42CC"/>
    <w:rsid w:val="000D5661"/>
    <w:rsid w:val="000E7DD9"/>
    <w:rsid w:val="0010095E"/>
    <w:rsid w:val="00125B37"/>
    <w:rsid w:val="00187494"/>
    <w:rsid w:val="001F32AE"/>
    <w:rsid w:val="0025094A"/>
    <w:rsid w:val="002767FF"/>
    <w:rsid w:val="002B18FE"/>
    <w:rsid w:val="002B5493"/>
    <w:rsid w:val="00343214"/>
    <w:rsid w:val="003530E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6AE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430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D7E7A8"/>
  <w15:chartTrackingRefBased/>
  <w15:docId w15:val="{AD2B3A45-BF86-4E49-A1B9-1321F90BB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36A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5036A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036A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036A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B064B-6A5A-496D-B070-F6CDA6732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3371</Words>
  <Characters>22598</Characters>
  <Application>Microsoft Office Word</Application>
  <DocSecurity>0</DocSecurity>
  <Lines>188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2024-01-18T12:29:00Z</dcterms:created>
  <dcterms:modified xsi:type="dcterms:W3CDTF">2024-01-18T12:29:00Z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B9-0059/2024</vt:lpwstr>
  </property>
  <property fmtid="{D5CDD505-2E9C-101B-9397-08002B2CF9AE}" pid="4" name="&lt;Type&gt;">
    <vt:lpwstr>RR</vt:lpwstr>
  </property>
</Properties>
</file>