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364" w:rsidTr="0010095E">
        <w:trPr>
          <w:trHeight w:hRule="exact" w:val="1418"/>
        </w:trPr>
        <w:tc>
          <w:tcPr>
            <w:tcW w:w="6804" w:type="dxa"/>
            <w:shd w:val="clear" w:color="auto" w:fill="auto"/>
            <w:vAlign w:val="center"/>
          </w:tcPr>
          <w:p w:rsidR="00751A4A" w:rsidRPr="009F5364" w:rsidRDefault="00114071" w:rsidP="0010095E">
            <w:pPr>
              <w:pStyle w:val="EPName"/>
            </w:pPr>
            <w:r w:rsidRPr="009F5364">
              <w:t>Európsky parlament</w:t>
            </w:r>
          </w:p>
          <w:p w:rsidR="00751A4A" w:rsidRPr="009F5364" w:rsidRDefault="00817416" w:rsidP="00756632">
            <w:pPr>
              <w:pStyle w:val="EPTerm"/>
              <w:rPr>
                <w:rStyle w:val="HideTWBExt"/>
                <w:noProof w:val="0"/>
                <w:vanish w:val="0"/>
                <w:color w:val="auto"/>
              </w:rPr>
            </w:pPr>
            <w:r w:rsidRPr="009F5364">
              <w:t>2019-2024</w:t>
            </w:r>
          </w:p>
        </w:tc>
        <w:tc>
          <w:tcPr>
            <w:tcW w:w="2268" w:type="dxa"/>
            <w:shd w:val="clear" w:color="auto" w:fill="auto"/>
          </w:tcPr>
          <w:p w:rsidR="00751A4A" w:rsidRPr="009F5364" w:rsidRDefault="00187494" w:rsidP="0010095E">
            <w:pPr>
              <w:pStyle w:val="EPLogo"/>
            </w:pPr>
            <w:r w:rsidRPr="009F53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5364" w:rsidRDefault="00D058B8" w:rsidP="004C5D52">
      <w:pPr>
        <w:pStyle w:val="LineTop"/>
      </w:pPr>
    </w:p>
    <w:p w:rsidR="00680577" w:rsidRPr="009F5364" w:rsidRDefault="00114071" w:rsidP="00680577">
      <w:pPr>
        <w:pStyle w:val="EPBodyTA1"/>
      </w:pPr>
      <w:r w:rsidRPr="009F5364">
        <w:t>PRIJATÉ TEXTY</w:t>
      </w:r>
    </w:p>
    <w:p w:rsidR="00D058B8" w:rsidRPr="009F5364" w:rsidRDefault="00D058B8" w:rsidP="00D058B8">
      <w:pPr>
        <w:pStyle w:val="LineBottom"/>
      </w:pPr>
    </w:p>
    <w:p w:rsidR="00114071" w:rsidRPr="009F5364" w:rsidRDefault="00114071" w:rsidP="00114071">
      <w:pPr>
        <w:pStyle w:val="ATHeading1"/>
      </w:pPr>
      <w:bookmarkStart w:id="0" w:name="TANumber"/>
      <w:r w:rsidRPr="009F5364">
        <w:t>P9_TA(2024)00</w:t>
      </w:r>
      <w:r w:rsidR="009F5364" w:rsidRPr="009F5364">
        <w:t>52</w:t>
      </w:r>
      <w:bookmarkEnd w:id="0"/>
    </w:p>
    <w:p w:rsidR="00114071" w:rsidRPr="009F5364" w:rsidRDefault="00114071" w:rsidP="00114071">
      <w:pPr>
        <w:pStyle w:val="ATHeading2"/>
      </w:pPr>
      <w:bookmarkStart w:id="1" w:name="title"/>
      <w:r w:rsidRPr="009F5364">
        <w:t>Revízia mandátu Európskeho orgánu práce</w:t>
      </w:r>
      <w:bookmarkEnd w:id="1"/>
    </w:p>
    <w:p w:rsidR="00114071" w:rsidRPr="009F5364" w:rsidRDefault="00114071" w:rsidP="00114071">
      <w:pPr>
        <w:rPr>
          <w:i/>
          <w:vanish/>
        </w:rPr>
      </w:pPr>
      <w:r w:rsidRPr="009F5364">
        <w:rPr>
          <w:i/>
        </w:rPr>
        <w:fldChar w:fldCharType="begin"/>
      </w:r>
      <w:r w:rsidRPr="009F5364">
        <w:rPr>
          <w:i/>
        </w:rPr>
        <w:instrText xml:space="preserve"> TC"(</w:instrText>
      </w:r>
      <w:bookmarkStart w:id="2" w:name="DocNumber"/>
      <w:r w:rsidRPr="009F5364">
        <w:rPr>
          <w:i/>
        </w:rPr>
        <w:instrText>B9-0059/2024</w:instrText>
      </w:r>
      <w:bookmarkEnd w:id="2"/>
      <w:r w:rsidRPr="009F5364">
        <w:rPr>
          <w:i/>
        </w:rPr>
        <w:instrText xml:space="preserve">)"\l3 \n&gt; \* MERGEFORMAT </w:instrText>
      </w:r>
      <w:r w:rsidRPr="009F5364">
        <w:rPr>
          <w:i/>
        </w:rPr>
        <w:fldChar w:fldCharType="end"/>
      </w:r>
    </w:p>
    <w:p w:rsidR="00114071" w:rsidRPr="009F5364" w:rsidRDefault="00114071" w:rsidP="00114071">
      <w:pPr>
        <w:rPr>
          <w:vanish/>
        </w:rPr>
      </w:pPr>
      <w:bookmarkStart w:id="3" w:name="PE"/>
      <w:r w:rsidRPr="009F5364">
        <w:rPr>
          <w:vanish/>
        </w:rPr>
        <w:t>PE753.637</w:t>
      </w:r>
      <w:bookmarkEnd w:id="3"/>
    </w:p>
    <w:p w:rsidR="00114071" w:rsidRPr="009F5364" w:rsidRDefault="00114071" w:rsidP="00114071">
      <w:pPr>
        <w:pStyle w:val="ATHeading3"/>
      </w:pPr>
      <w:bookmarkStart w:id="4" w:name="Sujet"/>
      <w:r w:rsidRPr="009F5364">
        <w:t>Uznesenie Európskeho parlamentu z</w:t>
      </w:r>
      <w:r w:rsidR="0015732C" w:rsidRPr="009F5364">
        <w:t> 18</w:t>
      </w:r>
      <w:r w:rsidRPr="009F5364">
        <w:t>. januára 2024 o revízii mandátu Európskeho orgánu práce</w:t>
      </w:r>
      <w:bookmarkEnd w:id="4"/>
      <w:r w:rsidRPr="009F5364">
        <w:t xml:space="preserve"> </w:t>
      </w:r>
      <w:bookmarkStart w:id="5" w:name="References"/>
      <w:r w:rsidRPr="009F5364">
        <w:t>(2023/2866(RSP))</w:t>
      </w:r>
      <w:bookmarkEnd w:id="5"/>
    </w:p>
    <w:p w:rsidR="00322D94" w:rsidRPr="009F5364" w:rsidRDefault="00322D94" w:rsidP="00322D94">
      <w:pPr>
        <w:pStyle w:val="EPComma"/>
        <w:rPr>
          <w:i/>
        </w:rPr>
      </w:pPr>
      <w:bookmarkStart w:id="6" w:name="TextBodyBegin"/>
      <w:bookmarkEnd w:id="6"/>
      <w:r w:rsidRPr="009F5364">
        <w:rPr>
          <w:i/>
        </w:rPr>
        <w:t>Európsky parlament,</w:t>
      </w:r>
    </w:p>
    <w:p w:rsidR="00322D94" w:rsidRPr="009F5364" w:rsidRDefault="00322D94" w:rsidP="00322D94">
      <w:pPr>
        <w:pStyle w:val="NormalHanging12a"/>
      </w:pPr>
      <w:r w:rsidRPr="009F5364">
        <w:t>–</w:t>
      </w:r>
      <w:r w:rsidRPr="009F5364">
        <w:tab/>
        <w:t xml:space="preserve">so zreteľom na Európsky pilier sociálnych práv slávnostne vyhlásený </w:t>
      </w:r>
      <w:r w:rsidR="00296D4A" w:rsidRPr="009F5364">
        <w:t>Európskym p</w:t>
      </w:r>
      <w:r w:rsidRPr="009F5364">
        <w:t>arlamentom, Radou a Komisiou 17. novembra 2017,</w:t>
      </w:r>
    </w:p>
    <w:p w:rsidR="00322D94" w:rsidRPr="009F5364" w:rsidRDefault="00322D94" w:rsidP="00322D94">
      <w:pPr>
        <w:pStyle w:val="NormalHanging12a"/>
      </w:pPr>
      <w:r w:rsidRPr="009F5364">
        <w:t>–</w:t>
      </w:r>
      <w:r w:rsidRPr="009F5364">
        <w:tab/>
        <w:t>so zreteľom na oznámenie Komisie zo 4. marca 2021 s názvom Akčný plán na realizáciu Európskeho piliera sociálnych práv (COM(2021)0102),</w:t>
      </w:r>
    </w:p>
    <w:p w:rsidR="00322D94" w:rsidRPr="009F5364" w:rsidRDefault="00322D94" w:rsidP="00322D94">
      <w:pPr>
        <w:pStyle w:val="NormalHanging12a"/>
      </w:pPr>
      <w:r w:rsidRPr="009F5364">
        <w:t>–</w:t>
      </w:r>
      <w:r w:rsidRPr="009F5364">
        <w:tab/>
        <w:t>so zreteľom na Portské vyhlásenie Európskej rady z 8. mája 2021,</w:t>
      </w:r>
    </w:p>
    <w:p w:rsidR="00322D94" w:rsidRPr="009F5364" w:rsidRDefault="00322D94" w:rsidP="00322D94">
      <w:pPr>
        <w:pStyle w:val="NormalHanging12a"/>
      </w:pPr>
      <w:r w:rsidRPr="009F5364">
        <w:t>–</w:t>
      </w:r>
      <w:r w:rsidRPr="009F5364">
        <w:tab/>
        <w:t>so zreteľom na svoje uznesenie z 11. mája 2023 o pláne smerovania k sociálnej Európe – dva roky po sociálnom samite v Porte</w:t>
      </w:r>
      <w:r w:rsidRPr="009F5364">
        <w:rPr>
          <w:rStyle w:val="FootnoteReference"/>
        </w:rPr>
        <w:footnoteReference w:id="1"/>
      </w:r>
      <w:r w:rsidRPr="009F5364">
        <w:t>,</w:t>
      </w:r>
    </w:p>
    <w:p w:rsidR="00322D94" w:rsidRPr="009F5364" w:rsidRDefault="00322D94" w:rsidP="00322D94">
      <w:pPr>
        <w:pStyle w:val="NormalHanging12a"/>
      </w:pPr>
      <w:r w:rsidRPr="009F5364">
        <w:t>–</w:t>
      </w:r>
      <w:r w:rsidRPr="009F5364">
        <w:tab/>
        <w:t>so zreteľom na svoje uznesenie zo 14. januára 2014 o účinných pracovných inšpekciách ako stratégii na zlepšenie pracovných podmienok v Európe</w:t>
      </w:r>
      <w:r w:rsidRPr="009F5364">
        <w:rPr>
          <w:rStyle w:val="FootnoteReference"/>
        </w:rPr>
        <w:footnoteReference w:id="2"/>
      </w:r>
      <w:r w:rsidRPr="009F5364">
        <w:t>,</w:t>
      </w:r>
    </w:p>
    <w:p w:rsidR="00322D94" w:rsidRPr="009F5364" w:rsidRDefault="00322D94" w:rsidP="00322D94">
      <w:pPr>
        <w:pStyle w:val="NormalHanging12a"/>
      </w:pPr>
      <w:r w:rsidRPr="009F5364">
        <w:t>–</w:t>
      </w:r>
      <w:r w:rsidRPr="009F5364">
        <w:tab/>
        <w:t>so zreteľom na nariadenie Európskeho parlamentu a Rady (EÚ) 2019/1149 z 20. júna 2019, ktorým sa zriaďuje Európsky orgán práce a ktorým sa menia nariadenia (ES) č. 883/2004, (EÚ) č. 492/2011 a (EÚ) 2016/589 a ktorým sa zrušuje rozhodnutie (EÚ) 2016/344</w:t>
      </w:r>
      <w:r w:rsidRPr="009F5364">
        <w:rPr>
          <w:rStyle w:val="FootnoteReference"/>
        </w:rPr>
        <w:footnoteReference w:id="3"/>
      </w:r>
      <w:r w:rsidRPr="009F5364">
        <w:t>,</w:t>
      </w:r>
    </w:p>
    <w:p w:rsidR="00322D94" w:rsidRPr="009F5364" w:rsidRDefault="00322D94" w:rsidP="00322D94">
      <w:pPr>
        <w:pStyle w:val="NormalHanging12a"/>
      </w:pPr>
      <w:r w:rsidRPr="009F5364">
        <w:t>–</w:t>
      </w:r>
      <w:r w:rsidRPr="009F5364">
        <w:tab/>
        <w:t>so zreteľom na návrh Komisie z 13. marca 2018 na nariadenie Európskeho parlamentu a Rady, ktorým sa zriaďuje Európsky orgán práce (COM(2018)0131), a na sprievodné posúdenie vplyvu (SWD(2018)0068),</w:t>
      </w:r>
    </w:p>
    <w:p w:rsidR="00322D94" w:rsidRPr="009F5364" w:rsidRDefault="00322D94" w:rsidP="00322D94">
      <w:pPr>
        <w:pStyle w:val="NormalHanging12a"/>
      </w:pPr>
      <w:r w:rsidRPr="009F5364">
        <w:t>–</w:t>
      </w:r>
      <w:r w:rsidRPr="009F5364">
        <w:tab/>
        <w:t>so zreteľom na konsolidované výročné správy o činnosti Európskeho orgánu práce za roky 2019, 2020, 2021 a 2022,</w:t>
      </w:r>
    </w:p>
    <w:p w:rsidR="00322D94" w:rsidRPr="009F5364" w:rsidRDefault="00322D94" w:rsidP="00322D94">
      <w:pPr>
        <w:pStyle w:val="NormalHanging12a"/>
      </w:pPr>
      <w:r w:rsidRPr="009F5364">
        <w:t>–</w:t>
      </w:r>
      <w:r w:rsidRPr="009F5364">
        <w:tab/>
        <w:t>so zreteľom na svoje uznesenie z 19. júna 2020 o európskej ochrane cezhraničných a sezónnych pracovníkov v kontexte krízy spôsobenej ochorením COVID-19</w:t>
      </w:r>
      <w:r w:rsidRPr="009F5364">
        <w:rPr>
          <w:rStyle w:val="FootnoteReference"/>
        </w:rPr>
        <w:footnoteReference w:id="4"/>
      </w:r>
      <w:r w:rsidRPr="009F5364">
        <w:t>,</w:t>
      </w:r>
    </w:p>
    <w:p w:rsidR="00322D94" w:rsidRPr="009F5364" w:rsidRDefault="00322D94" w:rsidP="00322D94">
      <w:pPr>
        <w:pStyle w:val="NormalHanging12a"/>
      </w:pPr>
      <w:r w:rsidRPr="009F5364">
        <w:lastRenderedPageBreak/>
        <w:t>–</w:t>
      </w:r>
      <w:r w:rsidRPr="009F5364">
        <w:tab/>
        <w:t>so zreteľom na článok 45 ods. 2 Zmluvy o fungovaní Európskej únie, v ktorom sa stanovuje, že „voľný pohyb pracovníkov zahŕňa zrušenie akejkoľvek diskriminácie pracovníkov členských štátov na základe štátnej príslušnosti, pokiaľ ide o zamestnanie, odmenu za prácu a ostatné pracovné podmienky“.</w:t>
      </w:r>
    </w:p>
    <w:p w:rsidR="00322D94" w:rsidRPr="009F5364" w:rsidRDefault="00322D94" w:rsidP="00322D94">
      <w:pPr>
        <w:pStyle w:val="NormalHanging12a"/>
      </w:pPr>
      <w:r w:rsidRPr="009F5364">
        <w:t>–</w:t>
      </w:r>
      <w:r w:rsidRPr="009F5364">
        <w:tab/>
        <w:t>so zreteľom na článok 132 ods. 2 rokovacieho poriadku,</w:t>
      </w:r>
    </w:p>
    <w:p w:rsidR="00322D94" w:rsidRPr="009F5364" w:rsidRDefault="00322D94" w:rsidP="00322D94">
      <w:pPr>
        <w:pStyle w:val="NormalHanging12a"/>
      </w:pPr>
      <w:r w:rsidRPr="009F5364">
        <w:t>–</w:t>
      </w:r>
      <w:r w:rsidRPr="009F5364">
        <w:tab/>
        <w:t xml:space="preserve">so zreteľom na návrh uznesenia Výboru pre zamestnanosť a sociálne veci, </w:t>
      </w:r>
    </w:p>
    <w:p w:rsidR="00322D94" w:rsidRPr="009F5364" w:rsidRDefault="00322D94" w:rsidP="00322D94">
      <w:pPr>
        <w:pStyle w:val="NormalHanging12a"/>
      </w:pPr>
      <w:r w:rsidRPr="009F5364">
        <w:t>A.</w:t>
      </w:r>
      <w:r w:rsidRPr="009F5364">
        <w:tab/>
        <w:t>keďže v roku 2021 žilo v inom členskom štáte približne 10 miliónov občanov EÚ v produktívnom veku</w:t>
      </w:r>
      <w:r w:rsidRPr="009F5364">
        <w:rPr>
          <w:rStyle w:val="FootnoteReference"/>
        </w:rPr>
        <w:footnoteReference w:id="5"/>
      </w:r>
      <w:r w:rsidRPr="009F5364">
        <w:t>; keďže počet štátnych príslušníkov tretích krajín, ktorí žijú a pracujú v EÚ, sa v posledných rokoch zvýšil; keďže v roku 2022 bolo na trhu práce EÚ zamestnaných 9,93 milióna občanov tretích krajín, čo zodpovedá 5,1 % celkovej populácie v produktívnom veku</w:t>
      </w:r>
      <w:r w:rsidRPr="009F5364">
        <w:rPr>
          <w:rStyle w:val="FootnoteReference"/>
        </w:rPr>
        <w:footnoteReference w:id="6"/>
      </w:r>
      <w:r w:rsidRPr="009F5364">
        <w:t>; keďže pracovníci z tretích krajín zatiaľ nepatria do rozsahu pôsobnosti Európskeho orgánu práce (ELA), hoci ich problémy súvisiace s mobilitou pracovnej sily a pracovnými podmienkami sú často podobné problémom pracovníkov z EÚ;</w:t>
      </w:r>
    </w:p>
    <w:p w:rsidR="00322D94" w:rsidRPr="009F5364" w:rsidRDefault="00322D94" w:rsidP="00322D94">
      <w:pPr>
        <w:pStyle w:val="NormalHanging12a"/>
      </w:pPr>
      <w:r w:rsidRPr="009F5364">
        <w:t>B.</w:t>
      </w:r>
      <w:r w:rsidRPr="009F5364">
        <w:tab/>
        <w:t>keďže voľný pohyb pracovníkov a sloboda poskytovať služby sú dve zo štyroch základných slobôd EÚ; keďže tieto slobody majú zásadný význam pre správne fungovanie jednotného trhu; keďže patria medzi hlavné úspechy integrácie EÚ;</w:t>
      </w:r>
    </w:p>
    <w:p w:rsidR="00322D94" w:rsidRPr="009F5364" w:rsidRDefault="00322D94" w:rsidP="00322D94">
      <w:pPr>
        <w:pStyle w:val="NormalHanging12a"/>
      </w:pPr>
      <w:r w:rsidRPr="009F5364">
        <w:t>C.</w:t>
      </w:r>
      <w:r w:rsidRPr="009F5364">
        <w:tab/>
        <w:t>keďže mobilite pracovníkov môže brániť nedostatočná koordinácia medzi systémami sociálneho zabezpečenia v členských štátoch; keďže problémy ovplyvňujúce prenosnosť práv a nárokov súvisiacich so sociálnym zabezpečením môžu odrádzať pracovníkov, ktorí uvažujú o práci v inom členskom štáte;</w:t>
      </w:r>
    </w:p>
    <w:p w:rsidR="00322D94" w:rsidRPr="009F5364" w:rsidRDefault="00322D94" w:rsidP="00322D94">
      <w:pPr>
        <w:pStyle w:val="NormalHanging12a"/>
      </w:pPr>
      <w:r w:rsidRPr="009F5364">
        <w:t>D.</w:t>
      </w:r>
      <w:r w:rsidRPr="009F5364">
        <w:tab/>
        <w:t xml:space="preserve">keďže </w:t>
      </w:r>
      <w:r w:rsidR="00296D4A" w:rsidRPr="009F5364">
        <w:t>Európsky p</w:t>
      </w:r>
      <w:r w:rsidRPr="009F5364">
        <w:t>arlament opakovane vyzval na vytvorenie EÚ čísla sociálneho zabezpečenia, ktoré by umožnilo jednoduchú identifikáciu pracovníkov, ich postavenia v zamestnaní a ich práv sociálneho zabezpečenia;</w:t>
      </w:r>
    </w:p>
    <w:p w:rsidR="00322D94" w:rsidRPr="009F5364" w:rsidRDefault="00322D94" w:rsidP="00322D94">
      <w:pPr>
        <w:pStyle w:val="NormalHanging12a"/>
      </w:pPr>
      <w:r w:rsidRPr="009F5364">
        <w:t>E.</w:t>
      </w:r>
      <w:r w:rsidRPr="009F5364">
        <w:tab/>
        <w:t>keďže mobilita pracovnej sily podporuje hospodársky rast a je prínosom pre EÚ ako celok, pretože vyrovnáva ponuku a dopyt po pracovnej sile; keďže mobilita pracovnej sily môže viesť aj k zlým pracovným podmienkam a vykorisťovaniu mobilných pracovníkov z dôvodu zneužívania a obchádzania existujúcich právnych predpisov alebo nedostatku informácií pracovníkov o ich právach a akýchkoľvek uplatniteľných kolektívnych zmluvách;</w:t>
      </w:r>
    </w:p>
    <w:p w:rsidR="00322D94" w:rsidRPr="009F5364" w:rsidRDefault="00322D94" w:rsidP="00322D94">
      <w:pPr>
        <w:pStyle w:val="NormalHanging12a"/>
      </w:pPr>
      <w:r w:rsidRPr="009F5364">
        <w:t>F.</w:t>
      </w:r>
      <w:r w:rsidRPr="009F5364">
        <w:tab/>
        <w:t xml:space="preserve">keďže zabezpečenie spravodlivej mobility a spravodlivej hospodárskej súťaže založenej na nediskriminácii a zásade rovnakej odmeny za rovnakú prácu zostáva výzvou v dôsledku 27 rôznych režimov trhu práce s vnútroštátnymi predpismi a postupmi; keďže právne predpisy Únie týkajúce sa pracovných a sociálnych práv pracovníkov sa musia riadne vykonávať a presadzovať vo všetkých členských štátoch, ako aj v cezhraničných situáciách; keďže orgán ELA by mal tiež podporovať využívanie inovatívnych prístupov k účinnej cezhraničnej spolupráci a zhromažďovaniu, analýze a výmene informácií; keďže mobilným pracovníkom, najmä štátnym príslušníkom tretích krajín, nie sú k dispozícii dostatočné podporné služby, ako napríklad právne, sociálne a </w:t>
      </w:r>
      <w:r w:rsidRPr="009F5364">
        <w:lastRenderedPageBreak/>
        <w:t>psychologické poradenstvo;</w:t>
      </w:r>
    </w:p>
    <w:p w:rsidR="00322D94" w:rsidRPr="009F5364" w:rsidRDefault="00322D94" w:rsidP="00322D94">
      <w:pPr>
        <w:pStyle w:val="NormalHanging12a"/>
      </w:pPr>
      <w:r w:rsidRPr="009F5364">
        <w:t>G.</w:t>
      </w:r>
      <w:r w:rsidRPr="009F5364">
        <w:tab/>
        <w:t>keďže Európsky pilier sociálnych práv vyhlásený v Göteborgu v roku 2017 určuje 20 zásad a stanovuje súbor sociálnych pravidiel pre silnú, sociálnu Európu, ktorá je spravodlivá a inkluzívna; keďže rovnaké práva a príležitosti, prístup na trh práce, spravodlivé pracovné podmienky, sociálna ochrana, začlenenie a autonómia sociálnych partnerov sú základnými kameňmi Únie zakotvenými v zmluvách;</w:t>
      </w:r>
    </w:p>
    <w:p w:rsidR="00322D94" w:rsidRPr="009F5364" w:rsidRDefault="00322D94" w:rsidP="00322D94">
      <w:pPr>
        <w:pStyle w:val="NormalHanging12a"/>
      </w:pPr>
      <w:r w:rsidRPr="009F5364">
        <w:t>H.</w:t>
      </w:r>
      <w:r w:rsidRPr="009F5364">
        <w:tab/>
        <w:t>keďže vnútroštátne orgány presadzovania práva, ako sú inšpektoráty práce a sociálneho zabezpečenia, ako aj sociálni partneri zapojení do inšpekcií práce a sociálneho zabezpečenia nemajú vždy potrebné zdroje, a preto môžu mať ťažkosti s účinným presadzovaním vnútroštátneho práva a práva EÚ, najmä v cezhraničných situáciách; keďže účinné presadzovanie si vyžaduje dostatočné zdroje, ako aj štruktúrovanú spoluprácu a pravidelnú a bezpečnú výmenu informácií medzi členskými štátmi a všetkými príslušnými zainteresovanými stranami;</w:t>
      </w:r>
    </w:p>
    <w:p w:rsidR="00322D94" w:rsidRPr="009F5364" w:rsidRDefault="00322D94" w:rsidP="00322D94">
      <w:pPr>
        <w:pStyle w:val="NormalHanging12a"/>
      </w:pPr>
      <w:r w:rsidRPr="009F5364">
        <w:t>I.</w:t>
      </w:r>
      <w:r w:rsidRPr="009F5364">
        <w:tab/>
        <w:t>keďže orgán ELA bol zriadený s cieľom uľahčiť cezhraničnú spoluprácu pri účinnom presadzovaní pracovného práva vrátane spoločných a zosúladených inšpekcií a výmenu informácií medzi členskými štátmi o otázkach mobility pracovnej sily s cieľom podporiť spravodlivé a dobre fungujúce trhy práce a systémy sociálneho zabezpečenia, chrániť pracovníkov a zabezpečiť spravodlivú hospodársku súťaž na jednotnom trhu;</w:t>
      </w:r>
    </w:p>
    <w:p w:rsidR="00322D94" w:rsidRPr="009F5364" w:rsidRDefault="00322D94" w:rsidP="00322D94">
      <w:pPr>
        <w:pStyle w:val="NormalHanging12a"/>
      </w:pPr>
      <w:r w:rsidRPr="009F5364">
        <w:t>J.</w:t>
      </w:r>
      <w:r w:rsidRPr="009F5364">
        <w:tab/>
        <w:t>keďže členské štáty by mali poskytovať podporu, informácie a poradenstvo pracovníkom a zamestnávateľom; keďže ani orgán ELA, ani zúčastnené odborové zväzy nemajú dostatočné zdroje na to, aby fungovali ako asistenčná služba pre jednotlivcov;</w:t>
      </w:r>
    </w:p>
    <w:p w:rsidR="00322D94" w:rsidRPr="009F5364" w:rsidRDefault="00322D94" w:rsidP="00322D94">
      <w:pPr>
        <w:pStyle w:val="NormalHanging12a"/>
      </w:pPr>
      <w:r w:rsidRPr="009F5364">
        <w:t>K.</w:t>
      </w:r>
      <w:r w:rsidRPr="009F5364">
        <w:tab/>
        <w:t>keďže orgán ELA na základe svojho zakladajúceho nariadenia musí prispievať k zabezpečeniu spravodlivej mobility pracovnej sily v Únii a pomáhať členským štátom a Komisii pri koordinácii systémov sociálneho zabezpečenia v rámci Únie; keďže orgán ELA vykonáva v tomto smere viacero úloh vrátane uľahčenia prístupu jednotlivcov, zamestnávateľov a sociálnych partnerov k informáciám o mobilite pracovnej sily, podpory členských štátov pri presadzovaní cezhraničného zosúlaďovania ponúkaných pracovných miest a koordinácie európskych služieb zamestnanosti (EURES), uľahčenia spolupráce a výmeny informácií medzi členskými štátmi, koordinácie a podpory zosúladených a spoločných inšpekcií, vykonávania analýz a posúdení rizík v otázkach súvisiacich s cezhraničnou mobilitou pracovnej sily, podpory členských štátov pri budovaní kapacít v oblasti mobility pracovnej sily, riešenia problému nedeklarovanej práce a mediácie sporov medzi členskými štátmi o uplatňovaní príslušných právnych predpisov EÚ;</w:t>
      </w:r>
    </w:p>
    <w:p w:rsidR="00322D94" w:rsidRPr="009F5364" w:rsidRDefault="00322D94" w:rsidP="00322D94">
      <w:pPr>
        <w:pStyle w:val="NormalHanging12a"/>
      </w:pPr>
      <w:r w:rsidRPr="009F5364">
        <w:t>L.</w:t>
      </w:r>
      <w:r w:rsidRPr="009F5364">
        <w:tab/>
        <w:t>keďže orgán ELA ešte nedosiahol svoj plný operačný potenciál; keďže činnosti a vplyv orgánu ELA sú obmedzené z dôvodu dobrovoľnej povahy spolupráce a účasti členských štátov a jeho obmedzených právomocí požadovať a spracúvať údaje dotknutých pracovníkov a spoločností; keďže orgánu ELA jeho právny rámec bráni vykonávať vyšetrovania z vlastnej iniciatívy alebo zaoberať sa záležitosťami týkajúcimi sa mobility pracovnej sily z tretích krajín;</w:t>
      </w:r>
    </w:p>
    <w:p w:rsidR="00322D94" w:rsidRPr="009F5364" w:rsidRDefault="00322D94" w:rsidP="00322D94">
      <w:pPr>
        <w:pStyle w:val="NormalHanging12a"/>
      </w:pPr>
      <w:r w:rsidRPr="009F5364">
        <w:t>M.</w:t>
      </w:r>
      <w:r w:rsidRPr="009F5364">
        <w:tab/>
        <w:t>keďže pravidlá a postupy vykonávania inšpekcie práce sú v jednotlivých členských štátoch veľmi rozdielne, rovnako ako spolupráca medzi vnútroštátnymi orgánmi a orgánom ELA;</w:t>
      </w:r>
    </w:p>
    <w:p w:rsidR="00322D94" w:rsidRPr="009F5364" w:rsidRDefault="00322D94" w:rsidP="00322D94">
      <w:pPr>
        <w:pStyle w:val="NormalHanging12a"/>
      </w:pPr>
      <w:r w:rsidRPr="009F5364">
        <w:lastRenderedPageBreak/>
        <w:t>N.</w:t>
      </w:r>
      <w:r w:rsidRPr="009F5364">
        <w:tab/>
        <w:t>keďže Európsky orgán pre bankovníctvo dostal mandát na vykonávanie vyšetrovaní z vlastnej iniciatívy; keďže niektoré európske agentúry, ako je Europol, majú prístup do informačného systému o vnútornom trhu (IMI) a môžu spracúvať osobné údaje; keďže orgán ELA podobné práva nemá;</w:t>
      </w:r>
    </w:p>
    <w:p w:rsidR="00322D94" w:rsidRPr="009F5364" w:rsidRDefault="00322D94" w:rsidP="00322D94">
      <w:pPr>
        <w:pStyle w:val="NormalHanging12a"/>
      </w:pPr>
      <w:r w:rsidRPr="009F5364">
        <w:t>O.</w:t>
      </w:r>
      <w:r w:rsidRPr="009F5364">
        <w:tab/>
        <w:t>keďže sociálni partneri nemusia najprv vyčerpať vnútroštátne možnosti presadzovania práva, pretože môžu kedykoľvek upozorniť orgán ELA na cezhraničné prípady s cieľom iniciovať cezhraničné kontroly; keďže včasné, systematické a štrukturálne zapojenie EÚ, odvetvových a vnútroštátnych sociálnych partnerov je nevyhnutné na zlepšenie efektivity orgánu ELA;</w:t>
      </w:r>
    </w:p>
    <w:p w:rsidR="00322D94" w:rsidRPr="009F5364" w:rsidRDefault="00322D94" w:rsidP="00322D94">
      <w:pPr>
        <w:pStyle w:val="NormalHanging12a"/>
      </w:pPr>
      <w:r w:rsidRPr="009F5364">
        <w:t>P.</w:t>
      </w:r>
      <w:r w:rsidRPr="009F5364">
        <w:tab/>
        <w:t>keďže do orgánu ELA bola začlenená európska platforma na boj proti nelegálnej práci; keďže nelegálna práca je v EÚ naďalej akútnym problémom; keďže niektoré odvetvia, napríklad ubytovacie a pohostinské služby, stavebníctvo, cestovný ruch, opatrovateľské služby a služby pre domácnosť, sú ovplyvnené viac ako iné;</w:t>
      </w:r>
    </w:p>
    <w:p w:rsidR="00322D94" w:rsidRPr="009F5364" w:rsidRDefault="00322D94" w:rsidP="00322D94">
      <w:pPr>
        <w:pStyle w:val="NormalHanging12a"/>
      </w:pPr>
      <w:r w:rsidRPr="009F5364">
        <w:t>Q.</w:t>
      </w:r>
      <w:r w:rsidRPr="009F5364">
        <w:tab/>
        <w:t>keďže prieskumy a analýzy orgánu ELA sa často zadávajú externým dodávateľom, čo bráni orgánu v budovaní vlastných odborných znalostí a mohlo by spochybniť jeho nezávislosť;</w:t>
      </w:r>
    </w:p>
    <w:p w:rsidR="00322D94" w:rsidRPr="009F5364" w:rsidRDefault="00322D94" w:rsidP="00322D94">
      <w:pPr>
        <w:pStyle w:val="NormalHanging12a"/>
      </w:pPr>
      <w:r w:rsidRPr="009F5364">
        <w:t>R.</w:t>
      </w:r>
      <w:r w:rsidRPr="009F5364">
        <w:tab/>
        <w:t>keďže jedným z cieľov zriadenia orgánu ELA bolo riešiť nedostatočnú výmenu informácií medzi vnútroštátnymi orgánmi zodpovednými za rôzne aspekty mobility pracovnej sily a koordináciu systémov sociálneho zabezpečenia, aby sa zabezpečilo čo najefektívnejšie využívanie všetkých dostupných prostriedkov v oblastiach, v ktorých môže orgán ELA poskytnúť pridanú hodnotu;</w:t>
      </w:r>
    </w:p>
    <w:p w:rsidR="00322D94" w:rsidRPr="009F5364" w:rsidRDefault="00322D94" w:rsidP="00322D94">
      <w:pPr>
        <w:pStyle w:val="NormalHanging12a"/>
      </w:pPr>
      <w:r w:rsidRPr="009F5364">
        <w:t>S.</w:t>
      </w:r>
      <w:r w:rsidRPr="009F5364">
        <w:tab/>
        <w:t>keďže v EÚ sa zvyšuje nesúlad medzi ponúkanými a požadovanými zručnosťami a nedostatok pracovných síl; keďže sieť EURES môže zohrávať ústrednú úlohu pri podpore mobility pracovnej sily a cezhraničného zosúlaďovania ponúkaných a požadovaných pracovných miest; keďže orgán ELA nemá kapacity na poskytovanie asistenčných služieb jednotlivým uchádzačom o zamestnanie a podnikom; keďže sa nevyužíva plný potenciál siete EURES; keďže vnútroštátne orgány, agentúry práce a sociálni partneri by mali viac podporovať využívanie siete EURES;</w:t>
      </w:r>
    </w:p>
    <w:p w:rsidR="00322D94" w:rsidRPr="009F5364" w:rsidRDefault="00322D94" w:rsidP="00322D94">
      <w:pPr>
        <w:pStyle w:val="NormalHanging12a"/>
      </w:pPr>
      <w:r w:rsidRPr="009F5364">
        <w:t>T.</w:t>
      </w:r>
      <w:r w:rsidRPr="009F5364">
        <w:tab/>
        <w:t>keďže do 1. augusta 2024 a potom každých päť rokov musí Komisia posúdiť výkonnosť orgánu ELA vo vzťahu k jeho cieľom, mandátu a úlohám v súlade s článkom 40 nariadenia (EÚ) 2019/1149; keďže v hodnotení Komisie týkajúcom sa orgánu ELA by sa mali zohľadniť prínos orgánu ELA a príslušných zainteresovaných strán, a najmä by sa malo posúdiť, či je potrebné zmeniť jeho mandát a rozsah jeho činností vrátane rozšírenia jeho rozsahu pôsobnosti na potreby špecifické pre jednotlivé odvetvia; keďže v hodnotení by sa mali preskúmať aj ďalšie synergie a príležitosti na zosúladenie s inými agentúrami v oblasti zamestnanosti, sociálnej politiky a základných práv a malo by sa v ňom určiť, v ktorých oblastiach by činnosti ELA mohli priniesť vnútroštátnym orgánom väčšiu pridanú hodnotu;</w:t>
      </w:r>
    </w:p>
    <w:p w:rsidR="00322D94" w:rsidRPr="009F5364" w:rsidRDefault="00322D94" w:rsidP="00322D94">
      <w:pPr>
        <w:pStyle w:val="NormalHanging12a"/>
      </w:pPr>
      <w:r w:rsidRPr="009F5364">
        <w:t>U.</w:t>
      </w:r>
      <w:r w:rsidRPr="009F5364">
        <w:tab/>
        <w:t>keďže v hodnotení by sa mala ďalej preskúmať pravidelná spolupráca a výmena informácií s Europolom a Eurojustom v prípadoch trestných činov, najmä ak ide o organizovaný zločin, napríklad v stavebníctve, a v prípade európskych dotácií spolupráca a výmena informácií s Európskou prokuratúrou;</w:t>
      </w:r>
    </w:p>
    <w:p w:rsidR="00322D94" w:rsidRPr="009F5364" w:rsidRDefault="00322D94" w:rsidP="00322D94">
      <w:pPr>
        <w:pStyle w:val="NormalHanging12a"/>
      </w:pPr>
      <w:r w:rsidRPr="009F5364">
        <w:t>V.</w:t>
      </w:r>
      <w:r w:rsidRPr="009F5364">
        <w:tab/>
        <w:t xml:space="preserve">keďže vo svojom uznesení z 11. mája 2023 o pláne smerovania k sociálnej Európe – </w:t>
      </w:r>
      <w:r w:rsidRPr="009F5364">
        <w:lastRenderedPageBreak/>
        <w:t xml:space="preserve">dva roky po sociálnom samite v Porte </w:t>
      </w:r>
      <w:r w:rsidR="00296D4A" w:rsidRPr="009F5364">
        <w:t>Európsky p</w:t>
      </w:r>
      <w:r w:rsidRPr="009F5364">
        <w:t xml:space="preserve">arlament zdôraznil význam dobre fungujúceho a efektívneho orgánu ELA; keďže </w:t>
      </w:r>
      <w:r w:rsidR="00296D4A" w:rsidRPr="009F5364">
        <w:t>Európsky p</w:t>
      </w:r>
      <w:r w:rsidRPr="009F5364">
        <w:t>arlament už vyzval Komisiu, aby využila príležitosť, ktorú ponúka nadchádzajúce hodnotenie, a predložila legislatívny návrh na preskúmanie rozsahu pôsobnosti zakladajúceho nariadenia orgánu ELA a umožnila mu naplno využiť jeho potenciál, najmä pokiaľ ide o vyšetrovacie a zisťovacie právomoci orgánu ELA;</w:t>
      </w:r>
    </w:p>
    <w:p w:rsidR="00322D94" w:rsidRPr="009F5364" w:rsidRDefault="00322D94" w:rsidP="00322D94">
      <w:pPr>
        <w:pStyle w:val="NormalHanging12a"/>
      </w:pPr>
      <w:r w:rsidRPr="009F5364">
        <w:t>1.</w:t>
      </w:r>
      <w:r w:rsidRPr="009F5364">
        <w:tab/>
        <w:t>vyzýva Komisiu, aby na základe skúseností získaných od roku 2019 a na základe prebiehajúceho posudzovania mandátu a operačnej kapacity orgánu ELA predložila návrh cielenej revízie zakladajúceho nariadenia orgánu ELA s cieľom posilniť jeho mandát a pridanú hodnotu pre vnútroštátne orgány, aby mohol v plnej miere plniť svoje poslanie, ktorým je zabezpečenie spravodlivej mobility pracovnej sily;</w:t>
      </w:r>
    </w:p>
    <w:p w:rsidR="00322D94" w:rsidRPr="009F5364" w:rsidRDefault="00322D94" w:rsidP="00322D94">
      <w:pPr>
        <w:pStyle w:val="NormalHanging12a"/>
      </w:pPr>
      <w:r w:rsidRPr="009F5364">
        <w:t>2.</w:t>
      </w:r>
      <w:r w:rsidRPr="009F5364">
        <w:tab/>
        <w:t>žiada, aby sa mandát orgánu ELA podstatne posilnil s cieľom zabezpečiť jeho pridanú hodnotu pre vnútroštátne orgány presadzovania práva tým, že sa mu umožní vyšetrovať údajné porušenia alebo neuplatňovanie práva EÚ a iniciovať a vykonávať vyšetrovania a kontroly cezhraničných prípadov z vlastnej iniciatívy po tom, ako o tom informuje príslušné vnútroštátne orgány, a to najmä v prípadoch, ktoré sa týkajú porušovania práva EÚ, alebo v prípadoch, keď príslušné vnútroštátne orgány neprijali následné opatrenia v súvislosti s údajným porušovaním alebo neuplatňovaním práva EÚ; zdôrazňuje, že je potrebné príslušným vnútroštátnym orgánom oznamovať každé vyšetrovanie orgánu ELA v ich jurisdikcii a informovať o tom sociálnych partnerov, a zabezpečiť, aby príslušné vnútroštátne orgány bezodkladne poskytli orgánu ELA všetky informácie, ktoré považuje za potrebné na účely svojho vyšetrovania, v súlade s vnútroštátnymi právnymi predpismi a postupmi;</w:t>
      </w:r>
    </w:p>
    <w:p w:rsidR="00322D94" w:rsidRPr="009F5364" w:rsidRDefault="00322D94" w:rsidP="00322D94">
      <w:pPr>
        <w:pStyle w:val="NormalHanging12a"/>
      </w:pPr>
      <w:r w:rsidRPr="009F5364">
        <w:t>3.</w:t>
      </w:r>
      <w:r w:rsidRPr="009F5364">
        <w:tab/>
        <w:t>pripomína, že v niektorých členských štátoch vykonávajú inšpekcie práce sociálni partneri; zdôrazňuje, že je dôležité zabezpečiť, aby orgán ELA a príslušné vnútroštátne orgány účinne spolupracovali so sociálnymi partnermi a zároveň rešpektovali ich autonómiu, práva a výsady v súlade s vnútroštátnymi pracovnoprávnymi vzťahmi;</w:t>
      </w:r>
    </w:p>
    <w:p w:rsidR="00322D94" w:rsidRPr="009F5364" w:rsidRDefault="00322D94" w:rsidP="00322D94">
      <w:pPr>
        <w:pStyle w:val="NormalHanging12a"/>
      </w:pPr>
      <w:r w:rsidRPr="009F5364">
        <w:t>4.</w:t>
      </w:r>
      <w:r w:rsidRPr="009F5364">
        <w:tab/>
        <w:t>pripomína, že rozsah pôsobnosti orgánu ELA je obmedzený na akty Únie uvedené v jeho zakladajúcom nariadení; konštatuje však, že orgán je často konfrontovaný s problémami súvisiacimi s pracovnými podmienkami štátnych príslušníkov tretích krajín, na ktorých sa vzťahujú príslušné pracovnoprávne predpisy; vyzýva preto na rozšírenie mandátu orgánu ELA tak, aby zahŕňal mobilitu pracovnej sily týkajúcu sa štátnych príslušníkov tretích krajín, pričom by sa mal osobitný dôraz klásť na ukončenie fiktívneho vysielania pracovníkov a nepravej samostatnej zárobkovej činnosti; zdôrazňuje, že je potrebné lepšie podporovať členské štáty pri uplatňovaní príslušných právnych predpisov EÚ a výslovne zahrnúť do jeho mandátu špecifické právne predpisy pre jednotlivé odvetvia týkajúce sa pracovného práva v kontexte mobility pracovnej sily, napríklad v odvetví dopravy, stavebníctva a poľnohospodárstva, ako aj v prípade dočasnej agentúrnej práce;</w:t>
      </w:r>
    </w:p>
    <w:p w:rsidR="00322D94" w:rsidRPr="009F5364" w:rsidRDefault="00322D94" w:rsidP="00322D94">
      <w:pPr>
        <w:pStyle w:val="NormalHanging12a"/>
      </w:pPr>
      <w:r w:rsidRPr="009F5364">
        <w:t>5.</w:t>
      </w:r>
      <w:r w:rsidRPr="009F5364">
        <w:tab/>
        <w:t xml:space="preserve">zdôrazňuje, že je potrebné zabezpečiť primerané následné opatrenia na zosúladené a spoločné inšpekcie podporované alebo uľahčené orgánom ELA; požaduje účinné postupy s cieľom zabezpečiť, aby sa porušenia vnútroštátnych právnych predpisov a právnych predpisov EÚ zistené v oblasti mobility pracovnej sily riadne riešili administratívnymi alebo právnymi postupmi v členských štátoch; zdôrazňuje, že orgán ELA by mal mať právomoc začať správne a súdne konanie v prípade podozrenia z porušenia predpisov; zdôrazňuje, že orgán ELA by v rámci svojho mandátu mal </w:t>
      </w:r>
      <w:r w:rsidRPr="009F5364">
        <w:lastRenderedPageBreak/>
        <w:t>podporovať vymáhanie nevyplatených miezd a príspevkov na sociálne zabezpečenie v cezhraničných prípadoch, napríklad poskytovaním dostupných informácií a dôkazov;</w:t>
      </w:r>
    </w:p>
    <w:p w:rsidR="00322D94" w:rsidRPr="009F5364" w:rsidRDefault="00322D94" w:rsidP="00322D94">
      <w:pPr>
        <w:pStyle w:val="NormalHanging12a"/>
      </w:pPr>
      <w:r w:rsidRPr="009F5364">
        <w:t>6.</w:t>
      </w:r>
      <w:r w:rsidRPr="009F5364">
        <w:tab/>
        <w:t>zdôrazňuje, že orgán ELA by mal dôkladne sledovať prípady, na ktoré ho upozornia organizácie sociálnych partnerov, tým, že bude iniciovať spoločné a zosúladené inšpekcie s príslušnými vnútroštátnymi orgánmi alebo vykonávať vlastné inšpekcie; zdôrazňuje, že sociálni partneri by mali mať možnosť požiadať o prešetrenie alebo inšpekciu orgánom ELA; zdôrazňuje, že sociálni partneri by mali dostať následné informácie o konaní a v prípade, že orgán ELA žiadosť zamietne, aj podrobné odôvodnenie;</w:t>
      </w:r>
    </w:p>
    <w:p w:rsidR="00322D94" w:rsidRPr="009F5364" w:rsidRDefault="00322D94" w:rsidP="00322D94">
      <w:pPr>
        <w:pStyle w:val="NormalHanging12a"/>
      </w:pPr>
      <w:r w:rsidRPr="009F5364">
        <w:t>7.</w:t>
      </w:r>
      <w:r w:rsidRPr="009F5364">
        <w:tab/>
        <w:t>zdôrazňuje, že na ukončenie nedodržiavania pracovnoprávnych predpisov, obchádzania platieb sociálneho zabezpečenia a daňových únikov pri cezhraničných činnostiach je potrebné účinné presadzovanie práva vrátane odrádzajúcich finančných sankcií; vyzýva preto orgán ELA, aby v rámci svojho mandátu poskytol prioritu cezhraničnému presadzovaniu práva a kontrolám a aby spolupracoval s ostatnými príslušnými agentúrami EÚ; zdôrazňuje, že orgán ELA by si mal viesť evidenciu prípadov, v ktorých boli porušené právne predpisy EÚ a vnútroštátne právne predpisy v oblasti mobility pracovnej sily, v súlade s platnými pravidlami EÚ o ochrane údajov;</w:t>
      </w:r>
    </w:p>
    <w:p w:rsidR="00322D94" w:rsidRPr="009F5364" w:rsidRDefault="00322D94" w:rsidP="00322D94">
      <w:pPr>
        <w:pStyle w:val="NormalHanging12a"/>
      </w:pPr>
      <w:r w:rsidRPr="009F5364">
        <w:t>8.</w:t>
      </w:r>
      <w:r w:rsidRPr="009F5364">
        <w:tab/>
        <w:t>pripomína, že v návrhu nariadenia o zriadení Európskeho orgánu práce (článok 10 ods. 7), ktorý predložila Komisia, sa orgánu stanovila povinnosť oznámiť Komisii a orgánom dotknutého členského štátu podozrenie na nezrovnalosti „v uplatňovaní práva Únie, a to aj v oblastiach mimo rozsahu jeho pôsobnosti“, ak sa o takýchto nezrovnalostiach dozvie počas svojej činnosti; vyjadruje poľutovanie nad skutočnosťou, že toto ustanovenie nebolo zahrnuté do prijatého znenia zakladajúceho nariadenia; zdôrazňuje, že v revízii zakladajúceho nariadenia orgánu ELA by toto ustanovenie malo byť zahrnuté;</w:t>
      </w:r>
    </w:p>
    <w:p w:rsidR="00322D94" w:rsidRPr="009F5364" w:rsidRDefault="00322D94" w:rsidP="00322D94">
      <w:pPr>
        <w:pStyle w:val="NormalHanging12a"/>
        <w:rPr>
          <w:bCs/>
          <w:iCs/>
        </w:rPr>
      </w:pPr>
      <w:r w:rsidRPr="009F5364">
        <w:t>9.</w:t>
      </w:r>
      <w:r w:rsidRPr="009F5364">
        <w:tab/>
        <w:t>vyzýva na včasné, systematické a štrukturálne zapojenie EÚ, odvetvových a vnútroštátnych sociálnych partnerov do vyvíjania a vykonávania činností orgánu na zlepšenie jeho efektivity; vyzýva príslušné vnútroštátne orgány, aby v tejto súvislosti užšie spolupracovali so svojimi vnútroštátnymi sociálnymi partnermi, pretože predstavujú expertov v oblasti pracovného práva;</w:t>
      </w:r>
    </w:p>
    <w:p w:rsidR="00322D94" w:rsidRPr="009F5364" w:rsidRDefault="00322D94" w:rsidP="00322D94">
      <w:pPr>
        <w:pStyle w:val="NormalHanging12a"/>
        <w:rPr>
          <w:bCs/>
          <w:iCs/>
        </w:rPr>
      </w:pPr>
      <w:r w:rsidRPr="009F5364">
        <w:t>10.</w:t>
      </w:r>
      <w:r w:rsidRPr="009F5364">
        <w:tab/>
        <w:t>vyzýva členské štáty, aby uznali pridanú hodnotu ELA, posilnili spoluprácu medzi príslušnými orgánmi a ELA a poskytli dostatok zdrojov na národnej úrovni na zabezpečenie toho, aby príslušné orgány mali prostriedky, kapacitu a štruktúru na účinnú spoluprácu a fungovanie; pripomína kľúčovú úlohu národných styčných úradníkov pri uľahčovaní spolupráce medzi členskými štátmi a orgánom ELA tým, že pôsobia ako národné kontaktné miesta a uľahčujú výmenu informácií medzi orgánom ELA a členskými štátmi; zdôrazňuje, že národní experti vyslaní členskými štátmi vrátane národných styčných úradníkov by mali pomáhať pri plnení úloh orgánu ELA a nemali by pracovať pod vedením alebo dohľadom svojho členského štátu; zdôrazňuje potrebu ponúknuť sociálnym partnerom na úrovni EÚ príležitosť určiť jedného styčného úradníka;</w:t>
      </w:r>
    </w:p>
    <w:p w:rsidR="00322D94" w:rsidRPr="009F5364" w:rsidRDefault="00322D94" w:rsidP="00322D94">
      <w:pPr>
        <w:pStyle w:val="NormalHanging12a"/>
      </w:pPr>
      <w:r w:rsidRPr="009F5364">
        <w:t>11.</w:t>
      </w:r>
      <w:r w:rsidRPr="009F5364">
        <w:tab/>
        <w:t xml:space="preserve">upozorňuje na častejší výskyt neistých pracovných a životných podmienok medzi štátnymi príslušníkmi tretích krajín, ktorí sú napríklad závislí od bývania poskytnutého zamestnávateľom; zdôrazňuje, že orgán ELA by mal mať právomoc riešiť situáciu štátnych príslušníkov tretích krajín na základe platných pracovnoprávnych predpisov </w:t>
      </w:r>
      <w:r w:rsidRPr="009F5364">
        <w:lastRenderedPageBreak/>
        <w:t>EÚ a že v tejto súvislosti je potrebná úzka spolupráca s členskými štátmi, sociálnymi partnermi a organizáciami občianskej spoločnosti; poukazuje na to, že členské štáty by mohli mať prospech zo spôsobilosti orgánu ELA poskytovať informácie o pracovných podmienkach mobilných štátnych príslušníkov tretích krajín; zdôrazňuje, že orgán ELA by mal mať možnosť zhromažďovať údaje týkajúce sa situácie mobilných pracovníkov vrátane štátnych príslušníkov tretích krajín a mať k nim prístup v súlade s platnými pravidlami EÚ o ochrane údajov a podporovať členské štáty pri lepšom presadzovaní existujúcich právnych predpisov pre štátnych príslušníkov tretích krajín pracujúcich na jednotnom trhu; konštatuje, že orgán ELA by mohol zohrávať úlohu aj pri uľahčovaní spolupráce a výmeny informácií medzi členskými štátmi, v súvislosti so zlepšením prístupu štátnych príslušníkov tretích krajín k príslušným orgánom v oblasti mobility pracovnej sily a pracovných podmienok;</w:t>
      </w:r>
    </w:p>
    <w:p w:rsidR="00322D94" w:rsidRPr="009F5364" w:rsidRDefault="00322D94" w:rsidP="00322D94">
      <w:pPr>
        <w:pStyle w:val="NormalHanging12a"/>
      </w:pPr>
      <w:r w:rsidRPr="009F5364">
        <w:t>12.</w:t>
      </w:r>
      <w:r w:rsidRPr="009F5364">
        <w:tab/>
        <w:t xml:space="preserve">vyjadruje poľutovanie nad skutočnosťou, že Komisia nenadviazala na uznesenie </w:t>
      </w:r>
      <w:r w:rsidR="00296D4A" w:rsidRPr="009F5364">
        <w:t>Európskeho p</w:t>
      </w:r>
      <w:r w:rsidRPr="009F5364">
        <w:t>arlamentu z 25. novembra 2021 o zavedení európskeho preukazu sociálneho zabezpečenia na zlepšenie digitálneho presadzovania práv sociálneho zabezpečenia a spravodlivej mobility</w:t>
      </w:r>
      <w:r w:rsidRPr="009F5364">
        <w:rPr>
          <w:rStyle w:val="FootnoteReference"/>
        </w:rPr>
        <w:footnoteReference w:id="7"/>
      </w:r>
      <w:r w:rsidRPr="009F5364">
        <w:t xml:space="preserve"> ani na jeho opakovanú výzvu na predloženie legislatívneho návrhu o vytvorení európskeho čísla sociálneho zabezpečenia; opakuje preto svoju výzvu Komisii, aby bezodkladne predložila takýto návrh s cieľom uľahčiť činnosti orgánu ELA a vnútroštátnych orgánov v oblasti presadzovania práva, umožniť koordináciu sociálneho zabezpečenia a zabezpečiť spravodlivú mobilitu pracovnej sily;</w:t>
      </w:r>
    </w:p>
    <w:p w:rsidR="00322D94" w:rsidRPr="009F5364" w:rsidRDefault="00322D94" w:rsidP="00322D94">
      <w:pPr>
        <w:pStyle w:val="NormalHanging12a"/>
      </w:pPr>
      <w:r w:rsidRPr="009F5364">
        <w:t>13.</w:t>
      </w:r>
      <w:r w:rsidRPr="009F5364">
        <w:tab/>
        <w:t>poukazuje na to, že vykorisťovateľské, podvodné a zneužívajúce korporátne praktiky v oblasti mobility pracovnej sily zo strany medzinárodných aktérov nie je vždy ľahké identifikovať a riešiť na vnútroštátnej úrovni; je preto presvedčený, že orgán ELA by mohol poskytnúť pridanú hodnotu prostredníctvom operačných analýz na úrovni EÚ s cieľom lepšie identifikovať a odhaliť rizikové odvetvia a nekalé praktiky dotknutých subjektov a vymieňať si najlepšie postupy na riešenie takýchto prípadov; vyjadruje poľutovanie nad tým, že súčasné nariadenie o orgáne ELA neposkytuje dostatočný právny základ na vykonávanie analýz operačných rizík ani žiadne následné postupy; pripomína, že akékoľvek nedodržanie alebo porušenie práva EÚ v oblasti mobility pracovnej sily by malo zahŕňať vyšetrovanie a v príslušných prípadoch odrádzajúce sankcie;</w:t>
      </w:r>
    </w:p>
    <w:p w:rsidR="00322D94" w:rsidRPr="009F5364" w:rsidRDefault="00322D94" w:rsidP="00322D94">
      <w:pPr>
        <w:pStyle w:val="NormalHanging12a"/>
      </w:pPr>
      <w:r w:rsidRPr="009F5364">
        <w:t>14.</w:t>
      </w:r>
      <w:r w:rsidRPr="009F5364">
        <w:tab/>
        <w:t>požaduje jasné ustanovenie umožňujúce orgánu ELA spracúvať údaje súvisiace s vyšetrovaniami a operačnými analýzami v súlade s platnými pravidlami EÚ o ochrane údajov; požaduje, aby orgán ELA získal prístup do informačného systému o vnútornom trhu a ďalších príslušných databáz za predpokladu, že sa zabezpečí dôvernosť údajov a budú sa dodržiavať základné práva všetkých dotknutých osôb; zdôrazňuje, že na to, aby orgán ELA mohol vykonávať svoje úlohy včas a efektívne, potrebuje aj prístup ku všetkým vnútroštátnym údajom relevantným pre svoju prácu vrátane zistení z inšpekcií alebo činností členských štátov v oblasti presadzovania práva;</w:t>
      </w:r>
    </w:p>
    <w:p w:rsidR="00322D94" w:rsidRPr="009F5364" w:rsidRDefault="00322D94" w:rsidP="00322D94">
      <w:pPr>
        <w:pStyle w:val="NormalHanging12a"/>
      </w:pPr>
      <w:r w:rsidRPr="009F5364">
        <w:t>15.</w:t>
      </w:r>
      <w:r w:rsidRPr="009F5364">
        <w:tab/>
        <w:t>zdôrazňuje dôležitú úlohu, ktorú môže zohrávať sieť EURES pri riešení nedostatku pracovných síl a nesúladu medzi ponúkanými a požadovanými zručnosťami</w:t>
      </w:r>
      <w:r w:rsidRPr="009F5364">
        <w:rPr>
          <w:rStyle w:val="FootnoteReference"/>
        </w:rPr>
        <w:footnoteReference w:id="8"/>
      </w:r>
      <w:r w:rsidRPr="009F5364">
        <w:t xml:space="preserve"> v celej EÚ, ako aj pri poskytovaní všeobecných informácií o vnútroštátnych trhoch práce a systémoch sociálneho zabezpečenia a informácií o voľných pracovných miestach </w:t>
      </w:r>
      <w:r w:rsidRPr="009F5364">
        <w:lastRenderedPageBreak/>
        <w:t>v reálnom čase; zdôrazňuje význam používateľsky ústretovejšieho portálu EURES pre mobilných uchádzačov o zamestnanie a potenciálnych zamestnávateľov;</w:t>
      </w:r>
    </w:p>
    <w:p w:rsidR="00322D94" w:rsidRPr="009F5364" w:rsidRDefault="00322D94" w:rsidP="00322D94">
      <w:pPr>
        <w:pStyle w:val="NormalHanging12a"/>
      </w:pPr>
      <w:r w:rsidRPr="009F5364">
        <w:t>16.</w:t>
      </w:r>
      <w:r w:rsidRPr="009F5364">
        <w:tab/>
        <w:t>vyzýva na zlepšenie koordinácie a spolupráce medzi členskými štátmi, sociálnymi partnermi a orgánom ELA pri poskytovaní informácií týkajúcich sa mobility pracovnej sily a práv pracovníkov pracovníkom a zamestnávateľom;</w:t>
      </w:r>
    </w:p>
    <w:p w:rsidR="00322D94" w:rsidRPr="009F5364" w:rsidRDefault="00322D94" w:rsidP="00322D94">
      <w:pPr>
        <w:pStyle w:val="NormalHanging12a"/>
      </w:pPr>
      <w:r w:rsidRPr="009F5364">
        <w:t>17.</w:t>
      </w:r>
      <w:r w:rsidRPr="009F5364">
        <w:tab/>
        <w:t>zdôrazňuje potrebu účinnej spolupráce medzi agentúrami EÚ s cieľom vytvoriť synergie;</w:t>
      </w:r>
    </w:p>
    <w:p w:rsidR="00322D94" w:rsidRPr="009F5364" w:rsidRDefault="00322D94" w:rsidP="00322D94">
      <w:pPr>
        <w:pStyle w:val="NormalHanging12a"/>
      </w:pPr>
      <w:r w:rsidRPr="009F5364">
        <w:t>18.</w:t>
      </w:r>
      <w:r w:rsidRPr="009F5364">
        <w:tab/>
        <w:t>vyzýva na rozšírenie spolupráce v oblasti výmeny informácií s Europolom a Eurojustom v prípadoch trestných činov, najmä ak ide o organizovaný zločin, napríklad v stavebníctve, a v prípadoch, keď sú dotknuté európske dotácie, s Európskou prokuratúrou;</w:t>
      </w:r>
    </w:p>
    <w:p w:rsidR="00322D94" w:rsidRPr="009F5364" w:rsidRDefault="00322D94" w:rsidP="00322D94">
      <w:pPr>
        <w:pStyle w:val="NormalHanging12a"/>
      </w:pPr>
      <w:r w:rsidRPr="009F5364">
        <w:t>19.</w:t>
      </w:r>
      <w:r w:rsidRPr="009F5364">
        <w:tab/>
        <w:t>zdôrazňuje, že orgán ELA potrebuje dostatočné zdroje vrátane vlastných zamestnancov, aby mohol vykonávať svoje úlohy, a to najmä inšpekcie v teréne na odhaľovanie porušovania pracovného práva; konštatuje, že vysoký podiel vyslaných národných expertov (VNE) v rámci orgánu ELA predstavuje zo strednodobého a dlhodobého hľadiska značnú prekážku pre jeho operácie; pripomína, že VNE majú len dočasné úlohy, čo môže prispieť k inštitucionálnemu nesúladu, ohroziť prevádzkovú kontinuitu, ako aj viesť k ťažkostiam pri plnení hlavných úloh orgánu ELA; vyzýva preto na premenu dostatočného počtu miest VNE na trvalé pracovné miesta;</w:t>
      </w:r>
    </w:p>
    <w:p w:rsidR="00322D94" w:rsidRPr="009F5364" w:rsidRDefault="00322D94" w:rsidP="00322D94">
      <w:pPr>
        <w:pStyle w:val="NormalHanging12a"/>
      </w:pPr>
      <w:r w:rsidRPr="009F5364">
        <w:t>20.</w:t>
      </w:r>
      <w:r w:rsidRPr="009F5364">
        <w:tab/>
        <w:t xml:space="preserve">poveruje svoju predsedníčku, aby postúpila toto uznesenie </w:t>
      </w:r>
      <w:r w:rsidR="004F262D" w:rsidRPr="009F5364">
        <w:t>Rade a Komisii.</w:t>
      </w:r>
    </w:p>
    <w:sectPr w:rsidR="00322D94" w:rsidRPr="009F5364" w:rsidSect="004F26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071" w:rsidRPr="004F262D" w:rsidRDefault="00114071">
      <w:r w:rsidRPr="004F262D">
        <w:separator/>
      </w:r>
    </w:p>
  </w:endnote>
  <w:endnote w:type="continuationSeparator" w:id="0">
    <w:p w:rsidR="00114071" w:rsidRPr="004F262D" w:rsidRDefault="00114071">
      <w:r w:rsidRPr="004F26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6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6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6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071" w:rsidRPr="004F262D" w:rsidRDefault="00114071">
      <w:r w:rsidRPr="004F262D">
        <w:separator/>
      </w:r>
    </w:p>
  </w:footnote>
  <w:footnote w:type="continuationSeparator" w:id="0">
    <w:p w:rsidR="00114071" w:rsidRPr="004F262D" w:rsidRDefault="00114071">
      <w:r w:rsidRPr="004F262D">
        <w:continuationSeparator/>
      </w:r>
    </w:p>
  </w:footnote>
  <w:footnote w:id="1">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 xml:space="preserve">Ú. v. EÚ C, C/2023/1072, 15.12.2023, ELI: </w:t>
      </w:r>
      <w:hyperlink r:id="rId1" w:history="1">
        <w:r w:rsidRPr="00937C8F">
          <w:rPr>
            <w:rStyle w:val="Hyperlink"/>
            <w:sz w:val="24"/>
            <w:lang w:val="sk-SK"/>
          </w:rPr>
          <w:t>http://data.europa.eu/eli/C/2023/1072/oj</w:t>
        </w:r>
      </w:hyperlink>
      <w:r w:rsidRPr="004F262D">
        <w:rPr>
          <w:sz w:val="24"/>
          <w:lang w:val="sk-SK"/>
        </w:rPr>
        <w:t>.</w:t>
      </w:r>
    </w:p>
  </w:footnote>
  <w:footnote w:id="2">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Ú. v. EÚ C 482, 23.12.2016, s. 31.</w:t>
      </w:r>
    </w:p>
  </w:footnote>
  <w:footnote w:id="3">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Ú. v. EÚ L 186, 11.7.2019, s. 21.</w:t>
      </w:r>
    </w:p>
  </w:footnote>
  <w:footnote w:id="4">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Ú. v. EÚ C 362, 8.9.2021, s. 82</w:t>
      </w:r>
      <w:bookmarkStart w:id="7" w:name="_GoBack"/>
      <w:bookmarkEnd w:id="7"/>
      <w:r w:rsidRPr="004F262D">
        <w:rPr>
          <w:sz w:val="24"/>
          <w:lang w:val="sk-SK"/>
        </w:rPr>
        <w:t>.</w:t>
      </w:r>
    </w:p>
  </w:footnote>
  <w:footnote w:id="5">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Európska komisia, Výročná správa o mobilite pracovnej sily v rámci EÚ za rok 2022, Generálne riaditeľstvo pre zamestnanosť, sociálne záležitosti a začlenenie, 2022.</w:t>
      </w:r>
    </w:p>
  </w:footnote>
  <w:footnote w:id="6">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Európska komisia, Štatistika o migrácii do Európy, máj 2023.</w:t>
      </w:r>
    </w:p>
  </w:footnote>
  <w:footnote w:id="7">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Ú. v. EÚ C 224, 8.6.2022, s. 81.</w:t>
      </w:r>
    </w:p>
  </w:footnote>
  <w:footnote w:id="8">
    <w:p w:rsidR="00322D94" w:rsidRPr="004F262D" w:rsidRDefault="00322D94" w:rsidP="004F262D">
      <w:pPr>
        <w:pStyle w:val="FootnoteText"/>
        <w:ind w:left="567" w:hanging="567"/>
        <w:rPr>
          <w:sz w:val="24"/>
          <w:lang w:val="sk-SK"/>
        </w:rPr>
      </w:pPr>
      <w:r w:rsidRPr="004F262D">
        <w:rPr>
          <w:rStyle w:val="FootnoteReference"/>
          <w:sz w:val="24"/>
          <w:lang w:val="sk-SK"/>
        </w:rPr>
        <w:footnoteRef/>
      </w:r>
      <w:r w:rsidR="004F262D" w:rsidRPr="004F262D">
        <w:rPr>
          <w:sz w:val="24"/>
          <w:lang w:val="sk-SK"/>
        </w:rPr>
        <w:t xml:space="preserve"> </w:t>
      </w:r>
      <w:r w:rsidR="004F262D" w:rsidRPr="004F262D">
        <w:rPr>
          <w:sz w:val="24"/>
          <w:lang w:val="sk-SK"/>
        </w:rPr>
        <w:tab/>
      </w:r>
      <w:r w:rsidRPr="004F262D">
        <w:rPr>
          <w:sz w:val="24"/>
          <w:lang w:val="sk-SK"/>
        </w:rPr>
        <w:t xml:space="preserve">EURES, </w:t>
      </w:r>
      <w:hyperlink r:id="rId2" w:history="1">
        <w:r w:rsidRPr="004F262D">
          <w:rPr>
            <w:rStyle w:val="Hyperlink"/>
            <w:sz w:val="24"/>
            <w:lang w:val="sk-SK"/>
          </w:rPr>
          <w:t>Správa o nedostatku a prebytku pracovnej sily – 2022</w:t>
        </w:r>
      </w:hyperlink>
      <w:r w:rsidRPr="004F262D">
        <w:rPr>
          <w:sz w:val="24"/>
          <w:lang w:val="sk-SK"/>
        </w:rPr>
        <w:t>, Úrad pre vydávanie publikácií Európskej únie, Luxemburg,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6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6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6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SK"/>
    <w:docVar w:name="dvnumam" w:val="0"/>
    <w:docVar w:name="dvpe" w:val="753.637"/>
    <w:docVar w:name="dvtitre" w:val="Uznesenie Európskeho parlamentu z xx. januára 2024 o revízii mandátu Európskeho orgánu práce(2023/2866(RSP))"/>
  </w:docVars>
  <w:rsids>
    <w:rsidRoot w:val="00114071"/>
    <w:rsid w:val="00002272"/>
    <w:rsid w:val="00064002"/>
    <w:rsid w:val="000677B9"/>
    <w:rsid w:val="000831BA"/>
    <w:rsid w:val="000A42CC"/>
    <w:rsid w:val="000C249C"/>
    <w:rsid w:val="000E7DD9"/>
    <w:rsid w:val="0010095E"/>
    <w:rsid w:val="00114071"/>
    <w:rsid w:val="00125B37"/>
    <w:rsid w:val="0015732C"/>
    <w:rsid w:val="00187494"/>
    <w:rsid w:val="001F32AE"/>
    <w:rsid w:val="002767FF"/>
    <w:rsid w:val="00296D4A"/>
    <w:rsid w:val="002B18FE"/>
    <w:rsid w:val="002B5493"/>
    <w:rsid w:val="00322D94"/>
    <w:rsid w:val="00343214"/>
    <w:rsid w:val="00361C00"/>
    <w:rsid w:val="00395FA1"/>
    <w:rsid w:val="003E15D4"/>
    <w:rsid w:val="00411CCE"/>
    <w:rsid w:val="0041666E"/>
    <w:rsid w:val="00421060"/>
    <w:rsid w:val="00471C19"/>
    <w:rsid w:val="004867E3"/>
    <w:rsid w:val="00494A28"/>
    <w:rsid w:val="004C0004"/>
    <w:rsid w:val="004C5D52"/>
    <w:rsid w:val="004F262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C8F"/>
    <w:rsid w:val="009509D8"/>
    <w:rsid w:val="00950B64"/>
    <w:rsid w:val="00981893"/>
    <w:rsid w:val="009C2C0D"/>
    <w:rsid w:val="009F53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E587EB-EF9D-48E2-A86D-220C66B9C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2D94"/>
    <w:pPr>
      <w:spacing w:before="480" w:after="240"/>
    </w:pPr>
  </w:style>
  <w:style w:type="paragraph" w:customStyle="1" w:styleId="NormalHanging12a">
    <w:name w:val="NormalHanging12a"/>
    <w:basedOn w:val="Normal"/>
    <w:link w:val="NormalHanging12aChar"/>
    <w:rsid w:val="00322D94"/>
    <w:pPr>
      <w:spacing w:after="240"/>
      <w:ind w:left="567" w:hanging="567"/>
    </w:pPr>
  </w:style>
  <w:style w:type="character" w:styleId="Hyperlink">
    <w:name w:val="Hyperlink"/>
    <w:basedOn w:val="DefaultParagraphFont"/>
    <w:unhideWhenUsed/>
    <w:rsid w:val="00322D94"/>
    <w:rPr>
      <w:color w:val="0563C1" w:themeColor="hyperlink"/>
      <w:u w:val="single"/>
    </w:rPr>
  </w:style>
  <w:style w:type="character" w:customStyle="1" w:styleId="NormalHanging12aChar">
    <w:name w:val="NormalHanging12a Char"/>
    <w:basedOn w:val="DefaultParagraphFont"/>
    <w:link w:val="NormalHanging12a"/>
    <w:locked/>
    <w:rsid w:val="00322D94"/>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B8971-A20A-4446-BEA8-94F731391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3143</Words>
  <Characters>19709</Characters>
  <Application>Microsoft Office Word</Application>
  <DocSecurity>0</DocSecurity>
  <Lines>579</Lines>
  <Paragraphs>313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2024-02-26T10:48:00Z</dcterms:created>
  <dcterms:modified xsi:type="dcterms:W3CDTF">2024-02-26T10:48:00Z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B9-0059/2024</vt:lpwstr>
  </property>
  <property fmtid="{D5CDD505-2E9C-101B-9397-08002B2CF9AE}" pid="4" name="&lt;Type&gt;">
    <vt:lpwstr>RR</vt:lpwstr>
  </property>
</Properties>
</file>