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061" w:rsidTr="0010095E">
        <w:trPr>
          <w:trHeight w:hRule="exact" w:val="1418"/>
        </w:trPr>
        <w:tc>
          <w:tcPr>
            <w:tcW w:w="6804" w:type="dxa"/>
            <w:shd w:val="clear" w:color="auto" w:fill="auto"/>
            <w:vAlign w:val="center"/>
          </w:tcPr>
          <w:p w:rsidR="00751A4A" w:rsidRPr="006C3061" w:rsidRDefault="007824D0" w:rsidP="0010095E">
            <w:pPr>
              <w:pStyle w:val="EPName"/>
            </w:pPr>
            <w:r w:rsidRPr="006C3061">
              <w:t>Euroopan parlamentti</w:t>
            </w:r>
          </w:p>
          <w:p w:rsidR="00751A4A" w:rsidRPr="006C3061" w:rsidRDefault="00817416" w:rsidP="00756632">
            <w:pPr>
              <w:pStyle w:val="EPTerm"/>
              <w:rPr>
                <w:rStyle w:val="HideTWBExt"/>
                <w:noProof w:val="0"/>
                <w:vanish w:val="0"/>
                <w:color w:val="auto"/>
              </w:rPr>
            </w:pPr>
            <w:r w:rsidRPr="006C3061">
              <w:t>2019-2024</w:t>
            </w:r>
          </w:p>
        </w:tc>
        <w:tc>
          <w:tcPr>
            <w:tcW w:w="2268" w:type="dxa"/>
            <w:shd w:val="clear" w:color="auto" w:fill="auto"/>
          </w:tcPr>
          <w:p w:rsidR="00751A4A" w:rsidRPr="006C3061" w:rsidRDefault="00187494" w:rsidP="0010095E">
            <w:pPr>
              <w:pStyle w:val="EPLogo"/>
            </w:pPr>
            <w:r w:rsidRPr="006C30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3061" w:rsidRDefault="00D058B8" w:rsidP="004C5D52">
      <w:pPr>
        <w:pStyle w:val="LineTop"/>
      </w:pPr>
    </w:p>
    <w:p w:rsidR="00680577" w:rsidRPr="006C3061" w:rsidRDefault="007824D0" w:rsidP="00680577">
      <w:pPr>
        <w:pStyle w:val="EPBodyTA1"/>
      </w:pPr>
      <w:r w:rsidRPr="006C3061">
        <w:t>HYVÄKSYTYT TEKSTIT</w:t>
      </w:r>
    </w:p>
    <w:p w:rsidR="00D058B8" w:rsidRPr="006C3061" w:rsidRDefault="00D058B8" w:rsidP="00D058B8">
      <w:pPr>
        <w:pStyle w:val="LineBottom"/>
      </w:pPr>
    </w:p>
    <w:p w:rsidR="007824D0" w:rsidRPr="006C3061" w:rsidRDefault="007824D0" w:rsidP="007824D0">
      <w:pPr>
        <w:pStyle w:val="ATHeading1"/>
      </w:pPr>
      <w:bookmarkStart w:id="0" w:name="TANumber"/>
      <w:r w:rsidRPr="006C3061">
        <w:t>P9_</w:t>
      </w:r>
      <w:proofErr w:type="gramStart"/>
      <w:r w:rsidRPr="006C3061">
        <w:t>TA(</w:t>
      </w:r>
      <w:proofErr w:type="gramEnd"/>
      <w:r w:rsidRPr="006C3061">
        <w:t>2024)00</w:t>
      </w:r>
      <w:r w:rsidR="00564F92">
        <w:t>53</w:t>
      </w:r>
      <w:bookmarkEnd w:id="0"/>
    </w:p>
    <w:p w:rsidR="007824D0" w:rsidRPr="006C3061" w:rsidRDefault="00B205DE" w:rsidP="007824D0">
      <w:pPr>
        <w:pStyle w:val="ATHeading2"/>
      </w:pPr>
      <w:bookmarkStart w:id="1" w:name="title"/>
      <w:r w:rsidRPr="00B205DE">
        <w:rPr>
          <w:bCs/>
        </w:rPr>
        <w:t>Unkarin tilanne ja jäädytetyt EU-varat</w:t>
      </w:r>
      <w:bookmarkEnd w:id="1"/>
    </w:p>
    <w:p w:rsidR="007824D0" w:rsidRPr="006C3061" w:rsidRDefault="007824D0" w:rsidP="007824D0">
      <w:pPr>
        <w:rPr>
          <w:i/>
          <w:vanish/>
        </w:rPr>
      </w:pPr>
      <w:r w:rsidRPr="006C3061">
        <w:rPr>
          <w:i/>
        </w:rPr>
        <w:fldChar w:fldCharType="begin"/>
      </w:r>
      <w:r w:rsidRPr="006C3061">
        <w:rPr>
          <w:i/>
        </w:rPr>
        <w:instrText xml:space="preserve"> TC"(</w:instrText>
      </w:r>
      <w:bookmarkStart w:id="2" w:name="DocNumber"/>
      <w:r w:rsidRPr="006C3061">
        <w:rPr>
          <w:i/>
        </w:rPr>
        <w:instrText>B9-0086/2024</w:instrText>
      </w:r>
      <w:bookmarkEnd w:id="2"/>
      <w:r w:rsidRPr="006C3061">
        <w:rPr>
          <w:i/>
        </w:rPr>
        <w:instrText xml:space="preserve">)"\l3 \n&gt; \* MERGEFORMAT </w:instrText>
      </w:r>
      <w:r w:rsidRPr="006C3061">
        <w:rPr>
          <w:i/>
        </w:rPr>
        <w:fldChar w:fldCharType="end"/>
      </w:r>
    </w:p>
    <w:p w:rsidR="007824D0" w:rsidRPr="006C3061" w:rsidRDefault="007824D0" w:rsidP="007824D0">
      <w:pPr>
        <w:rPr>
          <w:vanish/>
        </w:rPr>
      </w:pPr>
      <w:bookmarkStart w:id="3" w:name="PE"/>
      <w:r w:rsidRPr="006C3061">
        <w:rPr>
          <w:vanish/>
        </w:rPr>
        <w:t>PE756.771</w:t>
      </w:r>
      <w:bookmarkEnd w:id="3"/>
    </w:p>
    <w:p w:rsidR="007824D0" w:rsidRPr="006C3061" w:rsidRDefault="007824D0" w:rsidP="007824D0">
      <w:pPr>
        <w:pStyle w:val="ATHeading3"/>
      </w:pPr>
      <w:bookmarkStart w:id="4" w:name="Sujet"/>
      <w:r w:rsidRPr="006C3061">
        <w:t>Euroopan parlamentin päätöslauselma 18. tammikuuta 2024 Unkarin tilanteesta ja jäädytetyistä EU-varoista</w:t>
      </w:r>
      <w:bookmarkEnd w:id="4"/>
      <w:r w:rsidRPr="006C3061">
        <w:t xml:space="preserve"> </w:t>
      </w:r>
      <w:bookmarkStart w:id="5" w:name="References"/>
      <w:r w:rsidRPr="006C3061">
        <w:t>(2024/2512(RSP))</w:t>
      </w:r>
      <w:bookmarkEnd w:id="5"/>
    </w:p>
    <w:p w:rsidR="009200D9" w:rsidRPr="006C3061" w:rsidRDefault="009200D9" w:rsidP="00B205DE">
      <w:pPr>
        <w:pStyle w:val="EPComma"/>
        <w:widowControl/>
      </w:pPr>
      <w:bookmarkStart w:id="6" w:name="TextBodyBegin"/>
      <w:bookmarkEnd w:id="6"/>
      <w:r w:rsidRPr="006C3061">
        <w:rPr>
          <w:i/>
          <w:iCs/>
        </w:rPr>
        <w:t>Euroopan parlamentti</w:t>
      </w:r>
      <w:r w:rsidRPr="006C3061">
        <w:t>, joka</w:t>
      </w:r>
    </w:p>
    <w:p w:rsidR="009200D9" w:rsidRPr="006C3061" w:rsidRDefault="009200D9" w:rsidP="00B205DE">
      <w:pPr>
        <w:pStyle w:val="NormalHanging12a"/>
        <w:widowControl/>
      </w:pPr>
      <w:r w:rsidRPr="006C3061">
        <w:t>–</w:t>
      </w:r>
      <w:r w:rsidRPr="006C3061">
        <w:tab/>
        <w:t xml:space="preserve">ottaa huomioon Euroopan unionista tehdyn sopimuksen (SEU) ja erityisesti sen 2 artiklan, 4 artiklan 3 kohdan ja 7 </w:t>
      </w:r>
      <w:bookmarkStart w:id="7" w:name="_GoBack"/>
      <w:bookmarkEnd w:id="7"/>
      <w:r w:rsidRPr="006C3061">
        <w:t>artiklan 1 kohdan,</w:t>
      </w:r>
    </w:p>
    <w:p w:rsidR="009200D9" w:rsidRPr="006C3061" w:rsidRDefault="009200D9" w:rsidP="00B205DE">
      <w:pPr>
        <w:pStyle w:val="NormalHanging12a"/>
        <w:widowControl/>
      </w:pPr>
      <w:r w:rsidRPr="006C3061">
        <w:t>–</w:t>
      </w:r>
      <w:r w:rsidRPr="006C3061">
        <w:tab/>
        <w:t>ottaa huomioon Euroopan unionin perusoikeuskirjan</w:t>
      </w:r>
      <w:r w:rsidR="00B205DE">
        <w:t xml:space="preserve"> (jäljempänä ’perusoikeuskirja’)</w:t>
      </w:r>
      <w:r w:rsidRPr="006C3061">
        <w:t>,</w:t>
      </w:r>
    </w:p>
    <w:p w:rsidR="009200D9" w:rsidRPr="006C3061" w:rsidRDefault="009200D9" w:rsidP="00B205DE">
      <w:pPr>
        <w:pStyle w:val="NormalHanging12a"/>
        <w:widowControl/>
      </w:pPr>
      <w:r w:rsidRPr="006C3061">
        <w:t>–</w:t>
      </w:r>
      <w:r w:rsidRPr="006C3061">
        <w:tab/>
        <w:t>ottaa huomioon Euroopan ihmisoikeussopimuksen ja sen pöytäkirjat,</w:t>
      </w:r>
    </w:p>
    <w:p w:rsidR="009200D9" w:rsidRPr="006C3061" w:rsidRDefault="009200D9" w:rsidP="00B205DE">
      <w:pPr>
        <w:pStyle w:val="NormalHanging12a"/>
        <w:widowControl/>
      </w:pPr>
      <w:r w:rsidRPr="006C3061">
        <w:t>–</w:t>
      </w:r>
      <w:r w:rsidRPr="006C3061">
        <w:tab/>
        <w:t>ottaa huomioon ihmisoikeuksien yleismaailmallisen julistuksen,</w:t>
      </w:r>
    </w:p>
    <w:p w:rsidR="009200D9" w:rsidRPr="006C3061" w:rsidRDefault="009200D9" w:rsidP="00B205DE">
      <w:pPr>
        <w:pStyle w:val="NormalHanging12a"/>
        <w:widowControl/>
      </w:pPr>
      <w:r w:rsidRPr="006C3061">
        <w:t>–</w:t>
      </w:r>
      <w:r w:rsidRPr="006C3061">
        <w:tab/>
        <w:t>ottaa huomioon Yhdistyneiden kansakuntien ja Euroopan neuvoston kansainväliset ihmisoikeussopimukset,</w:t>
      </w:r>
    </w:p>
    <w:p w:rsidR="009200D9" w:rsidRPr="006C3061" w:rsidRDefault="009200D9" w:rsidP="00B205DE">
      <w:pPr>
        <w:pStyle w:val="NormalHanging12a"/>
        <w:widowControl/>
      </w:pPr>
      <w:r w:rsidRPr="006C3061">
        <w:t>–</w:t>
      </w:r>
      <w:r w:rsidRPr="006C3061">
        <w:tab/>
        <w:t>ottaa huomioon 22. joulukuuta 2021 annetun komission ehdotuksen neuvoston asetukseksi vuosia 2021–2027 koskevan monivuotisen rahoituskehyksen vahvistamisesta annetun asetuksen (EU, Euratom) 2020/2093 muuttamisesta (</w:t>
      </w:r>
      <w:proofErr w:type="gramStart"/>
      <w:r w:rsidRPr="006C3061">
        <w:t>COM(</w:t>
      </w:r>
      <w:proofErr w:type="gramEnd"/>
      <w:r w:rsidRPr="006C3061">
        <w:t>2021)0569),</w:t>
      </w:r>
    </w:p>
    <w:p w:rsidR="009200D9" w:rsidRPr="006C3061" w:rsidRDefault="009200D9" w:rsidP="00B205DE">
      <w:pPr>
        <w:pStyle w:val="NormalHanging12a"/>
        <w:widowControl/>
      </w:pPr>
      <w:r w:rsidRPr="006C3061">
        <w:t>–</w:t>
      </w:r>
      <w:r w:rsidRPr="006C3061">
        <w:tab/>
        <w:t>ottaa huomioon yleisestä ehdollisuusjärjestelmästä unionin talousarvion suojaamiseksi 16. joulukuuta 2020 annetun Euroopan parlamentin ja neuvoston asetuksen (EU, Euratom) 2020/2092</w:t>
      </w:r>
      <w:r w:rsidRPr="006C3061">
        <w:rPr>
          <w:rStyle w:val="FootnoteReference"/>
        </w:rPr>
        <w:footnoteReference w:id="1"/>
      </w:r>
      <w:r w:rsidRPr="006C3061">
        <w:t xml:space="preserve"> (oikeusvaltioperiaatetta koskevasta ehdollisuudesta annettu asetus),</w:t>
      </w:r>
    </w:p>
    <w:p w:rsidR="009200D9" w:rsidRPr="006C3061" w:rsidRDefault="009200D9" w:rsidP="00B205DE">
      <w:pPr>
        <w:pStyle w:val="NormalHanging12a"/>
        <w:widowControl/>
      </w:pPr>
      <w:r w:rsidRPr="006C3061">
        <w:t>–</w:t>
      </w:r>
      <w:r w:rsidRPr="006C3061">
        <w:tab/>
        <w:t xml:space="preserve">ottaa huomioon </w:t>
      </w:r>
      <w:proofErr w:type="spellStart"/>
      <w:r w:rsidRPr="006C3061">
        <w:t>elpymis</w:t>
      </w:r>
      <w:proofErr w:type="spellEnd"/>
      <w:r w:rsidRPr="006C3061">
        <w:t>- ja palautumistukivälineen perustamisesta 12. helmikuuta 2021 annetun Euroopan parlamentin ja neuvoston asetuksen (EU) 2021/241</w:t>
      </w:r>
      <w:r w:rsidRPr="006C3061">
        <w:rPr>
          <w:rStyle w:val="FootnoteReference"/>
        </w:rPr>
        <w:footnoteReference w:id="2"/>
      </w:r>
      <w:r w:rsidRPr="006C3061">
        <w:t xml:space="preserve"> (</w:t>
      </w:r>
      <w:proofErr w:type="spellStart"/>
      <w:r w:rsidRPr="006C3061">
        <w:t>elpymis</w:t>
      </w:r>
      <w:proofErr w:type="spellEnd"/>
      <w:r w:rsidRPr="006C3061">
        <w:t>- ja palautumistukivälinettä koskeva asetus),</w:t>
      </w:r>
    </w:p>
    <w:p w:rsidR="009200D9" w:rsidRPr="006C3061" w:rsidRDefault="009200D9" w:rsidP="00B205DE">
      <w:pPr>
        <w:pStyle w:val="NormalHanging12a"/>
        <w:widowControl/>
      </w:pPr>
      <w:r w:rsidRPr="006C3061">
        <w:t>–</w:t>
      </w:r>
      <w:r w:rsidRPr="006C3061">
        <w:tab/>
        <w:t xml:space="preserve">ottaa huomioon Euroopan aluekehitysrahastoa, Euroopan sosiaalirahasto plussaa, koheesiorahastoa, oikeudenmukaisen siirtymän rahastoa ja Euroopan meri-, kalatalous- ja vesiviljelyrahastoa koskevista yhteisistä säännöksistä ja varainhoitosäännöistä sekä </w:t>
      </w:r>
      <w:r w:rsidRPr="006C3061">
        <w:lastRenderedPageBreak/>
        <w:t>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6C3061">
        <w:rPr>
          <w:rStyle w:val="FootnoteReference"/>
        </w:rPr>
        <w:footnoteReference w:id="3"/>
      </w:r>
      <w:r w:rsidRPr="006C3061">
        <w:t xml:space="preserve"> (yhteisiä säännöksiä koskeva asetus),</w:t>
      </w:r>
    </w:p>
    <w:p w:rsidR="009200D9" w:rsidRPr="006C3061" w:rsidRDefault="009200D9" w:rsidP="00B205DE">
      <w:pPr>
        <w:pStyle w:val="NormalHanging12a"/>
        <w:widowControl/>
      </w:pPr>
      <w:r w:rsidRPr="006C3061">
        <w:t>–</w:t>
      </w:r>
      <w:r w:rsidRPr="006C3061">
        <w:tab/>
        <w:t>ottaa huomioon oikeusvaltiotilannetta Unkarissa koskevat aiemmat päätöslauselmansa, erityisesti 12. syyskuuta 2018</w:t>
      </w:r>
      <w:r w:rsidRPr="006C3061">
        <w:rPr>
          <w:rStyle w:val="FootnoteReference"/>
        </w:rPr>
        <w:footnoteReference w:id="4"/>
      </w:r>
      <w:r w:rsidRPr="006C3061">
        <w:t>, 8. heinäkuuta 2021</w:t>
      </w:r>
      <w:r w:rsidRPr="006C3061">
        <w:rPr>
          <w:rStyle w:val="FootnoteReference"/>
        </w:rPr>
        <w:footnoteReference w:id="5"/>
      </w:r>
      <w:r w:rsidRPr="006C3061">
        <w:t>, 15. syyskuuta 2022</w:t>
      </w:r>
      <w:r w:rsidRPr="006C3061">
        <w:rPr>
          <w:rStyle w:val="FootnoteReference"/>
        </w:rPr>
        <w:footnoteReference w:id="6"/>
      </w:r>
      <w:r w:rsidRPr="006C3061">
        <w:t>, 16. tammikuuta 2020</w:t>
      </w:r>
      <w:r w:rsidRPr="006C3061">
        <w:rPr>
          <w:rStyle w:val="FootnoteReference"/>
        </w:rPr>
        <w:footnoteReference w:id="7"/>
      </w:r>
      <w:r w:rsidRPr="006C3061">
        <w:t>, 24. marraskuuta 2022</w:t>
      </w:r>
      <w:r w:rsidRPr="006C3061">
        <w:rPr>
          <w:rStyle w:val="FootnoteReference"/>
        </w:rPr>
        <w:footnoteReference w:id="8"/>
      </w:r>
      <w:r w:rsidRPr="006C3061">
        <w:t xml:space="preserve"> ja 1. kesäkuuta 2023</w:t>
      </w:r>
      <w:r w:rsidRPr="006C3061">
        <w:rPr>
          <w:rStyle w:val="FootnoteReference"/>
        </w:rPr>
        <w:footnoteReference w:id="9"/>
      </w:r>
      <w:r w:rsidRPr="006C3061">
        <w:t xml:space="preserve"> antamansa päätöslauselmat,</w:t>
      </w:r>
    </w:p>
    <w:p w:rsidR="009200D9" w:rsidRPr="006C3061" w:rsidRDefault="009200D9" w:rsidP="00B205DE">
      <w:pPr>
        <w:pStyle w:val="NormalHanging12a"/>
        <w:widowControl/>
      </w:pPr>
      <w:r w:rsidRPr="006C3061">
        <w:t>–</w:t>
      </w:r>
      <w:r w:rsidRPr="006C3061">
        <w:tab/>
        <w:t>ottaa huomioon 20. kesäkuuta 2023 annetun komission tiedonannon monivuotisen rahoituskehyksen 2021–2027 väliarvioinnista (</w:t>
      </w:r>
      <w:proofErr w:type="gramStart"/>
      <w:r w:rsidRPr="006C3061">
        <w:t>COM(</w:t>
      </w:r>
      <w:proofErr w:type="gramEnd"/>
      <w:r w:rsidRPr="006C3061">
        <w:t>2023)0336),</w:t>
      </w:r>
    </w:p>
    <w:p w:rsidR="009200D9" w:rsidRPr="006C3061" w:rsidRDefault="009200D9" w:rsidP="00B205DE">
      <w:pPr>
        <w:pStyle w:val="NormalHanging12a"/>
        <w:widowControl/>
      </w:pPr>
      <w:r w:rsidRPr="006C3061">
        <w:t>–</w:t>
      </w:r>
      <w:r w:rsidRPr="006C3061">
        <w:tab/>
        <w:t>ottaa huomioon 3. lokakuuta 2023 antamansa päätöslauselman ehdotuksesta monivuotisen rahoituskehyksen 2021–2027 väliarvioinnista</w:t>
      </w:r>
      <w:r w:rsidRPr="006C3061">
        <w:rPr>
          <w:rStyle w:val="FootnoteReference"/>
        </w:rPr>
        <w:footnoteReference w:id="10"/>
      </w:r>
      <w:r w:rsidRPr="006C3061">
        <w:t>,</w:t>
      </w:r>
    </w:p>
    <w:p w:rsidR="009200D9" w:rsidRPr="006C3061" w:rsidRDefault="009200D9" w:rsidP="00B205DE">
      <w:pPr>
        <w:pStyle w:val="NormalHanging12a"/>
        <w:widowControl/>
      </w:pPr>
      <w:r w:rsidRPr="006C3061">
        <w:t>–</w:t>
      </w:r>
      <w:r w:rsidRPr="006C3061">
        <w:tab/>
        <w:t>ottaa huomioon komission oikeusvaltiota koskevien vuosikertomusten, etenkin vuosien 2021, 2022 ja 2023 kertomusten, Unkaria käsittelevät luvut,</w:t>
      </w:r>
    </w:p>
    <w:p w:rsidR="009200D9" w:rsidRPr="006C3061" w:rsidRDefault="009200D9" w:rsidP="00B205DE">
      <w:pPr>
        <w:pStyle w:val="NormalHanging12a"/>
        <w:widowControl/>
      </w:pPr>
      <w:r w:rsidRPr="006C3061">
        <w:t>–</w:t>
      </w:r>
      <w:r w:rsidRPr="006C3061">
        <w:tab/>
        <w:t>ottaa huomioon työjärjestyksen 132 artiklan 2 kohdan,</w:t>
      </w:r>
    </w:p>
    <w:p w:rsidR="009200D9" w:rsidRPr="006C3061" w:rsidRDefault="009200D9" w:rsidP="00B205DE">
      <w:pPr>
        <w:pStyle w:val="NormalHanging12a"/>
        <w:widowControl/>
      </w:pPr>
      <w:r w:rsidRPr="006C3061">
        <w:t>A.</w:t>
      </w:r>
      <w:r w:rsidRPr="006C3061">
        <w:tab/>
        <w:t>toteaa, että unionin perustana olevat arvot ovat ihmisarvon kunnioittaminen, vapaus, kansanvalta, tasa-arvo, oikeusvaltio ja ihmisoikeuksien kunnioittaminen, vähemmistöihin kuuluvien oikeudet mukaan luettuina, ja että nämä arvot vahvistetaan SEU 2 artiklassa ja ne sisältyvät perusoikeuskirjaan ja kansainvälisiin ihmisoikeussopimuksiin;</w:t>
      </w:r>
    </w:p>
    <w:p w:rsidR="009200D9" w:rsidRPr="006C3061" w:rsidRDefault="009200D9" w:rsidP="00B205DE">
      <w:pPr>
        <w:pStyle w:val="NormalHanging12a"/>
        <w:widowControl/>
      </w:pPr>
      <w:r w:rsidRPr="006C3061">
        <w:t>B.</w:t>
      </w:r>
      <w:r w:rsidRPr="006C3061">
        <w:tab/>
        <w:t xml:space="preserve">toteaa kaikkien perussopimuksien soveltamisesta johtuvien jäsenvaltiolle kuuluvien oikeuksien toteutumisen edellyttävän, että jäsenvaltio noudattaa SEU 2 artiklassa vahvistettuja arvoja; ottaa huomioon, että SEU 7 artiklan mukaan unioni voi arvioida, </w:t>
      </w:r>
      <w:r w:rsidRPr="006C3061">
        <w:lastRenderedPageBreak/>
        <w:t>onko olemassa selvä vaara 2 artiklassa tarkoitettujen arvojen vakavasta loukkaamisesta, tai todeta, että jokin jäsenvaltio loukkaa vakavasti ja jatkuvasti 2 artiklassa tarkoitettuja arvoja;</w:t>
      </w:r>
    </w:p>
    <w:p w:rsidR="009200D9" w:rsidRPr="006C3061" w:rsidRDefault="009200D9" w:rsidP="00B205DE">
      <w:pPr>
        <w:pStyle w:val="NormalHanging12a"/>
        <w:widowControl/>
      </w:pPr>
      <w:r w:rsidRPr="006C3061">
        <w:t>C.</w:t>
      </w:r>
      <w:r w:rsidRPr="006C3061">
        <w:tab/>
        <w:t xml:space="preserve">ottaa huomioon, että oikeusvaltiotilanne on heikentynyt Unkarissa useiden vuosien ajan hallituksen järjestelmällisten toimien seurauksena; toteaa, että tähän tilanteeseen ei ole puututtu riittävästi, jäljellä on yhä monia huolenaiheita ja monia ongelmia nousee edelleen esiin; ottaa huomioon, että eri haavoittuvassa asemassa olevien ryhmien, erityisesti naisten, </w:t>
      </w:r>
      <w:proofErr w:type="spellStart"/>
      <w:r w:rsidRPr="006C3061">
        <w:t>hlbtiq</w:t>
      </w:r>
      <w:proofErr w:type="spellEnd"/>
      <w:r w:rsidRPr="006C3061">
        <w:t>+-henkilöiden, romanien, muuttajien, turvapaikanhakijoiden ja pakolaisten, tilanne on heikentynyt merkittävästi viime vuosina ja että heidän perusoikeuksiaan loukataan edelleen ilman, että riippumattomat instituutiot kykenisivät tai olisivat halukkaita suojelemaan heitä; ottaa huomioon, että oikeusvaltioperiaatteen puuttuminen on johtanut sekä valtion tiedotusvälineiden että yksityisten tiedotusvälineiden valvontaan, siihen, että Unkarin hallitus käyttää jatkuvasti väärin jo ennestään löyhää työlainsäädäntöä, ja ympäristön pilaantumiseen;</w:t>
      </w:r>
    </w:p>
    <w:p w:rsidR="009200D9" w:rsidRPr="006C3061" w:rsidRDefault="009200D9" w:rsidP="00B205DE">
      <w:pPr>
        <w:pStyle w:val="NormalHanging12a"/>
        <w:widowControl/>
        <w:rPr>
          <w:szCs w:val="24"/>
        </w:rPr>
      </w:pPr>
      <w:r w:rsidRPr="006C3061">
        <w:t>D.</w:t>
      </w:r>
      <w:r w:rsidRPr="006C3061">
        <w:tab/>
        <w:t>ottaa huomioon, että Unkarin kansalliskokous hyväksyi 3. toukokuuta 2023 oikeuslaitoksen uudistamista koskevan paketin ilman asianmukaista parlamentaarista valvontaa tai julkista kuulemista; ottaa huomioon, että myöhemmistä lisäyksistä huolimatta tämä paketti ei millään tavoin mahdollista sitä, että viimeaikaisia poliittisia nimityksiä maan oikeusjärjestelmän korkeimmalle tasolle tarkasteltaisiin uudelleen;</w:t>
      </w:r>
    </w:p>
    <w:p w:rsidR="009200D9" w:rsidRPr="006C3061" w:rsidRDefault="009200D9" w:rsidP="00B205DE">
      <w:pPr>
        <w:pStyle w:val="NormalHanging12a"/>
        <w:widowControl/>
        <w:rPr>
          <w:szCs w:val="24"/>
        </w:rPr>
      </w:pPr>
      <w:r w:rsidRPr="006C3061">
        <w:t>E.</w:t>
      </w:r>
      <w:r w:rsidRPr="006C3061">
        <w:tab/>
        <w:t>ottaa huomioon, että Unkarin kansalliskokous hyväksyi 12. joulukuuta 2023 kansallisen suvereniteetin suojelua koskevan paketin ilman asianmukaista parlamentaarista valvontaa tai julkista kuulemista; ottaa huomioon, että tämä paketti tarjoaa toimeenpanovallalle entistä enemmän mahdollisuuksia vaientaa ja leimata riippumattomia ääniä ja vastustajia;</w:t>
      </w:r>
    </w:p>
    <w:p w:rsidR="009200D9" w:rsidRPr="006C3061" w:rsidRDefault="009200D9" w:rsidP="00B205DE">
      <w:pPr>
        <w:pStyle w:val="NormalHanging12a"/>
        <w:widowControl/>
        <w:rPr>
          <w:szCs w:val="24"/>
        </w:rPr>
      </w:pPr>
      <w:r w:rsidRPr="006C3061">
        <w:t>F.</w:t>
      </w:r>
      <w:r w:rsidRPr="006C3061">
        <w:tab/>
        <w:t xml:space="preserve">ottaa huomioon, että Unkari on yksi suurimmista EU:n varojen saajista (Unkarille on myönnetty nykyisessä monivuotisessa rahoituskehyksessä yli 32 miljardia euroa yhteisiä säännöksiä koskevan asetuksen ja Next </w:t>
      </w:r>
      <w:proofErr w:type="spellStart"/>
      <w:r w:rsidRPr="006C3061">
        <w:t>Generation</w:t>
      </w:r>
      <w:proofErr w:type="spellEnd"/>
      <w:r w:rsidRPr="006C3061">
        <w:t xml:space="preserve"> EU -välineen varoja); ottaa huomioon, että oikeusvaltion heikkeneminen Unkarissa aiheuttaa merkittävän riskin EU:n taloudellisten etujen suojaamiselle ja EU:n talousarvion toteuttamiselle Unkarissa;</w:t>
      </w:r>
    </w:p>
    <w:p w:rsidR="009200D9" w:rsidRPr="006C3061" w:rsidRDefault="009200D9" w:rsidP="00B205DE">
      <w:pPr>
        <w:pStyle w:val="NormalHanging12a"/>
        <w:widowControl/>
      </w:pPr>
      <w:r w:rsidRPr="006C3061">
        <w:t>G.</w:t>
      </w:r>
      <w:r w:rsidRPr="006C3061">
        <w:tab/>
        <w:t>ottaa huomioon, että oikeusvaltioperiaatetta koskevasta ehdollisuudesta annettu asetus on äärimmäisen tärkeä, koska se on yksi tehokkaimmista välineistä, jonka avulla EU:n talousarviota voidaan suojata;</w:t>
      </w:r>
    </w:p>
    <w:p w:rsidR="009200D9" w:rsidRPr="006C3061" w:rsidRDefault="009200D9" w:rsidP="00B205DE">
      <w:pPr>
        <w:pStyle w:val="NormalHanging12a"/>
        <w:widowControl/>
      </w:pPr>
      <w:r w:rsidRPr="006C3061">
        <w:t>H.</w:t>
      </w:r>
      <w:r w:rsidRPr="006C3061">
        <w:tab/>
        <w:t>ottaa huomioon, että neuvosto hyväksyi 15. joulukuuta 2022 täytäntöönpanopäätöksen (EU) 2022/2506 toimenpiteistä unionin talousarvion suojaamiseksi oikeusvaltion periaatteiden rikkomiselta Unkarissa</w:t>
      </w:r>
      <w:r w:rsidRPr="006C3061">
        <w:rPr>
          <w:rStyle w:val="FootnoteReference"/>
        </w:rPr>
        <w:footnoteReference w:id="11"/>
      </w:r>
      <w:r w:rsidRPr="006C3061">
        <w:t xml:space="preserve">; ottaa huomioon, että komissio on oikeusvaltioperiaatetta koskevasta ehdollisuudesta annetun asetuksen mukaisesti seurannut Unkarin ehdottamien korjaavien toimenpiteiden täytäntöönpanoa neuvoston täytäntöönpanopäätöksen (EU) 2022/2506 mukaisen menettelyn aikana; ottaa huomioon, että toimenpiteisiin sisältyy se, että 55 prosenttia kolmen koheesiopolitiikan toimenpideohjelman talousarviositoumuksista keskeytetään, sekä kielto tehdä oikeudellisia sitoumuksia vuonna 2021 annetun Unkarin lain IX nojalla perustettujen yleishyödyllisten säätiöiden tai tällaisten yleishyödyllisten säätiöiden ylläpitämien yhteisöjen kanssa; ottaa huomioon, että komissio arvioi Unkarin tilannetta uudelleen joulukuussa 2023 ja vahvisti, että unionin talousarvioon kohdistuva riski on pysynyt </w:t>
      </w:r>
      <w:r w:rsidRPr="006C3061">
        <w:lastRenderedPageBreak/>
        <w:t>muuttumattomana joulukuusta 2022 lähtien eikä neuvoston toimenpiteitä pitäisi mukauttaa eikä kumota;</w:t>
      </w:r>
    </w:p>
    <w:p w:rsidR="009200D9" w:rsidRPr="006C3061" w:rsidRDefault="009200D9" w:rsidP="00B205DE">
      <w:pPr>
        <w:pStyle w:val="NormalHanging12a"/>
        <w:widowControl/>
      </w:pPr>
      <w:r w:rsidRPr="006C3061">
        <w:t>I.</w:t>
      </w:r>
      <w:r w:rsidRPr="006C3061">
        <w:tab/>
        <w:t xml:space="preserve">ottaa huomioon, että neuvosto hyväksyi 15. joulukuuta 2022 täytäntöönpanopäätöksen Unkarin </w:t>
      </w:r>
      <w:proofErr w:type="spellStart"/>
      <w:r w:rsidRPr="006C3061">
        <w:t>elpymis</w:t>
      </w:r>
      <w:proofErr w:type="spellEnd"/>
      <w:r w:rsidRPr="006C3061">
        <w:t xml:space="preserve">- ja palautumissuunnitelmasta tehdyn arvion hyväksymisestä ja että siinä asetettiin useita välitavoitteita, jotka olisi pantava tehokkaasti täytäntöön ennen ensimmäisen maksupyynnön esittämistä; ottaa huomioon, että neuvosto hyväksyi 7. joulukuuta 2023 täytäntöönpanopäätöksen, jolla hyväksyttiin Unkarin muutettu </w:t>
      </w:r>
      <w:proofErr w:type="spellStart"/>
      <w:r w:rsidRPr="006C3061">
        <w:t>elpymis</w:t>
      </w:r>
      <w:proofErr w:type="spellEnd"/>
      <w:r w:rsidRPr="006C3061">
        <w:t xml:space="preserve">- ja palautumissuunnitelma, johon kuului </w:t>
      </w:r>
      <w:proofErr w:type="spellStart"/>
      <w:r w:rsidRPr="006C3061">
        <w:t>REPowerEU</w:t>
      </w:r>
      <w:proofErr w:type="spellEnd"/>
      <w:r w:rsidRPr="006C3061">
        <w:t>-suunnitelmaa koskeva luku;</w:t>
      </w:r>
    </w:p>
    <w:p w:rsidR="009200D9" w:rsidRPr="006C3061" w:rsidRDefault="009200D9" w:rsidP="00B205DE">
      <w:pPr>
        <w:pStyle w:val="NormalHanging12a"/>
        <w:widowControl/>
      </w:pPr>
      <w:r w:rsidRPr="006C3061">
        <w:t>J.</w:t>
      </w:r>
      <w:r w:rsidRPr="006C3061">
        <w:tab/>
        <w:t xml:space="preserve">ottaa huomioon, että komissio hyväksyi 22. joulukuuta 2022 kumppanuussopimuksen Unkarin kanssa; ottaa huomioon, että komissio hyväksyi myös useita toimenpideohjelmia ja viittasi useisiin horisontaalisiin ja aihekohtaisiin mahdollistaviin edellytyksiin; ottaa huomioon, että komissio totesi, ettei Unkari täyttänyt perusoikeuskirjaa koskevaa horisontaalista mahdollistavaa edellytystä siltä osin kuin on kyse oikeuslaitoksen riippumattomuudesta ja useiden lakien säännöksistä, jotka vaarantavat vakavasti </w:t>
      </w:r>
      <w:proofErr w:type="spellStart"/>
      <w:r w:rsidRPr="006C3061">
        <w:t>hlbtiq</w:t>
      </w:r>
      <w:proofErr w:type="spellEnd"/>
      <w:r w:rsidRPr="006C3061">
        <w:t>+-henkilöiden oikeudet, akateemisen vapauden ja oikeuden turvapaikkaan; ottaa huomioon, että Unkari totesi itsearvioinnissaan, että useat aihekohtaiset mahdollistavat edellytykset eivät täyttyneet, ja että komissio pani tämän merkille; toteaa, että sekä horisontaalisten että aihekohtaisten mahdollistavien edellytysten on täytyttävä koko ohjelmakauden ajan, jotta menoja voidaan korvata EU:n talousarviosta;</w:t>
      </w:r>
    </w:p>
    <w:p w:rsidR="009200D9" w:rsidRPr="006C3061" w:rsidRDefault="009200D9" w:rsidP="00B205DE">
      <w:pPr>
        <w:pStyle w:val="NormalHanging12a"/>
        <w:widowControl/>
      </w:pPr>
      <w:r w:rsidRPr="006C3061">
        <w:t>K.</w:t>
      </w:r>
      <w:r w:rsidRPr="006C3061">
        <w:tab/>
        <w:t>ottaa huomioon, että komissio hyväksyi 13. joulukuuta 2023 päätöksen, jossa se katsoi, että perusoikeuskirjaa koskeva horisontaalinen mahdollistava edellytys oli täyttynyt oikeuslaitoksen riippumattomuuden osalta; ottaa huomioon, että tämä päätös merkitsee sitä, että Unkarin viranomaiset voivat alkaa hakea Euroopan rakenne- ja investointirahastoista jopa 10,2 miljardin euron korvauksia;</w:t>
      </w:r>
    </w:p>
    <w:p w:rsidR="009200D9" w:rsidRPr="006C3061" w:rsidRDefault="009200D9" w:rsidP="00B205DE">
      <w:pPr>
        <w:pStyle w:val="NormalHanging12a"/>
        <w:widowControl/>
      </w:pPr>
      <w:r w:rsidRPr="006C3061">
        <w:t>L.</w:t>
      </w:r>
      <w:r w:rsidRPr="006C3061">
        <w:tab/>
        <w:t>ottaa huomioon, että Eurooppa-neuvosto ei päässyt 14.–15. joulukuuta 2023 yksimielisyyteen päätöksestä muuttaa vuosien 2021–2027 monivuotista rahoituskehystä; ottaa huomioon, että tämä epäonnistuminen johtui tietojen mukaan Unkarin pääministerin vastustuksesta; ottaa huomioon, että epäonnistuminen yhteisymmärrykseen pääsemisessä monivuotisen rahoituskehyksen tarkistamisesta vaarantaa vakavasti EU:n Ukrainalle myöntämän rahoitustuen jatkuvuuden ja ennakoitavuuden, millä on vakavia strategisia vaikutuksia EU:hun;</w:t>
      </w:r>
    </w:p>
    <w:p w:rsidR="009200D9" w:rsidRPr="006C3061" w:rsidRDefault="009200D9" w:rsidP="00B205DE">
      <w:pPr>
        <w:pStyle w:val="NormalHanging12a"/>
        <w:widowControl/>
      </w:pPr>
      <w:r w:rsidRPr="006C3061">
        <w:t>M.</w:t>
      </w:r>
      <w:r w:rsidRPr="006C3061">
        <w:tab/>
      </w:r>
      <w:r w:rsidRPr="006C3061">
        <w:rPr>
          <w:shd w:val="clear" w:color="auto" w:fill="FFFFFF"/>
        </w:rPr>
        <w:t>katsoo, että viime vuosikymmenen aikana Unkarista on – asiaa koskevien indeksien perusteella – tullut vaaliautokratiaan perustuva sekajärjestelmä;</w:t>
      </w:r>
    </w:p>
    <w:p w:rsidR="009200D9" w:rsidRPr="006C3061" w:rsidRDefault="009200D9" w:rsidP="00B205DE">
      <w:pPr>
        <w:pStyle w:val="NormalHanging12a"/>
        <w:widowControl/>
      </w:pPr>
      <w:r w:rsidRPr="006C3061">
        <w:t>1.</w:t>
      </w:r>
      <w:r w:rsidRPr="006C3061">
        <w:tab/>
        <w:t>toistaa havaintonsa, huolenaiheensa ja suosituksensa, jotka se on esittänyt aiemmissa päätöslauselmissaan oikeusvaltioperiaatteen ja perusoikeuksien tilasta Unkarissa; tuomitsee Unkarin hallituksen tahalliset, jatkuvat ja järjestelmälliset pyrkimykset heikentää SEU 2 artiklassa vahvistettuja EU:n perustana olevia arvoja; on erittäin huolissaan demokratian rapautumisesta entisestään sekä oikeusvaltioperiaatetta ja perusoikeuksia koskevan tilanteen heikkenemisestä Unkarissa sen jälkeen, kun parlamentti hyväksyi päätöslauselmansa 15. syyskuuta 2022, ja erityisesti kansallisen suvereniteetin suojelua koskevan paketin äskettäisestä hyväksymisestä; muistuttaa, että Unkarin hallitus on yksin vastuussa siitä, että se palauttaa toimintansa EU:n oikeuden mukaiseksi ja kunnioittaa SEU 2 artiklassa vahvistettuja arvoja;</w:t>
      </w:r>
    </w:p>
    <w:p w:rsidR="009200D9" w:rsidRPr="006C3061" w:rsidRDefault="009200D9" w:rsidP="00B205DE">
      <w:pPr>
        <w:pStyle w:val="NormalHanging12a"/>
        <w:widowControl/>
        <w:rPr>
          <w:shd w:val="clear" w:color="auto" w:fill="FFFFFF"/>
        </w:rPr>
      </w:pPr>
      <w:r w:rsidRPr="006C3061">
        <w:lastRenderedPageBreak/>
        <w:t>2.</w:t>
      </w:r>
      <w:r w:rsidRPr="006C3061">
        <w:tab/>
        <w:t xml:space="preserve">pitää erittäin valitettavana, että neuvosto ei ole pystynyt edistymään merkityksellisellä tavalla käynnissä olevissa SEU 7 artiklan 1 kohdan mukaisissa menettelyissä; kehottaa jälleen neuvostoa käsittelemään kaikkia uusia tapahtumia, jotka vaikuttavat oikeusvaltioon, demokratiaan ja perusoikeuksiin; kehottaa jälleen neuvostoa antamaan suosituksia tämän menettelyn yhteydessä; </w:t>
      </w:r>
      <w:r w:rsidRPr="006C3061">
        <w:rPr>
          <w:shd w:val="clear" w:color="auto" w:fill="FFFFFF"/>
        </w:rPr>
        <w:t xml:space="preserve">korostaa, että neuvostolla on yhteinen vastuu SEU 2 artiklassa vahvistettujen arvojen suojelusta ja että sen laiminlyönnillä olisi pitkäaikaisia ja mahdollisesti haitallisia seurauksia; kehottaa Eurooppa-neuvostoa ja jäsenvaltioita ryhtymään toimiin ja määrittämään, onko Unkari loukannut vakavasti ja jatkuvasti EU:n arvoja SEU 7 artiklan 2 kohdassa tarkoitetulla tavalla; </w:t>
      </w:r>
      <w:r w:rsidRPr="006C3061">
        <w:t>vaatii kunnioittamaan parlamentin roolia ja toimivaltaa;</w:t>
      </w:r>
    </w:p>
    <w:p w:rsidR="009200D9" w:rsidRPr="006C3061" w:rsidRDefault="009200D9" w:rsidP="00B205DE">
      <w:pPr>
        <w:pStyle w:val="NormalHanging12a"/>
        <w:widowControl/>
      </w:pPr>
      <w:r w:rsidRPr="006C3061">
        <w:t>3.</w:t>
      </w:r>
      <w:r w:rsidRPr="006C3061">
        <w:rPr>
          <w:shd w:val="clear" w:color="auto" w:fill="FFFFFF"/>
        </w:rPr>
        <w:tab/>
      </w:r>
      <w:r w:rsidRPr="006C3061">
        <w:t>tuomitsee jyrkästi Unkarin pääministerin toimet, sillä tämä päätti estää päätöksen monivuotisen rahoituskehyksen olennaisesta tarkistamisesta, joka koski myös Ukrainan tukipakettia, ja jätti siten täysin kunnioittamatta ja loukkasi EU:n strategisia etuja; katsoo, että tällaiset toimet ovat perussopimuksissa vahvistetun vilpittömän yhteistyön periaatteen vastaisia; huomauttaa, että EU ei voi missään tapauksessa suostua kiristykseen ja käydä kauppaa EU:n ja sen liittolaisten strategisilla eduilla luopumalla arvoistaan; toistaa painokkaasti, että monivuotista rahoituskehystä on vahvistettava kiireellisesti ja kohdennetusti, jotta voidaan vastata kansalaisten tarpeisiin ja täyttää jo tehdyt poliittiset sitoumukset, Ukrainalle myönnettävä rahoitus mukaan luettuna; kehottaa Eurooppa-neuvostoa sopimaan pikaisesti tällaisesta kannasta 1. helmikuuta 2024 pidettävässä ylimääräisessä huippukokouksessa;</w:t>
      </w:r>
    </w:p>
    <w:p w:rsidR="009200D9" w:rsidRPr="006C3061" w:rsidRDefault="009200D9" w:rsidP="00B205DE">
      <w:pPr>
        <w:pStyle w:val="NormalHanging12a"/>
        <w:widowControl/>
      </w:pPr>
      <w:r w:rsidRPr="006C3061">
        <w:t>4.</w:t>
      </w:r>
      <w:r w:rsidRPr="006C3061">
        <w:tab/>
        <w:t>suhtautuu myönteisesti 13. joulukuuta 2023 annettuun komission tiedonantoon, jossa vahvistetaan, että unionin talousarvioon kohdistuva riski on pysynyt muuttumattomana joulukuusta 2022 lähtien, minkä vuoksi ehdollisuusasetuksen nojalla hyväksyttyjä toimenpiteitä jatketaan; katsoo, että tämä vahvistaa parlamentin aiemmat asiaa koskevat huolenaiheet ja suositukset; kehottaa jälleen komissiota varmistamaan oikeusvaltioperiaatetta koskevasta ehdollisuudesta annetun asetuksen mukaisesti, että EU:n varojen lopullisilta saajilta tai edunsaajilta ei viedä näitä varoja; korostaa, että toimet, joilla puututaan oikeusvaltioperiaatteen loukkauksiin, ovat keskeisen tärkeitä, jotta voidaan lisätä kansalaisten luottamusta EU:hun;</w:t>
      </w:r>
    </w:p>
    <w:p w:rsidR="009200D9" w:rsidRPr="006C3061" w:rsidRDefault="009200D9" w:rsidP="00B205DE">
      <w:pPr>
        <w:pStyle w:val="NormalHanging12a"/>
        <w:widowControl/>
      </w:pPr>
      <w:r w:rsidRPr="006C3061">
        <w:t>5.</w:t>
      </w:r>
      <w:r w:rsidRPr="006C3061">
        <w:tab/>
        <w:t>pitää valitettavana ja toistaa vakavan huolensa komission päätöksestä, jonka mukaan perusoikeuskirjaa koskeva horisontaalinen mahdollistava edellytys oli täytetty oikeuslaitoksen riippumattomuuden osalta, minkä ansiosta Unkarin viranomaiset voivat esittää korvauspyyntöjä jopa 10,2 miljardin euron arvosta ilman asianmukaisia valvontamekanismeja tai julkisia hankintamenettelyjä, joilla taattaisiin moitteeton varainhoito ja EU:n talousarvion suojaaminen; katsoo, että tämä päätös on poliittisesti ristiriidassa ehdollisuusasetuksen nojalla hyväksyttyjen toimenpiteiden jatkamista koskevan päätöksen kanssa, ja ilmaisee pettymyksensä siihen, ettei parlamentille tiedotettu riittävästi prosessin aikana; painottaa, että komission tehtävänä on arvioida riippumattomasti ja objektiivisesti, noudattaako Unkari sovellettavaa lainsäädäntöä, tinkimättä demokratiasta, oikeusvaltiosta ja perusoikeuksista; katsoo, että Unkari ei viimeaikaisten uudistusten jälkeenkään täytä perusoikeuskirjassa vahvistettua oikeuslaitoksen riippumattomuuden vaatimusta, kuten asiantuntijat Unkarissa ja kansainvälisesti ovat todenneet, koska hyväksytyt toimenpiteet eivät varmista riittäviä takeita poliittista vaikuttamista vastaan ja niitä voidaan joko kiertää tai soveltaa puutteellisesti; on huolissaan erityisesti ennakkoratkaisupyyntöjen jatkuvista esteistä, asioiden jakamiseen liittyvistä ongelmista korkeimmassa oikeudessa (</w:t>
      </w:r>
      <w:proofErr w:type="spellStart"/>
      <w:r w:rsidRPr="006C3061">
        <w:t>Kúria</w:t>
      </w:r>
      <w:proofErr w:type="spellEnd"/>
      <w:r w:rsidRPr="006C3061">
        <w:t xml:space="preserve">) ja puutteellisesta järjestelmästä </w:t>
      </w:r>
      <w:proofErr w:type="spellStart"/>
      <w:r w:rsidRPr="006C3061">
        <w:t>Kúrian</w:t>
      </w:r>
      <w:proofErr w:type="spellEnd"/>
      <w:r w:rsidRPr="006C3061">
        <w:t xml:space="preserve"> presidentin nimittämiseksi; kehottaa komissiota toimittamaan yhdessä päätöksen kanssa yksityiskohtaiset kirjalliset perustelut; kehottaa </w:t>
      </w:r>
      <w:r w:rsidRPr="006C3061">
        <w:lastRenderedPageBreak/>
        <w:t>komissiota arvioimaan päätöstään uudelleen erityisesti päätöksen hyväksymisen jälkeen toteutettujen kansallisten toimenpiteiden valossa ja pidättymään varojen maksamisesta siihen asti, että kaikki asiaa koskeva lainsäädäntö on pantu kaikilta osin täytäntöön ja hyväksytyt toimenpiteet ovat osoittautuneet tehokkaiksi käytännössä;</w:t>
      </w:r>
    </w:p>
    <w:p w:rsidR="009200D9" w:rsidRPr="006C3061" w:rsidRDefault="009200D9" w:rsidP="00B205DE">
      <w:pPr>
        <w:pStyle w:val="NormalHanging12a"/>
        <w:widowControl/>
      </w:pPr>
      <w:r w:rsidRPr="006C3061">
        <w:t>6.</w:t>
      </w:r>
      <w:r w:rsidRPr="006C3061">
        <w:tab/>
        <w:t xml:space="preserve">toistaa komissiolle aiemmin esittämänsä kehotukset varmistaa, että </w:t>
      </w:r>
      <w:proofErr w:type="spellStart"/>
      <w:r w:rsidRPr="006C3061">
        <w:t>elpymis</w:t>
      </w:r>
      <w:proofErr w:type="spellEnd"/>
      <w:r w:rsidRPr="006C3061">
        <w:t>- ja palautumistukivälineestä ei suoriteta maksuja Unkarin viranomaisille ennen kuin välitavoitteet (mukaan lukien nk. keskeisimmät välitavoitteet) ja tavoitteet, jotka liittyvät ensimmäiseen maksuun, on saavutettu tyydyttävällä tavalla ja niiden kestävyys on osoitettu käytännössä; katsoo, että nykyisillä tarkastus- ja valvontajärjestelyillä, jotka Unkarin viranomaiset ovat ottaneet käyttöön nopeutetulla menettelyllä oikeuslaitoksen uudistamista koskevien vaatimusten täyttämiseksi, on saavutettava konkreettisia, pysyviä ja todennettavissa olevia tuloksia käytännössä, erityisesti systeemisten ongelmien ratkaisemisessa, ennen kuin EU:n varoja voidaan maksaa; kehottaa komissiota tekemään uuden päivitetyn arvion erityisesti Unkarin oikeuslaitoksen riippumattomuuden tilasta, ja ottamaan siinä huomioon etenkin päätöksen tekemisen jälkeen tapahtuneen kehityksen;</w:t>
      </w:r>
    </w:p>
    <w:p w:rsidR="009200D9" w:rsidRPr="006C3061" w:rsidRDefault="009200D9" w:rsidP="00B205DE">
      <w:pPr>
        <w:pStyle w:val="NormalHanging12a"/>
        <w:widowControl/>
      </w:pPr>
      <w:r w:rsidRPr="006C3061">
        <w:t>7.</w:t>
      </w:r>
      <w:r w:rsidRPr="006C3061">
        <w:tab/>
        <w:t xml:space="preserve">painottaa, että Unkarin viranomaisten on taattava yksityishenkilöille, yrityksille, kansalaisyhteiskunnalle, kansalaisjärjestöille ja </w:t>
      </w:r>
      <w:proofErr w:type="spellStart"/>
      <w:r w:rsidRPr="006C3061">
        <w:t>paikallis</w:t>
      </w:r>
      <w:proofErr w:type="spellEnd"/>
      <w:r w:rsidRPr="006C3061">
        <w:t>- ja alueviranomaisille yhdenvertaiset mahdollisuudet saada EU:n rahoitusta ja että niiden on varmistettava riippumaton oikeudellinen valvonta sekä puolueettomat ja tehokkaat valitusmekanismit; tuomitsee tietoon tulleet järjestelmälliset syrjivät käytännöt, jotka kohdistuvat tiedeyhteisöön, toimittajiin, poliittisiin puolueisiin ja kansalaisyhteiskuntaan sekä tiettyjen alojen yrityksiin; pitää valitettavina poliittisiin vaikuttimiin perustuvia liiketoimintakäytäntöjä, joilla kilpailijoille annetaan perusteetonta etua, läpinäkymättömiä ja manipuloituja julkisia hankintoja koskevia menettelyjä, hallituksen ja pääministeriin kytköksissä olevien tahojen tekemiä ostotarjouksia sekä EU:n varojen käyttöä hallituksen poliittisten liittolaisten rikastuttamiseen EU:n kilpailua ja julkisia hankintoja koskevien sääntöjen vastaisesti; korostaa, että oikeusvaltioperiaate on keskeisen tärkeä toimiville sisämarkkinoille EU:ssa;</w:t>
      </w:r>
    </w:p>
    <w:p w:rsidR="009200D9" w:rsidRPr="006C3061" w:rsidRDefault="009200D9" w:rsidP="00B205DE">
      <w:pPr>
        <w:pStyle w:val="NormalHanging12a"/>
        <w:widowControl/>
      </w:pPr>
      <w:r w:rsidRPr="006C3061">
        <w:t>8.</w:t>
      </w:r>
      <w:r w:rsidRPr="006C3061">
        <w:tab/>
        <w:t>painottaa neuvoston puheenjohtajavaltion tärkeää roolia neuvoston EU:n lainsäädäntöä koskevan työn eteenpäin viemisessä, EU:n asialistan jatkuvuuden varmistamisessa ja neuvoston edustamisessa suhteissa muihin EU:n toimielimiin; kyseenalaistaa Unkarin hallituksen kyvyn hoitaa tätä tehtävää uskottavasti vuonna 2024, kun otetaan huomioon, ettei se noudata EU:n oikeutta ja SEU 2 artiklaan kirjattuja arvoja eikä vilpittömän yhteistyön periaatetta; muistuttaa, että joissakin tapauksissa Eurooppa</w:t>
      </w:r>
      <w:r w:rsidRPr="006C3061">
        <w:noBreakHyphen/>
        <w:t>neuvoston puheenjohtajan voi korvata Eurooppa-neuvoston jäsen, joka edustaa neuvoston puolivuotista puheenjohtajuutta hoitavaa jäsenvaltiota; pyytää neuvostoa etsimään asianmukaisia ratkaisuja näiden riskien lieventämiseksi mahdollisimman pian; muistuttaa, että parlamentti voi toteuttaa aiheellisia toimenpiteitä, jos tällaista ratkaisua ei löydetä; kehottaa neuvoston puheenjohtajaa ja jäsenvaltioita aloittamaan välittömästi menettelyt neuvoston päätöksentekoprosessin uudistamiseksi, jotta voidaan lopettaa veto-oikeuden väärinkäyttö ja kiristys Eurooppa-neuvostossa ja muissa EU:n toimielimissä;</w:t>
      </w:r>
    </w:p>
    <w:p w:rsidR="009200D9" w:rsidRPr="006C3061" w:rsidRDefault="009200D9" w:rsidP="00B205DE">
      <w:pPr>
        <w:pStyle w:val="NormalHanging12a"/>
        <w:widowControl/>
      </w:pPr>
      <w:r w:rsidRPr="006C3061">
        <w:t>9.</w:t>
      </w:r>
      <w:r w:rsidRPr="006C3061">
        <w:tab/>
        <w:t xml:space="preserve">korostaa, että EU:n rahoituksen vapauttamiseksi vaadittavia toimenpiteitä, sellaisina kuin ne määritellään yhteisiä säännöksiä koskevan asetuksen, </w:t>
      </w:r>
      <w:proofErr w:type="spellStart"/>
      <w:r w:rsidRPr="006C3061">
        <w:t>elpymis</w:t>
      </w:r>
      <w:proofErr w:type="spellEnd"/>
      <w:r w:rsidRPr="006C3061">
        <w:t xml:space="preserve">- ja palautumistukivälinettä koskevan asetuksen ja oikeusvaltioperiaatetta koskevasta ehdollisuudesta annetun asetuksen nojalla tehdyissä asiaan liittyvissä päätöksissä, on käsiteltävä yhtenä kokonaispakettina ja että mitään maksuja ei pitäisi suorittaa, vaikka </w:t>
      </w:r>
      <w:r w:rsidRPr="006C3061">
        <w:lastRenderedPageBreak/>
        <w:t xml:space="preserve">yhdellä tai useammalla alalla edistyttäisiinkin, jos jollakin muulla alalla on yhä puutteita; on edelleen sitoutunut varmistamaan, että EU:n varat tavoittavat Unkarin väestön muun muassa suoralla rahoituksella </w:t>
      </w:r>
      <w:proofErr w:type="spellStart"/>
      <w:r w:rsidRPr="006C3061">
        <w:t>paikallis</w:t>
      </w:r>
      <w:proofErr w:type="spellEnd"/>
      <w:r w:rsidRPr="006C3061">
        <w:t>- ja alueviranomaisille ja kansalaisyhteiskunnalle, kunhan edellytykset on täytetty, ja korostaa, että Unkarin viranomaiset ovat yksin vastuussa nykytilanteesta;</w:t>
      </w:r>
    </w:p>
    <w:p w:rsidR="009200D9" w:rsidRPr="006C3061" w:rsidRDefault="009200D9" w:rsidP="00B205DE">
      <w:pPr>
        <w:pStyle w:val="NormalHanging12a"/>
        <w:widowControl/>
      </w:pPr>
      <w:r w:rsidRPr="006C3061">
        <w:t>10.</w:t>
      </w:r>
      <w:r w:rsidRPr="006C3061">
        <w:tab/>
        <w:t>kehottaa jälleen komissiota hyödyntämään kaikilta osin käytettävissä olevia välineitä, joilla voidaan puuttua siihen selvään vaaraan, että Unkari loukkaa vakavasti unionin perustana olevia arvoja, ja kehottaa sitä käyttämään erityisesti taloudellisia toimenpiteitä ja nopeutettuja rikkomusmenettelyjä, välitoimihakemuksia Euroopan unionin tuomioistuimessa ja sen tuomioiden laiminlyöntikanteita; odottaa pikaisia toimia kansallisen suvereniteetin suojelua koskevan paketin hyväksymisen johdosta;</w:t>
      </w:r>
    </w:p>
    <w:p w:rsidR="009200D9" w:rsidRPr="006C3061" w:rsidRDefault="009200D9" w:rsidP="00B205DE">
      <w:pPr>
        <w:pStyle w:val="NormalHanging12a"/>
        <w:widowControl/>
      </w:pPr>
      <w:r w:rsidRPr="006C3061">
        <w:t>11.</w:t>
      </w:r>
      <w:r w:rsidRPr="006C3061">
        <w:tab/>
        <w:t xml:space="preserve">kehottaa oikeudellisten asioiden valiokuntaa ryhtymään mahdollisimman pian tarvittaviin toimiin 10,2 miljardin euron vapauttamista koskevan komission päätöksen osalta ja pyytämään oikeudellisen yksikön analyysiä työjärjestyksen 149 artiklan mukaisesti, jotta päätöksen C(2023)9014 laillisuus voidaan tarkistaa Euroopan unionin tuomioistuimessa Euroopan unionin toiminnasta tehdyn sopimuksen 263 artiklan mukaisesti; muistuttaa, että parlamentti voi käyttää mitä tahansa käytettävissään olevista oikeudellisista ja poliittisista toimenpiteistä, jos komissio vapauttaa rahoitusta ilman, että kriteerit täyttyvät, tai jos se ei varmista asiaa koskevan lainsäädännön täysimittaista täytäntöönpanoa, sillä </w:t>
      </w:r>
      <w:r w:rsidR="003F0A5F">
        <w:t>sen velvollisuutena on toimia perussopimusten valvojana ja suojella EU:n taloudellisia etuja</w:t>
      </w:r>
      <w:r w:rsidRPr="006C3061">
        <w:t>; muistuttaa, että komissio on poliittisesti vastuussa parlamentille;</w:t>
      </w:r>
    </w:p>
    <w:p w:rsidR="009200D9" w:rsidRPr="006C3061" w:rsidRDefault="009200D9" w:rsidP="00B205DE">
      <w:pPr>
        <w:pStyle w:val="NormalHanging12a"/>
        <w:widowControl/>
      </w:pPr>
      <w:r w:rsidRPr="006C3061">
        <w:t>12.</w:t>
      </w:r>
      <w:r w:rsidRPr="006C3061">
        <w:tab/>
        <w:t>kehottaa puhemiestä välittämään tämän päätöslauselman neuvostolle, komissiolle, jäsenvaltioiden hallituksille ja parlamenteille, Euroopan neuvostolle, Euroopan turvallisuus- ja yhteistyöjärjestölle ja Yhdistyneille kansakunnille.</w:t>
      </w:r>
    </w:p>
    <w:sectPr w:rsidR="009200D9" w:rsidRPr="006C3061" w:rsidSect="006C30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4D0" w:rsidRPr="006C3061" w:rsidRDefault="007824D0">
      <w:r w:rsidRPr="006C3061">
        <w:separator/>
      </w:r>
    </w:p>
  </w:endnote>
  <w:endnote w:type="continuationSeparator" w:id="0">
    <w:p w:rsidR="007824D0" w:rsidRPr="006C3061" w:rsidRDefault="007824D0">
      <w:r w:rsidRPr="006C30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4D0" w:rsidRPr="006C3061" w:rsidRDefault="007824D0">
      <w:r w:rsidRPr="006C3061">
        <w:separator/>
      </w:r>
    </w:p>
  </w:footnote>
  <w:footnote w:type="continuationSeparator" w:id="0">
    <w:p w:rsidR="007824D0" w:rsidRPr="006C3061" w:rsidRDefault="007824D0">
      <w:r w:rsidRPr="006C3061">
        <w:continuationSeparator/>
      </w:r>
    </w:p>
  </w:footnote>
  <w:footnote w:id="1">
    <w:p w:rsidR="009200D9" w:rsidRPr="00564F92" w:rsidRDefault="009200D9" w:rsidP="006C3061">
      <w:pPr>
        <w:pStyle w:val="FootnoteText"/>
        <w:ind w:left="567" w:hanging="567"/>
        <w:rPr>
          <w:sz w:val="24"/>
          <w:lang w:val="da-DK"/>
        </w:rPr>
      </w:pPr>
      <w:r w:rsidRPr="006C3061">
        <w:rPr>
          <w:rStyle w:val="FootnoteReference"/>
          <w:sz w:val="24"/>
          <w:lang w:val="fi-FI"/>
        </w:rPr>
        <w:footnoteRef/>
      </w:r>
      <w:r w:rsidR="006C3061" w:rsidRPr="00564F92">
        <w:rPr>
          <w:sz w:val="24"/>
          <w:lang w:val="da-DK"/>
        </w:rPr>
        <w:t xml:space="preserve"> </w:t>
      </w:r>
      <w:r w:rsidR="006C3061" w:rsidRPr="00564F92">
        <w:rPr>
          <w:sz w:val="24"/>
          <w:lang w:val="da-DK"/>
        </w:rPr>
        <w:tab/>
      </w:r>
      <w:r w:rsidRPr="00564F92">
        <w:rPr>
          <w:sz w:val="24"/>
          <w:lang w:val="da-DK"/>
        </w:rPr>
        <w:t>EUVL L 433 I, 22.12.2020, s. 1.</w:t>
      </w:r>
    </w:p>
  </w:footnote>
  <w:footnote w:id="2">
    <w:p w:rsidR="009200D9" w:rsidRPr="00564F92" w:rsidRDefault="009200D9" w:rsidP="006C3061">
      <w:pPr>
        <w:pStyle w:val="FootnoteText"/>
        <w:ind w:left="567" w:hanging="567"/>
        <w:rPr>
          <w:sz w:val="24"/>
          <w:lang w:val="da-DK"/>
        </w:rPr>
      </w:pPr>
      <w:r w:rsidRPr="006C3061">
        <w:rPr>
          <w:rStyle w:val="FootnoteReference"/>
          <w:sz w:val="24"/>
          <w:lang w:val="fi-FI"/>
        </w:rPr>
        <w:footnoteRef/>
      </w:r>
      <w:r w:rsidR="006C3061" w:rsidRPr="00564F92">
        <w:rPr>
          <w:sz w:val="24"/>
          <w:lang w:val="da-DK"/>
        </w:rPr>
        <w:t xml:space="preserve"> </w:t>
      </w:r>
      <w:r w:rsidR="006C3061" w:rsidRPr="00564F92">
        <w:rPr>
          <w:sz w:val="24"/>
          <w:lang w:val="da-DK"/>
        </w:rPr>
        <w:tab/>
      </w:r>
      <w:r w:rsidRPr="00564F92">
        <w:rPr>
          <w:sz w:val="24"/>
          <w:lang w:val="da-DK"/>
        </w:rPr>
        <w:t>EUVL L 57, 18.2.2021, s. 17.</w:t>
      </w:r>
    </w:p>
  </w:footnote>
  <w:footnote w:id="3">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EUVL L 231, 30.6.2021, s. 159.</w:t>
      </w:r>
    </w:p>
  </w:footnote>
  <w:footnote w:id="4">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Euroopan parlamentin päätöslauselma 12. syyskuuta 2018 ehdotuksesta, jolla neuvostoa pyydetään toteamaan Euroopan unionista tehdyn sopimuksen 7 artiklan 1 kohdan nojalla, onko olemassa selvä vaara, että Unkari loukkaa vakavasti unionin perustana olevia arvoja (EUVL C 433, 23.12.2019, s. 66).</w:t>
      </w:r>
    </w:p>
  </w:footnote>
  <w:footnote w:id="5">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 xml:space="preserve">Euroopan parlamentin päätöslauselma 8. heinäkuuta 2021 Unkarin parlamentin hyväksymistä lakimuutoksista johtuvista EU:n oikeuden ja </w:t>
      </w:r>
      <w:proofErr w:type="spellStart"/>
      <w:r w:rsidRPr="006C3061">
        <w:rPr>
          <w:sz w:val="24"/>
          <w:lang w:val="fi-FI"/>
        </w:rPr>
        <w:t>hlbtiq</w:t>
      </w:r>
      <w:proofErr w:type="spellEnd"/>
      <w:r w:rsidRPr="006C3061">
        <w:rPr>
          <w:sz w:val="24"/>
          <w:lang w:val="fi-FI"/>
        </w:rPr>
        <w:t>-kansalaisten oikeuksien loukkauksista Unkarissa (EUVL C 99, 1.3.2022, s. 218).</w:t>
      </w:r>
    </w:p>
  </w:footnote>
  <w:footnote w:id="6">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Euroopan parlamentin päätöslauselma 15. syyskuuta 2022 ehdotuksesta neuvoston päätökseksi sen toteamiseksi Euroopan unionista tehdyn sopimuksen 7 artiklan 1 kohdan nojalla, onko olemassa selvä vaara, että Unkari loukkaa vakavasti unionin perustana olevia arvoja (EUVL C 125, 5.4.2023, s. 463).</w:t>
      </w:r>
    </w:p>
  </w:footnote>
  <w:footnote w:id="7">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Euroopan parlamentin päätöslauselma 16. tammikuuta 2020 käynnissä olevista SEU-sopimuksen 7 artiklan 1 kohdan mukaisista Puolaa ja Unkaria koskevista kuulemisista (EUVL C 270, 7.7.2021, s. 91).</w:t>
      </w:r>
    </w:p>
  </w:footnote>
  <w:footnote w:id="8">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 xml:space="preserve">Euroopan parlamentin päätöslauselma 24. marraskuuta 2022 arviosta siitä, noudattaako Unkari ehdollisuusasetuksen oikeusvaltioperiaatetta koskevia ehtoja, ja Unkarin </w:t>
      </w:r>
      <w:proofErr w:type="spellStart"/>
      <w:r w:rsidRPr="006C3061">
        <w:rPr>
          <w:sz w:val="24"/>
          <w:lang w:val="fi-FI"/>
        </w:rPr>
        <w:t>elpymis</w:t>
      </w:r>
      <w:proofErr w:type="spellEnd"/>
      <w:r w:rsidRPr="006C3061">
        <w:rPr>
          <w:sz w:val="24"/>
          <w:lang w:val="fi-FI"/>
        </w:rPr>
        <w:t>- ja palautumissuunnitelman tilanteesta (EUVL C 167, 11.5.2023, s. 74).</w:t>
      </w:r>
    </w:p>
  </w:footnote>
  <w:footnote w:id="9">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Euroopan parlamentin päätöslauselma 1. kesäkuuta 2023 oikeusvaltiorikkomuksista ja perusoikeusloukkauksista Unkarissa ja jäädytetyistä EU:n varoista (EUVL C, C/2023/1223, 21.12.2023, ELI: http://data.europa.eu/eli/C/2023/1223/oj).</w:t>
      </w:r>
    </w:p>
  </w:footnote>
  <w:footnote w:id="10">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Hyväksytyt tekstit, P9_</w:t>
      </w:r>
      <w:proofErr w:type="gramStart"/>
      <w:r w:rsidRPr="006C3061">
        <w:rPr>
          <w:sz w:val="24"/>
          <w:lang w:val="fi-FI"/>
        </w:rPr>
        <w:t>TA(</w:t>
      </w:r>
      <w:proofErr w:type="gramEnd"/>
      <w:r w:rsidRPr="006C3061">
        <w:rPr>
          <w:sz w:val="24"/>
          <w:lang w:val="fi-FI"/>
        </w:rPr>
        <w:t>2023)0335.</w:t>
      </w:r>
    </w:p>
  </w:footnote>
  <w:footnote w:id="11">
    <w:p w:rsidR="009200D9" w:rsidRPr="006C3061" w:rsidRDefault="009200D9" w:rsidP="006C3061">
      <w:pPr>
        <w:pStyle w:val="FootnoteText"/>
        <w:ind w:left="567" w:hanging="567"/>
        <w:rPr>
          <w:sz w:val="24"/>
          <w:lang w:val="fi-FI"/>
        </w:rPr>
      </w:pPr>
      <w:r w:rsidRPr="006C3061">
        <w:rPr>
          <w:rStyle w:val="FootnoteReference"/>
          <w:sz w:val="24"/>
          <w:lang w:val="fi-FI"/>
        </w:rPr>
        <w:footnoteRef/>
      </w:r>
      <w:r w:rsidR="006C3061" w:rsidRPr="006C3061">
        <w:rPr>
          <w:sz w:val="24"/>
          <w:lang w:val="fi-FI"/>
        </w:rPr>
        <w:t xml:space="preserve"> </w:t>
      </w:r>
      <w:r w:rsidR="006C3061" w:rsidRPr="006C3061">
        <w:rPr>
          <w:sz w:val="24"/>
          <w:lang w:val="fi-FI"/>
        </w:rPr>
        <w:tab/>
      </w:r>
      <w:r w:rsidRPr="006C3061">
        <w:rPr>
          <w:sz w:val="24"/>
          <w:lang w:val="fi-FI"/>
        </w:rPr>
        <w:t>EUVL L 325, 20.12.2022, s. 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FI"/>
    <w:docVar w:name="dvnumam" w:val="0"/>
    <w:docVar w:name="dvpe" w:val="756.771"/>
    <w:docVar w:name="dvtitre" w:val="Euroopan parlamentin päätöslauselma 18. tammikuuta 2024 Unkarin tilanteesta ja jäädytetyistä EU-varoista(2024/2512(RSP))"/>
  </w:docVars>
  <w:rsids>
    <w:rsidRoot w:val="007824D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A5F"/>
    <w:rsid w:val="00411CCE"/>
    <w:rsid w:val="0041666E"/>
    <w:rsid w:val="00421060"/>
    <w:rsid w:val="00471C19"/>
    <w:rsid w:val="004867E3"/>
    <w:rsid w:val="00494A28"/>
    <w:rsid w:val="004C0004"/>
    <w:rsid w:val="004C5D52"/>
    <w:rsid w:val="0050519A"/>
    <w:rsid w:val="005072A1"/>
    <w:rsid w:val="00514517"/>
    <w:rsid w:val="00545827"/>
    <w:rsid w:val="00560270"/>
    <w:rsid w:val="00564F92"/>
    <w:rsid w:val="005C2568"/>
    <w:rsid w:val="006037C0"/>
    <w:rsid w:val="00641CBA"/>
    <w:rsid w:val="006631B6"/>
    <w:rsid w:val="00680577"/>
    <w:rsid w:val="006C3061"/>
    <w:rsid w:val="006F74FA"/>
    <w:rsid w:val="00731ADD"/>
    <w:rsid w:val="00734777"/>
    <w:rsid w:val="00747932"/>
    <w:rsid w:val="00751A4A"/>
    <w:rsid w:val="00756632"/>
    <w:rsid w:val="00762C74"/>
    <w:rsid w:val="007824D0"/>
    <w:rsid w:val="00786EC0"/>
    <w:rsid w:val="007D1690"/>
    <w:rsid w:val="007E22AD"/>
    <w:rsid w:val="00817416"/>
    <w:rsid w:val="00842779"/>
    <w:rsid w:val="00865F67"/>
    <w:rsid w:val="00881A7B"/>
    <w:rsid w:val="008840E5"/>
    <w:rsid w:val="00887B3E"/>
    <w:rsid w:val="008C2AC6"/>
    <w:rsid w:val="009200D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5D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171BE6-C710-4E5B-A63A-E326F6E6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00D9"/>
    <w:pPr>
      <w:spacing w:before="480" w:after="240"/>
    </w:pPr>
  </w:style>
  <w:style w:type="paragraph" w:customStyle="1" w:styleId="NormalHanging12a">
    <w:name w:val="NormalHanging12a"/>
    <w:basedOn w:val="Normal"/>
    <w:rsid w:val="009200D9"/>
    <w:pPr>
      <w:spacing w:after="240"/>
      <w:ind w:left="567" w:hanging="567"/>
    </w:pPr>
  </w:style>
  <w:style w:type="paragraph" w:styleId="Footer">
    <w:name w:val="footer"/>
    <w:basedOn w:val="Normal"/>
    <w:link w:val="FooterChar"/>
    <w:rsid w:val="00B205DE"/>
    <w:pPr>
      <w:tabs>
        <w:tab w:val="center" w:pos="4513"/>
        <w:tab w:val="right" w:pos="9026"/>
      </w:tabs>
    </w:pPr>
  </w:style>
  <w:style w:type="character" w:customStyle="1" w:styleId="FooterChar">
    <w:name w:val="Footer Char"/>
    <w:basedOn w:val="DefaultParagraphFont"/>
    <w:link w:val="Footer"/>
    <w:rsid w:val="00B205DE"/>
    <w:rPr>
      <w:sz w:val="24"/>
      <w:lang w:val="fi-FI"/>
    </w:rPr>
  </w:style>
  <w:style w:type="paragraph" w:styleId="BalloonText">
    <w:name w:val="Balloon Text"/>
    <w:basedOn w:val="Normal"/>
    <w:link w:val="BalloonTextChar"/>
    <w:rsid w:val="00564F92"/>
    <w:rPr>
      <w:rFonts w:ascii="Segoe UI" w:hAnsi="Segoe UI" w:cs="Segoe UI"/>
      <w:sz w:val="18"/>
      <w:szCs w:val="18"/>
    </w:rPr>
  </w:style>
  <w:style w:type="character" w:customStyle="1" w:styleId="BalloonTextChar">
    <w:name w:val="Balloon Text Char"/>
    <w:basedOn w:val="DefaultParagraphFont"/>
    <w:link w:val="BalloonText"/>
    <w:rsid w:val="00564F92"/>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A4A38-64CE-4949-A180-8343570C6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2132</Words>
  <Characters>17997</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2024-01-18T14:05:00Z</dcterms:created>
  <dcterms:modified xsi:type="dcterms:W3CDTF">2024-01-18T14:05:00Z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B9-0086/2024</vt:lpwstr>
  </property>
  <property fmtid="{D5CDD505-2E9C-101B-9397-08002B2CF9AE}" pid="4" name="&lt;Type&gt;">
    <vt:lpwstr>RR</vt:lpwstr>
  </property>
</Properties>
</file>