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4503" w:rsidTr="0010095E">
        <w:trPr>
          <w:trHeight w:hRule="exact" w:val="1418"/>
        </w:trPr>
        <w:tc>
          <w:tcPr>
            <w:tcW w:w="6804" w:type="dxa"/>
            <w:shd w:val="clear" w:color="auto" w:fill="auto"/>
            <w:vAlign w:val="center"/>
          </w:tcPr>
          <w:p w:rsidR="00751A4A" w:rsidRPr="00654503" w:rsidRDefault="00D07297" w:rsidP="0010095E">
            <w:pPr>
              <w:pStyle w:val="EPName"/>
            </w:pPr>
            <w:r w:rsidRPr="00654503">
              <w:t>Europos Parlamentas</w:t>
            </w:r>
          </w:p>
          <w:p w:rsidR="00751A4A" w:rsidRPr="00654503" w:rsidRDefault="00817416" w:rsidP="00756632">
            <w:pPr>
              <w:pStyle w:val="EPTerm"/>
              <w:rPr>
                <w:rStyle w:val="HideTWBExt"/>
                <w:noProof w:val="0"/>
                <w:vanish w:val="0"/>
                <w:color w:val="auto"/>
              </w:rPr>
            </w:pPr>
            <w:r w:rsidRPr="00654503">
              <w:t>2019-2024</w:t>
            </w:r>
          </w:p>
        </w:tc>
        <w:tc>
          <w:tcPr>
            <w:tcW w:w="2268" w:type="dxa"/>
            <w:shd w:val="clear" w:color="auto" w:fill="auto"/>
          </w:tcPr>
          <w:p w:rsidR="00751A4A" w:rsidRPr="00654503" w:rsidRDefault="00187494" w:rsidP="0010095E">
            <w:pPr>
              <w:pStyle w:val="EPLogo"/>
            </w:pPr>
            <w:r w:rsidRPr="00654503">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54503" w:rsidRDefault="00D058B8" w:rsidP="004C5D52">
      <w:pPr>
        <w:pStyle w:val="LineTop"/>
      </w:pPr>
    </w:p>
    <w:p w:rsidR="00680577" w:rsidRPr="00654503" w:rsidRDefault="00D07297" w:rsidP="00680577">
      <w:pPr>
        <w:pStyle w:val="EPBodyTA1"/>
      </w:pPr>
      <w:r w:rsidRPr="00654503">
        <w:t>PRIIMTI TEKSTAI</w:t>
      </w:r>
    </w:p>
    <w:p w:rsidR="00D058B8" w:rsidRPr="00654503" w:rsidRDefault="00D058B8" w:rsidP="00D058B8">
      <w:pPr>
        <w:pStyle w:val="LineBottom"/>
      </w:pPr>
    </w:p>
    <w:p w:rsidR="00D07297" w:rsidRPr="00654503" w:rsidRDefault="00D07297" w:rsidP="00D07297">
      <w:pPr>
        <w:pStyle w:val="ATHeading1"/>
      </w:pPr>
      <w:bookmarkStart w:id="0" w:name="TANumber"/>
      <w:r w:rsidRPr="00654503">
        <w:t>P9_TA(2024)00</w:t>
      </w:r>
      <w:r w:rsidR="002606F4">
        <w:t>53</w:t>
      </w:r>
      <w:bookmarkEnd w:id="0"/>
    </w:p>
    <w:p w:rsidR="00D07297" w:rsidRPr="00654503" w:rsidRDefault="00D07297" w:rsidP="00D07297">
      <w:pPr>
        <w:pStyle w:val="ATHeading2"/>
      </w:pPr>
      <w:bookmarkStart w:id="1" w:name="title"/>
      <w:r w:rsidRPr="00654503">
        <w:t>Padėtis Vengrijoje ir įšaldytos ES lėšos</w:t>
      </w:r>
      <w:bookmarkEnd w:id="1"/>
    </w:p>
    <w:p w:rsidR="00D07297" w:rsidRPr="00654503" w:rsidRDefault="00D07297" w:rsidP="00D07297">
      <w:pPr>
        <w:rPr>
          <w:i/>
          <w:vanish/>
        </w:rPr>
      </w:pPr>
      <w:r w:rsidRPr="00654503">
        <w:rPr>
          <w:i/>
        </w:rPr>
        <w:fldChar w:fldCharType="begin"/>
      </w:r>
      <w:r w:rsidRPr="00654503">
        <w:rPr>
          <w:i/>
        </w:rPr>
        <w:instrText xml:space="preserve"> TC"(</w:instrText>
      </w:r>
      <w:bookmarkStart w:id="2" w:name="DocNumber"/>
      <w:r w:rsidRPr="00654503">
        <w:rPr>
          <w:i/>
        </w:rPr>
        <w:instrText>B9-0086/2024</w:instrText>
      </w:r>
      <w:bookmarkEnd w:id="2"/>
      <w:r w:rsidRPr="00654503">
        <w:rPr>
          <w:i/>
        </w:rPr>
        <w:instrText xml:space="preserve">)"\l3 \n&gt; \* MERGEFORMAT </w:instrText>
      </w:r>
      <w:r w:rsidRPr="00654503">
        <w:rPr>
          <w:i/>
        </w:rPr>
        <w:fldChar w:fldCharType="end"/>
      </w:r>
    </w:p>
    <w:p w:rsidR="00D07297" w:rsidRPr="00654503" w:rsidRDefault="00D07297" w:rsidP="00D07297">
      <w:pPr>
        <w:rPr>
          <w:vanish/>
        </w:rPr>
      </w:pPr>
      <w:bookmarkStart w:id="3" w:name="PE"/>
      <w:r w:rsidRPr="00654503">
        <w:rPr>
          <w:vanish/>
        </w:rPr>
        <w:t>PE756.771</w:t>
      </w:r>
      <w:bookmarkEnd w:id="3"/>
    </w:p>
    <w:p w:rsidR="00D07297" w:rsidRPr="00654503" w:rsidRDefault="00F1332B" w:rsidP="000679C8">
      <w:pPr>
        <w:pStyle w:val="ATHeading3"/>
      </w:pPr>
      <w:bookmarkStart w:id="4" w:name="Sujet"/>
      <w:r>
        <w:t xml:space="preserve">2024 m. sausio 18 d. </w:t>
      </w:r>
      <w:r w:rsidR="00D07297" w:rsidRPr="00654503">
        <w:t>Europos Parlamento rezoliucija dėl padėties Vengrijoje ir įšaldytų ES lėšų</w:t>
      </w:r>
      <w:bookmarkEnd w:id="4"/>
      <w:r w:rsidR="00D07297" w:rsidRPr="00654503">
        <w:t xml:space="preserve"> </w:t>
      </w:r>
      <w:bookmarkStart w:id="5" w:name="References"/>
      <w:r w:rsidR="00D07297" w:rsidRPr="00654503">
        <w:t>(2024/2512(RSP))</w:t>
      </w:r>
      <w:bookmarkEnd w:id="5"/>
    </w:p>
    <w:p w:rsidR="00F05006" w:rsidRPr="00654503" w:rsidRDefault="00F05006" w:rsidP="00F05006">
      <w:pPr>
        <w:pStyle w:val="EPComma"/>
      </w:pPr>
      <w:bookmarkStart w:id="6" w:name="TextBodyBegin"/>
      <w:bookmarkEnd w:id="6"/>
      <w:r w:rsidRPr="00654503">
        <w:rPr>
          <w:i/>
          <w:iCs/>
        </w:rPr>
        <w:t>Europos Parlamentas</w:t>
      </w:r>
      <w:r w:rsidRPr="00654503">
        <w:t>,</w:t>
      </w:r>
    </w:p>
    <w:p w:rsidR="00F05006" w:rsidRPr="00654503" w:rsidRDefault="00F05006" w:rsidP="00F05006">
      <w:pPr>
        <w:pStyle w:val="NormalHanging12a"/>
      </w:pPr>
      <w:r w:rsidRPr="00654503">
        <w:t>–</w:t>
      </w:r>
      <w:r w:rsidRPr="00654503">
        <w:tab/>
        <w:t>atsižvelgdamas į Europos Sąjungos sutartį (toliau – ES sutartis), ypač į jos 2 straipsnį, 4 straipsnio 3 dalį ir 7 straipsnio 1 dalį,</w:t>
      </w:r>
      <w:bookmarkStart w:id="7" w:name="_GoBack"/>
      <w:bookmarkEnd w:id="7"/>
    </w:p>
    <w:p w:rsidR="00F05006" w:rsidRPr="00654503" w:rsidRDefault="00F05006" w:rsidP="00F05006">
      <w:pPr>
        <w:pStyle w:val="NormalHanging12a"/>
      </w:pPr>
      <w:r w:rsidRPr="00654503">
        <w:t>–</w:t>
      </w:r>
      <w:r w:rsidRPr="00654503">
        <w:tab/>
        <w:t>atsižvelgdamas į Europos Sąjungos pagrindinių teisių chartiją (toliau – Chartija),</w:t>
      </w:r>
    </w:p>
    <w:p w:rsidR="00F05006" w:rsidRPr="00654503" w:rsidRDefault="00F05006" w:rsidP="00F05006">
      <w:pPr>
        <w:pStyle w:val="NormalHanging12a"/>
      </w:pPr>
      <w:r w:rsidRPr="00654503">
        <w:t>–</w:t>
      </w:r>
      <w:r w:rsidRPr="00654503">
        <w:tab/>
        <w:t>atsižvelgdamas į Europos žmogaus teisių konvenciją ir į jos protokolus,</w:t>
      </w:r>
    </w:p>
    <w:p w:rsidR="00F05006" w:rsidRPr="00654503" w:rsidRDefault="00F05006" w:rsidP="00F05006">
      <w:pPr>
        <w:pStyle w:val="NormalHanging12a"/>
      </w:pPr>
      <w:r w:rsidRPr="00654503">
        <w:t>–</w:t>
      </w:r>
      <w:r w:rsidRPr="00654503">
        <w:tab/>
        <w:t>atsižvelgdamas į Visuotinę žmogaus teisių deklaraciją,</w:t>
      </w:r>
    </w:p>
    <w:p w:rsidR="00F05006" w:rsidRPr="00654503" w:rsidRDefault="00F05006" w:rsidP="00F05006">
      <w:pPr>
        <w:pStyle w:val="NormalHanging12a"/>
      </w:pPr>
      <w:r w:rsidRPr="00654503">
        <w:t>–</w:t>
      </w:r>
      <w:r w:rsidRPr="00654503">
        <w:tab/>
        <w:t>atsižvelgdamas į Jungtinių Tautų ir Europos Tarybos tarptautines sutartis žmogaus teisių srityje,</w:t>
      </w:r>
    </w:p>
    <w:p w:rsidR="00F05006" w:rsidRPr="00654503" w:rsidRDefault="00F05006" w:rsidP="00F05006">
      <w:pPr>
        <w:pStyle w:val="NormalHanging12a"/>
      </w:pPr>
      <w:r w:rsidRPr="00654503">
        <w:t>–</w:t>
      </w:r>
      <w:r w:rsidRPr="00654503">
        <w:tab/>
        <w:t>atsižvelgdamas į 2021 m. gruodžio 22 d. Komisijos pasiūlymą dėl Tarybos reglamento, kuriuo iš dalies keičiamas Reglamentas (ES, Euratomas) 2020/2093, kuriuo nustatoma 2021–2027 m. daugiametė finansinė programa (COM(2021)0569),</w:t>
      </w:r>
    </w:p>
    <w:p w:rsidR="00F05006" w:rsidRPr="00654503" w:rsidRDefault="00F05006" w:rsidP="00F05006">
      <w:pPr>
        <w:pStyle w:val="NormalHanging12a"/>
      </w:pPr>
      <w:r w:rsidRPr="00654503">
        <w:t>–</w:t>
      </w:r>
      <w:r w:rsidRPr="00654503">
        <w:tab/>
        <w:t>atsižvelgdamas į 2020 m. gruodžio 16 d. Europos Parlamento ir Tarybos reglamentą (ES, Euratomas) 2020/2092 dėl bendro Sąjungos biudžeto apsaugos sąlygų režimo</w:t>
      </w:r>
      <w:r w:rsidRPr="00654503">
        <w:rPr>
          <w:rStyle w:val="FootnoteReference"/>
        </w:rPr>
        <w:footnoteReference w:id="1"/>
      </w:r>
      <w:r w:rsidRPr="00654503">
        <w:t xml:space="preserve"> (Sąlygų reglamentas),</w:t>
      </w:r>
    </w:p>
    <w:p w:rsidR="00F05006" w:rsidRPr="00654503" w:rsidRDefault="00F05006" w:rsidP="00F05006">
      <w:pPr>
        <w:pStyle w:val="NormalHanging12a"/>
      </w:pPr>
      <w:r w:rsidRPr="00654503">
        <w:t>–</w:t>
      </w:r>
      <w:r w:rsidRPr="00654503">
        <w:tab/>
        <w:t>atsižvelgdamas į 2021 m. vasario 12 d. Europos Parlamento ir Tarybos reglamentą (ES) 2021/241, kuriuo nustatoma ekonomikos gaivinimo ir atsparumo didinimo priemonė</w:t>
      </w:r>
      <w:r w:rsidRPr="00654503">
        <w:rPr>
          <w:rStyle w:val="FootnoteReference"/>
        </w:rPr>
        <w:footnoteReference w:id="2"/>
      </w:r>
      <w:r w:rsidRPr="00654503">
        <w:t xml:space="preserve"> (EGADP reglamentas),</w:t>
      </w:r>
    </w:p>
    <w:p w:rsidR="00F05006" w:rsidRPr="00654503" w:rsidRDefault="00F05006" w:rsidP="00F05006">
      <w:pPr>
        <w:pStyle w:val="NormalHanging12a"/>
      </w:pPr>
      <w:r w:rsidRPr="00654503">
        <w:t>–</w:t>
      </w:r>
      <w:r w:rsidRPr="00654503">
        <w:tab/>
        <w:t xml:space="preserve">atsižvelgdamas į 2021 m. birželio 24 d. Europos Parlamento ir Tarybos reglamentą (ES) 2021/1060, kuriuo nustatomos bendros Europos regioninės plėtros fondo, „Europos socialinio fondo +“, Sanglaudos fondo, Teisingos pertvarkos fondo ir Europos jūrų reikalų, žvejybos ir akvakultūros fondo nuostatos ir šių fondų bei Prieglobsčio, </w:t>
      </w:r>
      <w:r w:rsidRPr="00654503">
        <w:lastRenderedPageBreak/>
        <w:t>migracijos ir integracijos fondo, Vidaus saugumo fondo ir Sienų valdymo ir vizų politikos finansinės paramos priemonės taisyklės</w:t>
      </w:r>
      <w:r w:rsidRPr="00654503">
        <w:rPr>
          <w:rStyle w:val="FootnoteReference"/>
        </w:rPr>
        <w:footnoteReference w:id="3"/>
      </w:r>
      <w:r w:rsidRPr="00654503">
        <w:t xml:space="preserve"> (Bendrųjų nuostatų reglamentas),</w:t>
      </w:r>
    </w:p>
    <w:p w:rsidR="00F05006" w:rsidRPr="00654503" w:rsidRDefault="00F05006" w:rsidP="00F05006">
      <w:pPr>
        <w:pStyle w:val="NormalHanging12a"/>
      </w:pPr>
      <w:r w:rsidRPr="00654503">
        <w:t>–</w:t>
      </w:r>
      <w:r w:rsidRPr="00654503">
        <w:tab/>
        <w:t>atsižvelgdamas į savo ankstesnes rezoliucijas dėl teisinės valstybės principo Vengrijoje, ypač į 2018 m. rugsėjo 12 d.</w:t>
      </w:r>
      <w:r w:rsidRPr="00654503">
        <w:rPr>
          <w:rStyle w:val="FootnoteReference"/>
        </w:rPr>
        <w:footnoteReference w:id="4"/>
      </w:r>
      <w:r w:rsidRPr="00654503">
        <w:t>, 2021 m. liepos 8 d.</w:t>
      </w:r>
      <w:r w:rsidRPr="00654503">
        <w:rPr>
          <w:rStyle w:val="FootnoteReference"/>
        </w:rPr>
        <w:footnoteReference w:id="5"/>
      </w:r>
      <w:r w:rsidRPr="00654503">
        <w:t>, 2022 m. rugsėjo 15 d.</w:t>
      </w:r>
      <w:r w:rsidRPr="00654503">
        <w:rPr>
          <w:rStyle w:val="FootnoteReference"/>
        </w:rPr>
        <w:footnoteReference w:id="6"/>
      </w:r>
      <w:r w:rsidRPr="00654503">
        <w:t>, 2020 m. sausio 16 d.</w:t>
      </w:r>
      <w:r w:rsidRPr="00654503">
        <w:rPr>
          <w:rStyle w:val="FootnoteReference"/>
        </w:rPr>
        <w:footnoteReference w:id="7"/>
      </w:r>
      <w:r w:rsidRPr="00654503">
        <w:t>, 2022 m. lapkričio 24 d.</w:t>
      </w:r>
      <w:r w:rsidRPr="00654503">
        <w:rPr>
          <w:rStyle w:val="FootnoteReference"/>
        </w:rPr>
        <w:footnoteReference w:id="8"/>
      </w:r>
      <w:r w:rsidRPr="00654503">
        <w:t xml:space="preserve"> ir 2023 m. birželio 1 d.</w:t>
      </w:r>
      <w:r w:rsidRPr="00654503">
        <w:rPr>
          <w:rStyle w:val="FootnoteReference"/>
        </w:rPr>
        <w:footnoteReference w:id="9"/>
      </w:r>
      <w:r w:rsidRPr="00654503">
        <w:t xml:space="preserve"> rezoliucijas,</w:t>
      </w:r>
    </w:p>
    <w:p w:rsidR="00F05006" w:rsidRPr="00654503" w:rsidRDefault="00F05006" w:rsidP="00F05006">
      <w:pPr>
        <w:pStyle w:val="NormalHanging12a"/>
      </w:pPr>
      <w:r w:rsidRPr="00654503">
        <w:t>–</w:t>
      </w:r>
      <w:r w:rsidRPr="00654503">
        <w:tab/>
        <w:t>atsižvelgdamas į 2023 m. birželio 20 d. Komisijos komunikatą dėl 2021–2027 m. daugiametės finansinės programos laikotarpio vidurio tikslinimo (COM(2023)0336),</w:t>
      </w:r>
    </w:p>
    <w:p w:rsidR="00F05006" w:rsidRPr="00654503" w:rsidRDefault="00F05006" w:rsidP="00F05006">
      <w:pPr>
        <w:pStyle w:val="NormalHanging12a"/>
      </w:pPr>
      <w:r w:rsidRPr="00654503">
        <w:t>–</w:t>
      </w:r>
      <w:r w:rsidRPr="00654503">
        <w:tab/>
        <w:t>atsižvelgdamas į 2023 m. spalio 3 d. rezoliuciją dėl 2021–2027 m. daugiametės finansinės programos laikotarpio vidurio tikslinimo</w:t>
      </w:r>
      <w:r w:rsidRPr="00654503">
        <w:rPr>
          <w:rStyle w:val="FootnoteReference"/>
        </w:rPr>
        <w:footnoteReference w:id="10"/>
      </w:r>
      <w:r w:rsidRPr="00654503">
        <w:t>,</w:t>
      </w:r>
    </w:p>
    <w:p w:rsidR="00F05006" w:rsidRPr="00654503" w:rsidRDefault="00F05006" w:rsidP="00F05006">
      <w:pPr>
        <w:pStyle w:val="NormalHanging12a"/>
      </w:pPr>
      <w:r w:rsidRPr="00654503">
        <w:t>–</w:t>
      </w:r>
      <w:r w:rsidRPr="00654503">
        <w:tab/>
        <w:t>atsižvelgdamas į Komisijos metinėse teisinės valstybės principo taikymo ataskaitose, ypač 2021 m., 2022 m. ir 2023 m. ataskaitose, pateiktus šalių skyrius dėl Vengrijos,</w:t>
      </w:r>
    </w:p>
    <w:p w:rsidR="00F05006" w:rsidRPr="00654503" w:rsidRDefault="00F05006" w:rsidP="00F05006">
      <w:pPr>
        <w:pStyle w:val="NormalHanging12a"/>
      </w:pPr>
      <w:r w:rsidRPr="00654503">
        <w:t>–</w:t>
      </w:r>
      <w:r w:rsidRPr="00654503">
        <w:tab/>
        <w:t>atsižvelgdamas į Darbo tvarkos taisyklių 132 straipsnio 2 dalį,</w:t>
      </w:r>
    </w:p>
    <w:p w:rsidR="00F05006" w:rsidRPr="00654503" w:rsidRDefault="00F05006" w:rsidP="00F05006">
      <w:pPr>
        <w:pStyle w:val="NormalHanging12a"/>
      </w:pPr>
      <w:r w:rsidRPr="00654503">
        <w:t>A.</w:t>
      </w:r>
      <w:r w:rsidRPr="00654503">
        <w:tab/>
        <w:t>kadangi Sąjunga grindžiama pagarbos žmogaus orumui, laisvės, demokratijos, lygybės, teisinės valstybės ir pagarbos žmogaus teisėms, įskaitant mažumoms priklausančių asmenų teises, vertybėmis, kaip išdėstyta ES sutarties 2 straipsnyje ir Chartijoje bei įtvirtinta pagrindinėse tarptautinėse žmogaus teisių sutartyse;</w:t>
      </w:r>
    </w:p>
    <w:p w:rsidR="00F05006" w:rsidRPr="00654503" w:rsidRDefault="00F05006" w:rsidP="00F05006">
      <w:pPr>
        <w:pStyle w:val="NormalHanging12a"/>
      </w:pPr>
      <w:r w:rsidRPr="00654503">
        <w:t>B.</w:t>
      </w:r>
      <w:r w:rsidRPr="00654503">
        <w:tab/>
        <w:t>kadangi tai, kad valstybė narė laikosi ES sutarties 2 straipsnyje įtvirtintų vertybių, yra sąlyga, kad ta valstybė narė galėtų naudotis visomis teisėmis, kylančiomis taikant Sutartis; kadangi pagal ES sutarties 7 straipsnį Sąjunga gali įvertinti, ar esama aiškaus pavojaus, kad gali būti šiurkščiai pažeistos 2 straipsnyje nurodytos vertybės, arba nustatyti, ar valstybė narė šiurkščiai ir nuolat pažeidžia 2 straipsnyje nurodytas vertybes;</w:t>
      </w:r>
    </w:p>
    <w:p w:rsidR="00F05006" w:rsidRPr="00654503" w:rsidRDefault="00F05006" w:rsidP="00F05006">
      <w:pPr>
        <w:pStyle w:val="NormalHanging12a"/>
      </w:pPr>
      <w:r w:rsidRPr="00654503">
        <w:lastRenderedPageBreak/>
        <w:t>C.</w:t>
      </w:r>
      <w:r w:rsidRPr="00654503">
        <w:tab/>
        <w:t>kadangi dėl sistemingų Vengrijos vyriausybės veiksmų teisinės valstybės padėtis Vengrijoje kelerius metus blogėja; kadangi ši padėtis nebuvo pakankamai išspręsta, vis dar yra daug susirūpinimą keliančių klausimų ir vis dar kyla daug problemų; kadangi pastaraisiais metais labai pablogėjo įvairių pažeidžiamų grupių, visų pirma moterų, LGBTIQ+ asmenų, romų, migrantų, prieglobsčio prašytojų ir pabėgėlių, padėtis ir jos toliau susiduria su pagrindinių teisių pažeidimais, o nepriklausomų institucijų, galinčių ar norinčių juos apsaugoti, nėra; kadangi teisinės valstybės principo nebuvimas lėmė valstybinės ir privačios žiniasklaidos kontrolę ir nuolatinį Vengrijos vyriausybės piktnaudžiavimą darbo teisės aktais, taip pat aplinkos būklės blogėjimą;</w:t>
      </w:r>
    </w:p>
    <w:p w:rsidR="00F05006" w:rsidRPr="00654503" w:rsidRDefault="00F05006" w:rsidP="00F05006">
      <w:pPr>
        <w:pStyle w:val="NormalHanging12a"/>
        <w:rPr>
          <w:szCs w:val="24"/>
        </w:rPr>
      </w:pPr>
      <w:r w:rsidRPr="00654503">
        <w:t>D.</w:t>
      </w:r>
      <w:r w:rsidRPr="00654503">
        <w:tab/>
        <w:t xml:space="preserve">kadangi 2023 m. gegužės 3 d. Vengrijos Nacionalinė Asamblėja priėmė teismų reformos dokumentų rinkinį be tinkamos parlamentinės kontrolės ar viešų konsultacijų; kadangi šiame dokumentų rinkinyje, nepaisant vėlesnių papildymų, nėra nieko, kas padėtų peržiūrėti pastarojo meto politinius </w:t>
      </w:r>
      <w:proofErr w:type="spellStart"/>
      <w:r w:rsidRPr="00654503">
        <w:t>paskyrimus</w:t>
      </w:r>
      <w:proofErr w:type="spellEnd"/>
      <w:r w:rsidRPr="00654503">
        <w:t xml:space="preserve"> į aukščiausius šalies teisingumo sistemos lygmenis;</w:t>
      </w:r>
    </w:p>
    <w:p w:rsidR="00F05006" w:rsidRPr="00654503" w:rsidRDefault="00F05006" w:rsidP="00F05006">
      <w:pPr>
        <w:pStyle w:val="NormalHanging12a"/>
        <w:rPr>
          <w:szCs w:val="24"/>
        </w:rPr>
      </w:pPr>
      <w:r w:rsidRPr="00654503">
        <w:t>E.</w:t>
      </w:r>
      <w:r w:rsidRPr="00654503">
        <w:tab/>
        <w:t xml:space="preserve">kadangi 2023 m. gruodžio 12 d. Vengrijos Nacionalinė Asamblėja priėmė nacionalinio suvereniteto apsaugos dokumentų rinkinį be tinkamos parlamentinės kontrolės ar viešų konsultacijų; kadangi šiuo dokumentų rinkiniu vykdomajai valdžiai suteikiama dar daugiau galimybių nutildyti ir </w:t>
      </w:r>
      <w:proofErr w:type="spellStart"/>
      <w:r w:rsidRPr="00654503">
        <w:t>stigmatizuoti</w:t>
      </w:r>
      <w:proofErr w:type="spellEnd"/>
      <w:r w:rsidRPr="00654503">
        <w:t xml:space="preserve"> nepriklausomas nuomones ir oponentus;</w:t>
      </w:r>
    </w:p>
    <w:p w:rsidR="00F05006" w:rsidRPr="00654503" w:rsidRDefault="00F05006" w:rsidP="00F05006">
      <w:pPr>
        <w:pStyle w:val="NormalHanging12a"/>
        <w:rPr>
          <w:szCs w:val="24"/>
        </w:rPr>
      </w:pPr>
      <w:r w:rsidRPr="00654503">
        <w:t>F.</w:t>
      </w:r>
      <w:r w:rsidRPr="00654503">
        <w:tab/>
        <w:t>kadangi Vengrija yra viena didžiausių ES lėšų gavėjų (pagal dabartinę daugiametę finansinę programą (DFP) Vengrijai skirta daugiau kaip 32 mlrd. eurų Bendrųjų nuostatų reglamento ir priemonės „</w:t>
      </w:r>
      <w:proofErr w:type="spellStart"/>
      <w:r w:rsidRPr="00654503">
        <w:t>NextGenerationEU</w:t>
      </w:r>
      <w:proofErr w:type="spellEnd"/>
      <w:r w:rsidRPr="00654503">
        <w:t>“ lėšų); kadangi teisinės valstybės principo pablogėjimas Vengrijoje kelia didelę riziką ES finansinių interesų apsaugai ir ES biudžeto vykdymui Vengrijoje;</w:t>
      </w:r>
    </w:p>
    <w:p w:rsidR="00F05006" w:rsidRPr="00654503" w:rsidRDefault="00F05006" w:rsidP="00F05006">
      <w:pPr>
        <w:pStyle w:val="NormalHanging12a"/>
      </w:pPr>
      <w:r w:rsidRPr="00654503">
        <w:t>G.</w:t>
      </w:r>
      <w:r w:rsidRPr="00654503">
        <w:tab/>
        <w:t>kadangi Sąlygų reglamentas yra itin svarbus, nes jis yra viena iš veiksmingiausių priemonių, leidžiančių apsaugoti ES biudžetą;</w:t>
      </w:r>
    </w:p>
    <w:p w:rsidR="00F05006" w:rsidRPr="00654503" w:rsidRDefault="00F05006" w:rsidP="00F05006">
      <w:pPr>
        <w:pStyle w:val="NormalHanging12a"/>
      </w:pPr>
      <w:r w:rsidRPr="00654503">
        <w:t>H.</w:t>
      </w:r>
      <w:r w:rsidRPr="00654503">
        <w:tab/>
        <w:t>kadangi 2022 m. gruodžio 15 d. Taryba priėmė Įgyvendinimo sprendimą (ES) 2022/2506 dėl priemonių Sąjungos biudžetui apsaugoti nuo teisinės valstybės principų pažeidimų Vengrijoje</w:t>
      </w:r>
      <w:r w:rsidRPr="00654503">
        <w:rPr>
          <w:rStyle w:val="FootnoteReference"/>
        </w:rPr>
        <w:footnoteReference w:id="11"/>
      </w:r>
      <w:r w:rsidRPr="00654503">
        <w:t xml:space="preserve">; kadangi </w:t>
      </w:r>
      <w:r w:rsidRPr="00654503">
        <w:rPr>
          <w:color w:val="000000"/>
        </w:rPr>
        <w:t>pagal Sąlygų reglamentą Komisija stebėjo, kaip įgyvendinamos taisomosios priemonės, kurias Vengrija pasiūlė vykdant procedūrą pagal Tarybos įgyvendinimo sprendimą (ES) 2022/2506</w:t>
      </w:r>
      <w:r w:rsidRPr="00654503">
        <w:t xml:space="preserve">; kadangi šios priemonės apima 55 proc. biudžetinių įsipareigojimų pagal tris sanglaudos politikos veiksmų programas sustabdymą, taip pat draudimą užmegzti teisiniais įsipareigojimais grindžiamus santykius su jokiais viešojo intereso </w:t>
      </w:r>
      <w:proofErr w:type="spellStart"/>
      <w:r w:rsidRPr="00654503">
        <w:t>patikos</w:t>
      </w:r>
      <w:proofErr w:type="spellEnd"/>
      <w:r w:rsidRPr="00654503">
        <w:t xml:space="preserve"> fondais, įsteigtais remiantis 2021 m. Vengrijos aktu IX, ir jokiais tokių viešojo intereso </w:t>
      </w:r>
      <w:proofErr w:type="spellStart"/>
      <w:r w:rsidRPr="00654503">
        <w:t>patikos</w:t>
      </w:r>
      <w:proofErr w:type="spellEnd"/>
      <w:r w:rsidRPr="00654503">
        <w:t xml:space="preserve"> fondų valdomais subjektais; kadangi 2023 m. gruodžio mėn. Komisija iš naujo įvertino Vengrijos padėtį ir patvirtino, kad rizika Sąjungos biudžetui nuo 2022 m. gruodžio mėn. išliko nepakitusi ir Tarybos priemonės neturėtų būti nei pritaikytos, nei panaikintos;</w:t>
      </w:r>
    </w:p>
    <w:p w:rsidR="00F05006" w:rsidRPr="00654503" w:rsidRDefault="00F05006" w:rsidP="00F05006">
      <w:pPr>
        <w:pStyle w:val="NormalHanging12a"/>
      </w:pPr>
      <w:r w:rsidRPr="00654503">
        <w:t>I.</w:t>
      </w:r>
      <w:r w:rsidRPr="00654503">
        <w:tab/>
        <w:t xml:space="preserve">kadangi 2022 m. gruodžio 15 d. Taryba priėmė įgyvendinimo sprendimą dėl Vengrijos ekonomikos gaivinimo ir atsparumo didinimo plano įvertinimo patvirtinimo, kuriame nustatytos kelios tarpinės reikšmės, kurios turėtų būti veiksmingai įgyvendintos iki pirmojo mokėjimo prašymo pateikimo; kadangi 2023 m. gruodžio 7 d. Taryba priėmė įgyvendinimo sprendimą, kuriuo patvirtinamas iš dalies pakeistas Vengrijos </w:t>
      </w:r>
      <w:r w:rsidRPr="00654503">
        <w:lastRenderedPageBreak/>
        <w:t>ekonomikos gaivinimo ir atsparumo didinimo planas, įskaitant skyrių „</w:t>
      </w:r>
      <w:proofErr w:type="spellStart"/>
      <w:r w:rsidRPr="00654503">
        <w:t>REPowerEU</w:t>
      </w:r>
      <w:proofErr w:type="spellEnd"/>
      <w:r w:rsidRPr="00654503">
        <w:t>“;</w:t>
      </w:r>
    </w:p>
    <w:p w:rsidR="00F05006" w:rsidRPr="00654503" w:rsidRDefault="00F05006" w:rsidP="00F05006">
      <w:pPr>
        <w:pStyle w:val="NormalHanging12a"/>
      </w:pPr>
      <w:r w:rsidRPr="00654503">
        <w:t>J.</w:t>
      </w:r>
      <w:r w:rsidRPr="00654503">
        <w:tab/>
        <w:t>kadangi 2022 m. gruodžio 22 d. Komisija priėmė partnerystės susitarimą su Vengrija; kadangi Komisija taip pat patvirtino kelias veiksmų programas, kartu nurodydama kelias horizontaliąsias ir temines reikiamas sąlygas; kadangi Komisija padarė išvadą, kad Vengrija nevykdė horizontaliosios reikiamos Chartijos sąlygos, susijusios su teismų nepriklausomumu ir kelių įstatymų nuostatomis, keliančiomis rimtą pavojų LGBTIQ+ asmenų teisėms, akademinei laisvei ir teisei į prieglobstį; kadangi Vengrija, atlikdama savo vertinimą, padarė išvadą, kad kelios teminės reikiamos sąlygos nėra įvykdytos, ir Komisija į tai atsižvelgė; kadangi tiek horizontaliųjų, tiek teminių reikiamų sąlygų turi būti laikomasi per visą programavimo laikotarpį, kad išlaidos būtų kompensuojamos iš ES biudžeto;</w:t>
      </w:r>
    </w:p>
    <w:p w:rsidR="00F05006" w:rsidRPr="00654503" w:rsidRDefault="00F05006" w:rsidP="00F05006">
      <w:pPr>
        <w:pStyle w:val="NormalHanging12a"/>
      </w:pPr>
      <w:r w:rsidRPr="00654503">
        <w:t>K.</w:t>
      </w:r>
      <w:r w:rsidRPr="00654503">
        <w:tab/>
        <w:t>kadangi 2023 m. gruodžio 13 d. Komisija priėmė sprendimą, kuriame nurodė, kad su teismų nepriklausomumu susijusi horizontalioji reikiama Chartijos sąlyga buvo įvykdyta; kadangi šis sprendimas reiškia, kad Vengrijos valdžios institucijos gali pradėti teikti prašymus kompensuoti apie 10,2 mlrd. EUR iš Europos struktūrinių ir investicijų fondų;</w:t>
      </w:r>
    </w:p>
    <w:p w:rsidR="00F05006" w:rsidRPr="00654503" w:rsidRDefault="00F05006" w:rsidP="00F05006">
      <w:pPr>
        <w:pStyle w:val="NormalHanging12a"/>
      </w:pPr>
      <w:r w:rsidRPr="00654503">
        <w:t>L.</w:t>
      </w:r>
      <w:r w:rsidRPr="00654503">
        <w:tab/>
        <w:t xml:space="preserve">kadangi 2023 m. gruodžio 14–15 d. Europos Vadovų Tarybai nepavyko vieningai priimti sprendimo iš dalies pakeisti 2021–2027 m. DFP; kadangi, kaip pranešama, tai įvyko dėl Vengrijos ministro pirmininko nepritarimo; kadangi </w:t>
      </w:r>
      <w:proofErr w:type="spellStart"/>
      <w:r w:rsidRPr="00654503">
        <w:t>nesugebėjimas</w:t>
      </w:r>
      <w:proofErr w:type="spellEnd"/>
      <w:r w:rsidRPr="00654503">
        <w:t xml:space="preserve"> pasiekti susitarimo dėl DFP tikslinimo kelia didelį pavojų finansinės paramos, kurią ES teikia Ukrainai, tęstinumui ir nuspėjamumui, o tai turi rimtų strateginių pasekmių ES;</w:t>
      </w:r>
    </w:p>
    <w:p w:rsidR="00F05006" w:rsidRPr="00654503" w:rsidRDefault="00F05006" w:rsidP="00F05006">
      <w:pPr>
        <w:pStyle w:val="NormalHanging12a"/>
      </w:pPr>
      <w:r w:rsidRPr="00654503">
        <w:t>M.</w:t>
      </w:r>
      <w:r w:rsidRPr="00654503">
        <w:tab/>
      </w:r>
      <w:r w:rsidRPr="00654503">
        <w:rPr>
          <w:shd w:val="clear" w:color="auto" w:fill="FFFFFF"/>
        </w:rPr>
        <w:t>kadangi, remiantis atitinkamais rodikliais, per pastarąjį dešimtmetį Vengrija tapo hibridiniu rinkimų autokratijos režimu;</w:t>
      </w:r>
    </w:p>
    <w:p w:rsidR="00F05006" w:rsidRPr="00654503" w:rsidRDefault="00F05006" w:rsidP="00F05006">
      <w:pPr>
        <w:pStyle w:val="NormalHanging12a"/>
      </w:pPr>
      <w:r w:rsidRPr="00654503">
        <w:t>1.</w:t>
      </w:r>
      <w:r w:rsidRPr="00654503">
        <w:tab/>
        <w:t>pakartoja savo išvadas, susirūpinimą ir rekomendacijas, išdėstytus ankstesnėse rezoliucijose dėl teisinės valstybės principo ir pagrindinių teisių padėties Vengrijoje; smerkia tyčines, nuolatines ir sistemingas Vengrijos vyriausybės pastangas pakenkti pagrindinėms ES vertybėms, įtvirtintoms ES sutarties 2 straipsnyje; yra labai susirūpinęs dėl tolesnio demokratijos nykimo, taip pat dėl teisinės valstybės principo ir pagrindinių teisių padėties Vengrijoje blogėjimo po to, kai Parlamentas priėmė savo 2022 m. rugsėjo 15 d. rezoliuciją, ypač dėl neseniai priimto nacionalinio suvereniteto apsaugos dokumentų rinkinio; primena, kad tik Vengrijos vyriausybė yra atsakinga už atitikties ES teisei ir ES sutarties 2 straipsnyje įtvirtintų vertybių laikymosi atkūrimą;</w:t>
      </w:r>
    </w:p>
    <w:p w:rsidR="00F05006" w:rsidRPr="00654503" w:rsidRDefault="00F05006" w:rsidP="00F05006">
      <w:pPr>
        <w:pStyle w:val="NormalHanging12a"/>
        <w:rPr>
          <w:shd w:val="clear" w:color="auto" w:fill="FFFFFF"/>
        </w:rPr>
      </w:pPr>
      <w:r w:rsidRPr="00654503">
        <w:t>2.</w:t>
      </w:r>
      <w:r w:rsidRPr="00654503">
        <w:tab/>
        <w:t xml:space="preserve">labai apgailestauja dėl to, kad Taryba nepadarė reikšmingos pažangos vykdant ES sutarties 7 straipsnio 1 dalyje numatytas procedūras; pakartoja savo raginimą Tarybai atsižvelgti į visus naujus pokyčius, darančius poveikį teisinės valstybės principui, demokratijai ir pagrindinėms teisėms; pakartoja savo raginimą Tarybai nagrinėti rekomendacijas pagal šią procedūrą; </w:t>
      </w:r>
      <w:r w:rsidRPr="00654503">
        <w:rPr>
          <w:shd w:val="clear" w:color="auto" w:fill="FFFFFF"/>
        </w:rPr>
        <w:t xml:space="preserve">pabrėžia, kad Taryba dalijasi atsakomybe už ES sutarties 2 straipsnyje įtvirtintų vertybių apsaugą ir kad to nepadarius kiltų ilgalaikių ir galimai žalingų pasekmių; ragina Europos Vadovų Tarybą ir valstybes nares imtis veiksmų ir nustatyti, ar Vengrija šiurkščiai ir nuolat pažeidžia ES vertybes, kaip nustatyta ES sutarties 7 straipsnio 2 dalyje; </w:t>
      </w:r>
      <w:r w:rsidRPr="00654503">
        <w:t>reikalauja, kad būtų gerbiamas Parlamento vaidmuo ir kompetencija;</w:t>
      </w:r>
    </w:p>
    <w:p w:rsidR="00F05006" w:rsidRPr="00654503" w:rsidRDefault="00F05006" w:rsidP="00F05006">
      <w:pPr>
        <w:pStyle w:val="NormalHanging12a"/>
      </w:pPr>
      <w:r w:rsidRPr="00654503">
        <w:t>3.</w:t>
      </w:r>
      <w:r w:rsidRPr="00654503">
        <w:rPr>
          <w:shd w:val="clear" w:color="auto" w:fill="FFFFFF"/>
        </w:rPr>
        <w:tab/>
      </w:r>
      <w:r w:rsidRPr="00654503">
        <w:t xml:space="preserve">griežtai smerkia Vengrijos ministro pirmininko, kuris nusprendė blokuoti sprendimą dėl esminio DFP tikslinimo, įskaitant pagalbos Ukrainai paketą, visiškai nepaisydamas ES </w:t>
      </w:r>
      <w:r w:rsidRPr="00654503">
        <w:lastRenderedPageBreak/>
        <w:t>strateginių interesų ir juos pažeidęs, veiksmus; mano, kad tokiais veiksmais pažeidžiamas Sutartyse įtvirtintas lojalaus bendradarbiavimo principas; atkreipia dėmesį į tai, kad ES jokiu būdu negali pasiduoti šantažui ir atsisakyti savo vertybių mainais į ES ir jos sąjungininkių strateginius interesus; ryžtingai pakartoja, kad primygtinai reikalauja skubiai ir tikslingai sustiprinti DFP, numatant piliečių poreikius ir vykdant jau prisiimtus politinius įsipareigojimus, įskaitant finansavimą Ukrainai; ragina Europos Vadovų Tarybą skubiai susitarti dėl tokios pozicijos neeiliniame aukščiausiojo lygio susitikime 2024 m. vasario 1 d.;</w:t>
      </w:r>
    </w:p>
    <w:p w:rsidR="00F05006" w:rsidRPr="00654503" w:rsidRDefault="00F05006" w:rsidP="00F05006">
      <w:pPr>
        <w:pStyle w:val="NormalHanging12a"/>
      </w:pPr>
      <w:r w:rsidRPr="00654503">
        <w:t>4.</w:t>
      </w:r>
      <w:r w:rsidRPr="00654503">
        <w:tab/>
        <w:t>palankiai vertina 2023 m. gruodžio 13 d. Komisijos komunikatą, kuriame patvirtinama, kad rizika Sąjungos biudžetui nuo 2022 m. gruodžio mėn. išliko nepakitusi, ir taip pratęsiamas pagal Sąlygų reglamentą priimtų priemonių galiojimas; mano, kad tai patvirtina ankstesnį Parlamento susirūpinimą ir rekomendacijas šiuo klausimu; pakartoja savo raginimą Komisijai užtikrinti, kad iš galutinių ES lėšų gavėjų arba naudos gavėjų nebūtų atimtos šios lėšos, kaip nustatyta Sąlygų reglamente; pabrėžia, kad kovos su teisinės valstybės principo pažeidimais priemonės yra labai svarbios siekiant padidinti piliečių pasitikėjimą ES;</w:t>
      </w:r>
    </w:p>
    <w:p w:rsidR="00F05006" w:rsidRPr="00654503" w:rsidRDefault="00F05006" w:rsidP="00F05006">
      <w:pPr>
        <w:pStyle w:val="NormalHanging12a"/>
      </w:pPr>
      <w:r w:rsidRPr="00654503">
        <w:t>5.</w:t>
      </w:r>
      <w:r w:rsidRPr="00654503">
        <w:tab/>
        <w:t xml:space="preserve">reiškia apgailestavimą ir dar kartą patvirtina savo didelį susirūpinimą dėl Komisijos sprendimo, kuriame teigiama, kad horizontalioji reikiama Chartijos sąlyga, susijusi su teismų nepriklausomumu, buvo įvykdyta, todėl Vengrijos valdžios institucijos galėjo pateikti prašymus kompensuoti iki 10,2 mlrd. EUR, netaikant tinkamų kontrolės mechanizmų ar viešųjų pirkimų procedūrų, kad būtų užtikrintas patikimas finansų valdymas ir ES biudžeto apsauga; mano, kad šis sprendimas politiškai prieštarauja sprendimui pratęsti priemonių, priimtų pagal Sąlygų reglamentą, galiojimą, ir reiškia nusivylimą, kad vykstant procesui Parlamentas nebuvo tinkamai informuotas; pabrėžia, kad Komisijai pavesta nepriklausomai ir objektyviai įvertinti, kaip Vengrija laikosi taikomų teisės aktų, nepakenkiant demokratijai, teisinės valstybės principui ir pagrindinėms teisėms; mano, kad net ir po pastarojo meto reformų Vengrija neatitinka Chartijoje nustatyto teismų nepriklausomumo standarto, kaip nurodė ekspertai Vengrijoje ir tarptautiniu mastu, nes priimtomis priemonėmis neužtikrinamos pakankamos apsaugos nuo politinės įtakos priemonės ir jos gali būti apeinamos arba taikomos netinkamai; yra ypač susirūpinęs dėl to, kad vis dar yra kliūčių pateikti prašymus priimti </w:t>
      </w:r>
      <w:proofErr w:type="spellStart"/>
      <w:r w:rsidRPr="00654503">
        <w:t>prejudicinį</w:t>
      </w:r>
      <w:proofErr w:type="spellEnd"/>
      <w:r w:rsidRPr="00654503">
        <w:t xml:space="preserve"> sprendimą, problemų, susijusių su bylų paskirstymu Aukščiausiajame Teisme (</w:t>
      </w:r>
      <w:proofErr w:type="spellStart"/>
      <w:r w:rsidRPr="00654503">
        <w:rPr>
          <w:i/>
          <w:iCs/>
        </w:rPr>
        <w:t>Kúria</w:t>
      </w:r>
      <w:proofErr w:type="spellEnd"/>
      <w:r w:rsidRPr="00654503">
        <w:t>), ir dėl netinkamos Aukščiausiojo Teismo pirmininko skyrimo sistemos; primygtinai ragina Komisiją kartu su sprendimu pateikti išsamų rašytinį pagrindimą; ragina Komisiją iš naujo įvertinti savo sprendimą, ypač atsižvelgiant į nacionalines priemones, kurių buvo imtasi nuo jo priėmimo, ir neskirti jokių lėšų, kol nebus visiškai įgyvendinti visi susiję teisės aktai ir kol nebus įrodytas priimtų priemonių veiksmingumas praktikoje;</w:t>
      </w:r>
    </w:p>
    <w:p w:rsidR="00F05006" w:rsidRPr="00654503" w:rsidRDefault="00F05006" w:rsidP="00F05006">
      <w:pPr>
        <w:pStyle w:val="NormalHanging12a"/>
      </w:pPr>
      <w:r w:rsidRPr="00654503">
        <w:t>6.</w:t>
      </w:r>
      <w:r w:rsidRPr="00654503">
        <w:tab/>
        <w:t xml:space="preserve">pakartoja savo ankstesnius </w:t>
      </w:r>
      <w:proofErr w:type="spellStart"/>
      <w:r w:rsidRPr="00654503">
        <w:t>raginimus</w:t>
      </w:r>
      <w:proofErr w:type="spellEnd"/>
      <w:r w:rsidRPr="00654503">
        <w:t xml:space="preserve"> Komisijai užtikrinti, kad Vengrijos valdžios institucijoms nebūtų atliekami jokie mokėjimai pagal EGADP tol, kol nebus tinkamai pasiektos su pirmuoju mokėjimu susijusios tarpinės reikšmės (įskaitant tas, kurios vadinamos aukščiausiomis tarpinėmis reikšmėmis) ir siektinos reikšmės ir jų tvarumas praktikoje nebus įrodytas; laikosi nuomonės, kad dabartinė audito ir kontrolės tvarka, kurią Vengrijos valdžios institucijos įdiegė taikydamos pagreitintą procedūrą, kad būtų laikomasi reikalaujamų teismų reformų kriterijų, turi duoti konkrečių, tvarių ir patikrinamų rezultatų, ypač susijusių su sisteminių problemų sprendimu, prieš išmokant ES lėšas; ragina Komisiją atlikti naują atnaujintą Vengrijos teismų nepriklausomumo padėties vertinimą, ypač atsižvelgiant į pokyčius nuo sprendimo priėmimo;</w:t>
      </w:r>
    </w:p>
    <w:p w:rsidR="00F05006" w:rsidRPr="00654503" w:rsidRDefault="00F05006" w:rsidP="00F05006">
      <w:pPr>
        <w:pStyle w:val="NormalHanging12a"/>
      </w:pPr>
      <w:r w:rsidRPr="00654503">
        <w:lastRenderedPageBreak/>
        <w:t>7.</w:t>
      </w:r>
      <w:r w:rsidRPr="00654503">
        <w:tab/>
        <w:t>pabrėžia, kad Vengrijos valdžios institucijos turi užtikrinti vienodas galimybes asmenims, įmonėms, pilietinei visuomenei, NVO ir vietos bei regionų valdžios institucijoms gauti ES finansavimą ir užtikrinti nepriklausomą teisminę priežiūrą, taip pat nešališkus ir veiksmingus skundų nagrinėjimo mechanizmus smerkia prieš akademinę bendruomenę, žurnalistus, politines partijas ir pilietinę visuomenę, taip pat tam tikrų sektorių įmones nukreiptą sisteminę diskriminacinę praktiką, apie kurią pranešta; apgailestauja dėl politiškai motyvuotos verslo praktikos, kuria suteikiamas nesąžiningas pranašumas konkurentams, neskaidrių ir manipuliuojamų viešųjų pirkimų procedūrų, vyriausybės ir subjektų, susijusių su ministru pirmininku, perėmimo pasiūlymų ir ES lėšų naudojimo siekiant praturtinti vyriausybės politinius sąjungininkus, o tai prieštarauja ES konkurencijos ir viešųjų pirkimų taisyklėms; pabrėžia, kad teisinės valstybės principas yra labai svarbus ES bendrosios rinkos veikimui;</w:t>
      </w:r>
    </w:p>
    <w:p w:rsidR="00F05006" w:rsidRPr="00654503" w:rsidRDefault="00F05006" w:rsidP="00F05006">
      <w:pPr>
        <w:pStyle w:val="NormalHanging12a"/>
      </w:pPr>
      <w:r w:rsidRPr="00654503">
        <w:t>8.</w:t>
      </w:r>
      <w:r w:rsidRPr="00654503">
        <w:tab/>
        <w:t>pabrėžia svarbų Tarybai pirmininkaujančios valstybės narės vaidmenį skatinant Tarybos darbą ES teisės aktų srityje, užtikrinant ES darbotvarkės tęstinumą ir atstovaujant Tarybai santykiuose su kitomis ES institucijomis; abejoja, ar Vengrijos vyriausybė 2024 m. galės patikimai atlikti šią užduotį, nes ji nesilaiko ES teisės ir ES sutarties 2 straipsnyje įtvirtintų vertybių, taip pat lojalaus bendradarbiavimo principo; primena, kad kai kuriais atvejais Europos Vadovų Tarybos pirmininką galėtų pakeisti Europos Vadovų Tarybos narys, atstovaujantis šešis mėnesius Tarybai pirmininkaujančiai valstybei narei; prašo Tarybos kuo greičiau rasti tinkamus sprendimus, kaip sumažinti šią riziką; primena, kad Parlamentas gali imtis tinkamų priemonių, jei toks sprendimas nebus rastas; ragina Tarybos pirmininką ir valstybes nares nedelsiant pradėti procedūras siekiant reformuoti sprendimų priėmimo procesą Taryboje, kad būtų užkirstas kelias piktnaudžiavimui veto teise ir šantažui Europos Vadovų Taryboje ir kitose ES institucijose;</w:t>
      </w:r>
    </w:p>
    <w:p w:rsidR="00F05006" w:rsidRPr="00654503" w:rsidRDefault="00F05006" w:rsidP="00F05006">
      <w:pPr>
        <w:pStyle w:val="NormalHanging12a"/>
      </w:pPr>
      <w:r w:rsidRPr="00654503">
        <w:t>9.</w:t>
      </w:r>
      <w:r w:rsidRPr="00654503">
        <w:tab/>
        <w:t>pabrėžia, kad priemonės, kurių reikia ES finansavimui išmokėti, kaip apibrėžta atitinkamuose sprendimuose, priimtuose pagal Bendrųjų nuostatų reglamentą, EGADP reglamentą ir Sąlygų reglamentą, turi būti laikomos vienu integruotu priemonių rinkiniu ir kad neturėtų būti atliekami jokie mokėjimai, net jei vienoje ar keliose srityse daroma pažanga, tačiau kitoje vis dar yra trūkumų; tebėra įsipareigojęs užtikrinti, kad ES lėšos pasiektų Vengrijos gyventojus, be kita ko, teikiant tiesioginį finansavimą vietos ir regionų valdžios institucijoms ir pilietinei visuomenei, kai tik bus įvykdytos sąlygos, ir pabrėžia, kad Vengrijos valdžios institucijos yra išimtinai atsakingos už dabartinę padėtį;</w:t>
      </w:r>
    </w:p>
    <w:p w:rsidR="00F05006" w:rsidRPr="00654503" w:rsidRDefault="00F05006" w:rsidP="00F05006">
      <w:pPr>
        <w:pStyle w:val="NormalHanging12a"/>
      </w:pPr>
      <w:r w:rsidRPr="00654503">
        <w:t>10.</w:t>
      </w:r>
      <w:r w:rsidRPr="00654503">
        <w:tab/>
        <w:t>pakartoja savo raginimą Komisijai visapusiškai pasinaudoti turimomis priemonėmis siekiant pašalinti aiškų pavojų, kad Vengrija gali šiurkščiai pažeisti vertybes, kuriomis grindžiama Sąjunga, visų pirma taikyti finansines priemones ir pagreitintą pažeidimo nagrinėjimo procedūrą ir Europos Sąjungos Teisingumo Teismui teikti prašymus dėl laikinųjų apsaugos priemonių taikymo bei ieškinius dėl Teismo sprendimų nevykdymo; tikisi, kad priėmus nacionalinio suvereniteto apsaugos dokumentų rinkinį bus imtasi skubių veiksmų;</w:t>
      </w:r>
    </w:p>
    <w:p w:rsidR="00F05006" w:rsidRPr="00654503" w:rsidRDefault="00F05006" w:rsidP="00F05006">
      <w:pPr>
        <w:pStyle w:val="NormalHanging12a"/>
      </w:pPr>
      <w:r w:rsidRPr="00654503">
        <w:t>11.</w:t>
      </w:r>
      <w:r w:rsidRPr="00654503">
        <w:tab/>
        <w:t xml:space="preserve">paveda Teisės reikalų komitetui kuo greičiau imtis būtinų veiksmų dėl Komisijos sprendimo panaikinti 10,2 mlrd. EUR įšaldymą, įskaitant prašymą Teisės tarnybai atlikti analizę pagal Darbo tvarkos taisyklių 149 straipsnį, siekiant Europos Sąjungos Teisingumo Teisme peržiūrėti Sprendimo C(2023) 9014 teisėtumą pagal Sutarties dėl Europos Sąjungos veikimo 263 straipsnį; primena, kad Parlamentas gali pasinaudoti bet </w:t>
      </w:r>
      <w:r w:rsidRPr="00654503">
        <w:lastRenderedPageBreak/>
        <w:t>kokiomis turimomis teisinėmis ir politinėmis priemonėmis, jei Komisija skiria finansavimą nesilaikydama kriterijų arba jei ji neužtikrina visiško atitinkamų teisės aktų įgyvendinimo, atsižvelgiant į jos pareigą būti Sutarčių sergėtoju ir apsaugoti ES finansinius interesus; primena, kad Komisija yra politiškai atskaitinga Parlamentui;</w:t>
      </w:r>
    </w:p>
    <w:p w:rsidR="00E365E1" w:rsidRPr="00654503" w:rsidRDefault="00F05006" w:rsidP="000679C8">
      <w:pPr>
        <w:ind w:left="567" w:hanging="567"/>
      </w:pPr>
      <w:r w:rsidRPr="00654503">
        <w:t>12.</w:t>
      </w:r>
      <w:r w:rsidRPr="00654503">
        <w:tab/>
        <w:t>paveda Pirmininkei perduoti šią rezoliuciją Tarybai, Komisijai, valstybių narių vyriausybėms ir parlamentams, Europos Tarybai, Europos saugumo ir bendradarbiavimo organizacijai ir Jungtinėms Tautoms.</w:t>
      </w:r>
      <w:bookmarkStart w:id="8" w:name="TextBodyEnd"/>
      <w:bookmarkEnd w:id="8"/>
    </w:p>
    <w:sectPr w:rsidR="00E365E1" w:rsidRPr="00654503" w:rsidSect="0065450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297" w:rsidRPr="00654503" w:rsidRDefault="00D07297">
      <w:r w:rsidRPr="00654503">
        <w:separator/>
      </w:r>
    </w:p>
  </w:endnote>
  <w:endnote w:type="continuationSeparator" w:id="0">
    <w:p w:rsidR="00D07297" w:rsidRPr="00654503" w:rsidRDefault="00D07297">
      <w:r w:rsidRPr="006545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450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450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45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297" w:rsidRPr="00654503" w:rsidRDefault="00D07297">
      <w:r w:rsidRPr="00654503">
        <w:separator/>
      </w:r>
    </w:p>
  </w:footnote>
  <w:footnote w:type="continuationSeparator" w:id="0">
    <w:p w:rsidR="00D07297" w:rsidRPr="00654503" w:rsidRDefault="00D07297">
      <w:r w:rsidRPr="00654503">
        <w:continuationSeparator/>
      </w:r>
    </w:p>
  </w:footnote>
  <w:footnote w:id="1">
    <w:p w:rsidR="00F05006" w:rsidRPr="00654503" w:rsidRDefault="00F05006" w:rsidP="00654503">
      <w:pPr>
        <w:pStyle w:val="FootnoteText"/>
        <w:ind w:left="567" w:hanging="567"/>
        <w:rPr>
          <w:sz w:val="24"/>
          <w:lang w:val="lt-LT"/>
        </w:rPr>
      </w:pPr>
      <w:r w:rsidRPr="00654503">
        <w:rPr>
          <w:rStyle w:val="FootnoteReference"/>
          <w:sz w:val="24"/>
          <w:lang w:val="lt-LT"/>
        </w:rPr>
        <w:footnoteRef/>
      </w:r>
      <w:r w:rsidR="00654503" w:rsidRPr="00654503">
        <w:rPr>
          <w:sz w:val="24"/>
          <w:lang w:val="lt-LT"/>
        </w:rPr>
        <w:t xml:space="preserve"> </w:t>
      </w:r>
      <w:r w:rsidR="00654503" w:rsidRPr="00654503">
        <w:rPr>
          <w:sz w:val="24"/>
          <w:lang w:val="lt-LT"/>
        </w:rPr>
        <w:tab/>
      </w:r>
      <w:r w:rsidRPr="00654503">
        <w:rPr>
          <w:sz w:val="24"/>
          <w:lang w:val="lt-LT"/>
        </w:rPr>
        <w:t>OL L 433 I, 2020 12 22, p. 1.</w:t>
      </w:r>
    </w:p>
  </w:footnote>
  <w:footnote w:id="2">
    <w:p w:rsidR="00F05006" w:rsidRPr="00654503" w:rsidRDefault="00F05006" w:rsidP="00654503">
      <w:pPr>
        <w:pStyle w:val="FootnoteText"/>
        <w:ind w:left="567" w:hanging="567"/>
        <w:rPr>
          <w:sz w:val="24"/>
          <w:lang w:val="lt-LT"/>
        </w:rPr>
      </w:pPr>
      <w:r w:rsidRPr="00654503">
        <w:rPr>
          <w:rStyle w:val="FootnoteReference"/>
          <w:sz w:val="24"/>
          <w:lang w:val="lt-LT"/>
        </w:rPr>
        <w:footnoteRef/>
      </w:r>
      <w:r w:rsidR="00654503" w:rsidRPr="00654503">
        <w:rPr>
          <w:sz w:val="24"/>
          <w:lang w:val="lt-LT"/>
        </w:rPr>
        <w:t xml:space="preserve"> </w:t>
      </w:r>
      <w:r w:rsidR="00654503" w:rsidRPr="00654503">
        <w:rPr>
          <w:sz w:val="24"/>
          <w:lang w:val="lt-LT"/>
        </w:rPr>
        <w:tab/>
      </w:r>
      <w:r w:rsidRPr="00654503">
        <w:rPr>
          <w:sz w:val="24"/>
          <w:lang w:val="lt-LT"/>
        </w:rPr>
        <w:t>OL L 57, 2021 2 18, p. 17.</w:t>
      </w:r>
    </w:p>
  </w:footnote>
  <w:footnote w:id="3">
    <w:p w:rsidR="00F05006" w:rsidRPr="00654503" w:rsidRDefault="00F05006" w:rsidP="00654503">
      <w:pPr>
        <w:pStyle w:val="FootnoteText"/>
        <w:ind w:left="567" w:hanging="567"/>
        <w:rPr>
          <w:sz w:val="24"/>
          <w:lang w:val="lt-LT"/>
        </w:rPr>
      </w:pPr>
      <w:r w:rsidRPr="00654503">
        <w:rPr>
          <w:rStyle w:val="FootnoteReference"/>
          <w:sz w:val="24"/>
          <w:lang w:val="lt-LT"/>
        </w:rPr>
        <w:footnoteRef/>
      </w:r>
      <w:r w:rsidR="00654503" w:rsidRPr="00654503">
        <w:rPr>
          <w:sz w:val="24"/>
          <w:lang w:val="lt-LT"/>
        </w:rPr>
        <w:t xml:space="preserve"> </w:t>
      </w:r>
      <w:r w:rsidR="00654503" w:rsidRPr="00654503">
        <w:rPr>
          <w:sz w:val="24"/>
          <w:lang w:val="lt-LT"/>
        </w:rPr>
        <w:tab/>
      </w:r>
      <w:r w:rsidRPr="00654503">
        <w:rPr>
          <w:sz w:val="24"/>
          <w:lang w:val="lt-LT"/>
        </w:rPr>
        <w:t>OL L 231, 2021 6 30, p. 159.</w:t>
      </w:r>
    </w:p>
  </w:footnote>
  <w:footnote w:id="4">
    <w:p w:rsidR="00F05006" w:rsidRPr="00654503" w:rsidRDefault="00F05006" w:rsidP="00654503">
      <w:pPr>
        <w:pStyle w:val="FootnoteText"/>
        <w:ind w:left="567" w:hanging="567"/>
        <w:rPr>
          <w:sz w:val="24"/>
          <w:lang w:val="lt-LT"/>
        </w:rPr>
      </w:pPr>
      <w:r w:rsidRPr="00654503">
        <w:rPr>
          <w:rStyle w:val="FootnoteReference"/>
          <w:sz w:val="24"/>
          <w:lang w:val="lt-LT"/>
        </w:rPr>
        <w:footnoteRef/>
      </w:r>
      <w:r w:rsidR="00654503" w:rsidRPr="00654503">
        <w:rPr>
          <w:sz w:val="24"/>
          <w:lang w:val="lt-LT"/>
        </w:rPr>
        <w:t xml:space="preserve"> </w:t>
      </w:r>
      <w:r w:rsidR="00654503" w:rsidRPr="00654503">
        <w:rPr>
          <w:sz w:val="24"/>
          <w:lang w:val="lt-LT"/>
        </w:rPr>
        <w:tab/>
      </w:r>
      <w:r w:rsidRPr="00654503">
        <w:rPr>
          <w:sz w:val="24"/>
          <w:lang w:val="lt-LT"/>
        </w:rPr>
        <w:t>2018 m. rugsėjo 12 d. Europos Parlamento rezoliucija dėl pasiūlymo, kuriuo pagal Europos Sąjungos sutarties 7 straipsnio 1 dalį Taryba raginama nustatyti, ar esama aiškaus pavojaus, kad Vengrija šiurkščiai pažeidžia vertybes, kuriomis grindžiama Sąjunga (OL C 433, 2019 12 23, p. 66).</w:t>
      </w:r>
    </w:p>
  </w:footnote>
  <w:footnote w:id="5">
    <w:p w:rsidR="00F05006" w:rsidRPr="00654503" w:rsidRDefault="00F05006" w:rsidP="00654503">
      <w:pPr>
        <w:pStyle w:val="FootnoteText"/>
        <w:ind w:left="567" w:hanging="567"/>
        <w:rPr>
          <w:sz w:val="24"/>
          <w:lang w:val="lt-LT"/>
        </w:rPr>
      </w:pPr>
      <w:r w:rsidRPr="00654503">
        <w:rPr>
          <w:rStyle w:val="FootnoteReference"/>
          <w:sz w:val="24"/>
          <w:lang w:val="lt-LT"/>
        </w:rPr>
        <w:footnoteRef/>
      </w:r>
      <w:r w:rsidR="00654503" w:rsidRPr="00654503">
        <w:rPr>
          <w:sz w:val="24"/>
          <w:lang w:val="lt-LT"/>
        </w:rPr>
        <w:t xml:space="preserve"> </w:t>
      </w:r>
      <w:r w:rsidR="00654503" w:rsidRPr="00654503">
        <w:rPr>
          <w:sz w:val="24"/>
          <w:lang w:val="lt-LT"/>
        </w:rPr>
        <w:tab/>
      </w:r>
      <w:r w:rsidRPr="00654503">
        <w:rPr>
          <w:sz w:val="24"/>
          <w:lang w:val="lt-LT"/>
        </w:rPr>
        <w:t>2021 m. liepos 8 d. Europos Parlamento rezoliucija dėl ES teisės ir LGBTIQ piliečių teisių pažeidimų Vengrijoje dėl Vengrijos Nacionalinėje Asamblėjoje priimtų teisės aktų pakeitimų (OL C 99, 2022 3 1, p. 218).</w:t>
      </w:r>
    </w:p>
  </w:footnote>
  <w:footnote w:id="6">
    <w:p w:rsidR="00F05006" w:rsidRPr="00654503" w:rsidRDefault="00F05006" w:rsidP="00654503">
      <w:pPr>
        <w:pStyle w:val="FootnoteText"/>
        <w:ind w:left="567" w:hanging="567"/>
        <w:rPr>
          <w:sz w:val="24"/>
          <w:lang w:val="lt-LT"/>
        </w:rPr>
      </w:pPr>
      <w:r w:rsidRPr="00654503">
        <w:rPr>
          <w:rStyle w:val="FootnoteReference"/>
          <w:sz w:val="24"/>
          <w:lang w:val="lt-LT"/>
        </w:rPr>
        <w:footnoteRef/>
      </w:r>
      <w:r w:rsidR="00654503" w:rsidRPr="00654503">
        <w:rPr>
          <w:sz w:val="24"/>
          <w:lang w:val="lt-LT"/>
        </w:rPr>
        <w:t xml:space="preserve"> </w:t>
      </w:r>
      <w:r w:rsidR="00654503" w:rsidRPr="00654503">
        <w:rPr>
          <w:sz w:val="24"/>
          <w:lang w:val="lt-LT"/>
        </w:rPr>
        <w:tab/>
      </w:r>
      <w:r w:rsidRPr="00654503">
        <w:rPr>
          <w:sz w:val="24"/>
          <w:lang w:val="lt-LT"/>
        </w:rPr>
        <w:t>2022 m. rugsėjo 15 d. Europos Parlamento rezoliucija dėl pasiūlymo dėl Tarybos sprendimo, kuriuo pagal Europos Sąjungos sutarties 7 straipsnio 1 dalį nustatoma, jog esama aiškaus pavojaus, kad Vengrija gali šiurkščiai pažeisti vertybes, kuriomis grindžiama Sąjunga (OL C 125, 2023 4 5, p. 463).</w:t>
      </w:r>
    </w:p>
  </w:footnote>
  <w:footnote w:id="7">
    <w:p w:rsidR="00F05006" w:rsidRPr="00654503" w:rsidRDefault="00F05006" w:rsidP="00654503">
      <w:pPr>
        <w:pStyle w:val="FootnoteText"/>
        <w:ind w:left="567" w:hanging="567"/>
        <w:rPr>
          <w:sz w:val="24"/>
          <w:lang w:val="lt-LT"/>
        </w:rPr>
      </w:pPr>
      <w:r w:rsidRPr="00654503">
        <w:rPr>
          <w:rStyle w:val="FootnoteReference"/>
          <w:sz w:val="24"/>
          <w:lang w:val="lt-LT"/>
        </w:rPr>
        <w:footnoteRef/>
      </w:r>
      <w:r w:rsidR="00654503" w:rsidRPr="00654503">
        <w:rPr>
          <w:sz w:val="24"/>
          <w:lang w:val="lt-LT"/>
        </w:rPr>
        <w:t xml:space="preserve"> </w:t>
      </w:r>
      <w:r w:rsidR="00654503" w:rsidRPr="00654503">
        <w:rPr>
          <w:sz w:val="24"/>
          <w:lang w:val="lt-LT"/>
        </w:rPr>
        <w:tab/>
      </w:r>
      <w:r w:rsidRPr="00654503">
        <w:rPr>
          <w:sz w:val="24"/>
          <w:lang w:val="lt-LT"/>
        </w:rPr>
        <w:t>2020 m. sausio 16 d. Europos Parlamento rezoliucija dėl pagal ES sutarties 7 straipsnio 1 dalį vykstančių klausymų dėl Lenkijos ir Vengrijos (OL C 270, 2021 7 7, p. 91).</w:t>
      </w:r>
    </w:p>
  </w:footnote>
  <w:footnote w:id="8">
    <w:p w:rsidR="00F05006" w:rsidRPr="00654503" w:rsidRDefault="00F05006" w:rsidP="00654503">
      <w:pPr>
        <w:pStyle w:val="FootnoteText"/>
        <w:ind w:left="567" w:hanging="567"/>
        <w:rPr>
          <w:sz w:val="24"/>
          <w:lang w:val="lt-LT"/>
        </w:rPr>
      </w:pPr>
      <w:r w:rsidRPr="00654503">
        <w:rPr>
          <w:rStyle w:val="FootnoteReference"/>
          <w:sz w:val="24"/>
          <w:lang w:val="lt-LT"/>
        </w:rPr>
        <w:footnoteRef/>
      </w:r>
      <w:r w:rsidR="00654503" w:rsidRPr="00654503">
        <w:rPr>
          <w:sz w:val="24"/>
          <w:lang w:val="lt-LT"/>
        </w:rPr>
        <w:t xml:space="preserve"> </w:t>
      </w:r>
      <w:r w:rsidR="00654503" w:rsidRPr="00654503">
        <w:rPr>
          <w:sz w:val="24"/>
          <w:lang w:val="lt-LT"/>
        </w:rPr>
        <w:tab/>
      </w:r>
      <w:r w:rsidRPr="00654503">
        <w:rPr>
          <w:sz w:val="24"/>
          <w:lang w:val="lt-LT"/>
        </w:rPr>
        <w:t>2022 m. lapkričio 24 d. Europos Parlamento rezoliucija dėl vertinimo, ar Vengrija laikosi Sąlygų reglamente nustatytų sąlygų dėl teisinės valstybės, ir Vengrijos ekonomikos gaivinimo ir atsparumo didinimo plano dabartinės padėties (OL C 167, 2023 5 11, p. 74).</w:t>
      </w:r>
    </w:p>
  </w:footnote>
  <w:footnote w:id="9">
    <w:p w:rsidR="00F05006" w:rsidRPr="00654503" w:rsidRDefault="00F05006" w:rsidP="00654503">
      <w:pPr>
        <w:pStyle w:val="FootnoteText"/>
        <w:ind w:left="567" w:hanging="567"/>
        <w:rPr>
          <w:sz w:val="24"/>
          <w:lang w:val="lt-LT"/>
        </w:rPr>
      </w:pPr>
      <w:r w:rsidRPr="00654503">
        <w:rPr>
          <w:rStyle w:val="FootnoteReference"/>
          <w:sz w:val="24"/>
          <w:lang w:val="lt-LT"/>
        </w:rPr>
        <w:footnoteRef/>
      </w:r>
      <w:r w:rsidR="00654503" w:rsidRPr="00654503">
        <w:rPr>
          <w:sz w:val="24"/>
          <w:lang w:val="lt-LT"/>
        </w:rPr>
        <w:t xml:space="preserve"> </w:t>
      </w:r>
      <w:r w:rsidR="00654503" w:rsidRPr="00654503">
        <w:rPr>
          <w:sz w:val="24"/>
          <w:lang w:val="lt-LT"/>
        </w:rPr>
        <w:tab/>
      </w:r>
      <w:r w:rsidRPr="00654503">
        <w:rPr>
          <w:sz w:val="24"/>
          <w:lang w:val="lt-LT"/>
        </w:rPr>
        <w:t xml:space="preserve">2023 m. birželio 1 d. Europos Parlamento rezoliucija dėl teisinės valstybės principo ir pagrindinių teisių pažeidimų Vengrijoje ir ES lėšų įšaldymo (OL C, C/2023/1223, 2023 12 21, ELI: </w:t>
      </w:r>
      <w:hyperlink r:id="rId1" w:history="1">
        <w:r w:rsidRPr="00F1332B">
          <w:rPr>
            <w:rStyle w:val="Hyperlink"/>
            <w:sz w:val="24"/>
            <w:lang w:val="lt-LT"/>
          </w:rPr>
          <w:t>https://eur-lex.europa.eu/eli/C/2023/1223/oj?locale=lt</w:t>
        </w:r>
      </w:hyperlink>
      <w:r w:rsidRPr="00654503">
        <w:rPr>
          <w:sz w:val="24"/>
          <w:lang w:val="lt-LT"/>
        </w:rPr>
        <w:t>).</w:t>
      </w:r>
    </w:p>
  </w:footnote>
  <w:footnote w:id="10">
    <w:p w:rsidR="00F05006" w:rsidRPr="00654503" w:rsidRDefault="00F05006" w:rsidP="00654503">
      <w:pPr>
        <w:pStyle w:val="FootnoteText"/>
        <w:ind w:left="567" w:hanging="567"/>
        <w:rPr>
          <w:sz w:val="24"/>
          <w:lang w:val="lt-LT"/>
        </w:rPr>
      </w:pPr>
      <w:r w:rsidRPr="00654503">
        <w:rPr>
          <w:rStyle w:val="FootnoteReference"/>
          <w:sz w:val="24"/>
          <w:lang w:val="lt-LT"/>
        </w:rPr>
        <w:footnoteRef/>
      </w:r>
      <w:r w:rsidR="00654503" w:rsidRPr="00654503">
        <w:rPr>
          <w:sz w:val="24"/>
          <w:lang w:val="lt-LT"/>
        </w:rPr>
        <w:t xml:space="preserve"> </w:t>
      </w:r>
      <w:r w:rsidR="00654503" w:rsidRPr="00654503">
        <w:rPr>
          <w:sz w:val="24"/>
          <w:lang w:val="lt-LT"/>
        </w:rPr>
        <w:tab/>
      </w:r>
      <w:r w:rsidRPr="00654503">
        <w:rPr>
          <w:sz w:val="24"/>
          <w:lang w:val="lt-LT"/>
        </w:rPr>
        <w:t>Priimti tekstai, P9_TA(2023)0335.</w:t>
      </w:r>
    </w:p>
  </w:footnote>
  <w:footnote w:id="11">
    <w:p w:rsidR="00F05006" w:rsidRPr="00654503" w:rsidRDefault="00F05006" w:rsidP="00654503">
      <w:pPr>
        <w:pStyle w:val="FootnoteText"/>
        <w:ind w:left="567" w:hanging="567"/>
        <w:rPr>
          <w:sz w:val="24"/>
          <w:lang w:val="lt-LT"/>
        </w:rPr>
      </w:pPr>
      <w:r w:rsidRPr="00654503">
        <w:rPr>
          <w:rStyle w:val="FootnoteReference"/>
          <w:sz w:val="24"/>
          <w:lang w:val="lt-LT"/>
        </w:rPr>
        <w:footnoteRef/>
      </w:r>
      <w:r w:rsidR="00654503" w:rsidRPr="00654503">
        <w:rPr>
          <w:sz w:val="24"/>
          <w:lang w:val="lt-LT"/>
        </w:rPr>
        <w:t xml:space="preserve"> </w:t>
      </w:r>
      <w:r w:rsidR="00654503" w:rsidRPr="00654503">
        <w:rPr>
          <w:sz w:val="24"/>
          <w:lang w:val="lt-LT"/>
        </w:rPr>
        <w:tab/>
      </w:r>
      <w:r w:rsidRPr="00654503">
        <w:rPr>
          <w:sz w:val="24"/>
          <w:lang w:val="lt-LT"/>
        </w:rPr>
        <w:t>OL L 325, 2022 12 20, p. 94.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450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450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45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86/2024"/>
    <w:docVar w:name="dvlangue" w:val="LT"/>
    <w:docVar w:name="dvnumam" w:val="0"/>
    <w:docVar w:name="dvpe" w:val="756.771"/>
    <w:docVar w:name="dvtitre" w:val="Europos Parlamento rezoliucija dėl padėties Vengrijoje ir įšaldytų ES lėšų(2024/2512(RSP))"/>
  </w:docVars>
  <w:rsids>
    <w:rsidRoot w:val="00D07297"/>
    <w:rsid w:val="00002272"/>
    <w:rsid w:val="00064002"/>
    <w:rsid w:val="000677B9"/>
    <w:rsid w:val="000679C8"/>
    <w:rsid w:val="000831BA"/>
    <w:rsid w:val="000A42CC"/>
    <w:rsid w:val="000E7DD9"/>
    <w:rsid w:val="0010095E"/>
    <w:rsid w:val="00125B37"/>
    <w:rsid w:val="00187494"/>
    <w:rsid w:val="001F32AE"/>
    <w:rsid w:val="002606F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4503"/>
    <w:rsid w:val="006631B6"/>
    <w:rsid w:val="00680577"/>
    <w:rsid w:val="006B565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7297"/>
    <w:rsid w:val="00D56C11"/>
    <w:rsid w:val="00D834A0"/>
    <w:rsid w:val="00D872DF"/>
    <w:rsid w:val="00D91E21"/>
    <w:rsid w:val="00DA7FCD"/>
    <w:rsid w:val="00E365E1"/>
    <w:rsid w:val="00E820A4"/>
    <w:rsid w:val="00EB006A"/>
    <w:rsid w:val="00EB4772"/>
    <w:rsid w:val="00ED169E"/>
    <w:rsid w:val="00ED4235"/>
    <w:rsid w:val="00F04346"/>
    <w:rsid w:val="00F05006"/>
    <w:rsid w:val="00F075DC"/>
    <w:rsid w:val="00F1332B"/>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419A44"/>
  <w15:chartTrackingRefBased/>
  <w15:docId w15:val="{86517EC0-EF5D-447B-96B3-809D114A0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05006"/>
    <w:pPr>
      <w:spacing w:before="480" w:after="240"/>
    </w:pPr>
  </w:style>
  <w:style w:type="paragraph" w:customStyle="1" w:styleId="NormalHanging12a">
    <w:name w:val="NormalHanging12a"/>
    <w:basedOn w:val="Normal"/>
    <w:rsid w:val="00F05006"/>
    <w:pPr>
      <w:spacing w:after="240"/>
      <w:ind w:left="567" w:hanging="567"/>
    </w:pPr>
  </w:style>
  <w:style w:type="paragraph" w:styleId="BalloonText">
    <w:name w:val="Balloon Text"/>
    <w:basedOn w:val="Normal"/>
    <w:link w:val="BalloonTextChar"/>
    <w:rsid w:val="00F1332B"/>
    <w:rPr>
      <w:rFonts w:ascii="Segoe UI" w:hAnsi="Segoe UI" w:cs="Segoe UI"/>
      <w:sz w:val="18"/>
      <w:szCs w:val="18"/>
    </w:rPr>
  </w:style>
  <w:style w:type="character" w:customStyle="1" w:styleId="BalloonTextChar">
    <w:name w:val="Balloon Text Char"/>
    <w:basedOn w:val="DefaultParagraphFont"/>
    <w:link w:val="BalloonText"/>
    <w:rsid w:val="00F1332B"/>
    <w:rPr>
      <w:rFonts w:ascii="Segoe UI" w:hAnsi="Segoe UI" w:cs="Segoe UI"/>
      <w:sz w:val="18"/>
      <w:szCs w:val="18"/>
      <w:lang w:val="lt-LT"/>
    </w:rPr>
  </w:style>
  <w:style w:type="character" w:styleId="Hyperlink">
    <w:name w:val="Hyperlink"/>
    <w:basedOn w:val="DefaultParagraphFont"/>
    <w:rsid w:val="00F1332B"/>
    <w:rPr>
      <w:color w:val="0563C1" w:themeColor="hyperlink"/>
      <w:u w:val="single"/>
    </w:rPr>
  </w:style>
  <w:style w:type="character" w:styleId="FollowedHyperlink">
    <w:name w:val="FollowedHyperlink"/>
    <w:basedOn w:val="DefaultParagraphFont"/>
    <w:rsid w:val="00F133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3/1223/oj?locale=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809DDA-AFAC-4EC1-B213-968D79636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2314</Words>
  <Characters>15966</Characters>
  <Application>Microsoft Office Word</Application>
  <DocSecurity>0</DocSecurity>
  <Lines>133</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2024-01-18T09:09:00Z</dcterms:created>
  <dcterms:modified xsi:type="dcterms:W3CDTF">2024-01-18T14:13:00Z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B9-0086/2024</vt:lpwstr>
  </property>
  <property fmtid="{D5CDD505-2E9C-101B-9397-08002B2CF9AE}" pid="4" name="&lt;Type&gt;">
    <vt:lpwstr>RR</vt:lpwstr>
  </property>
</Properties>
</file>