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5791" w:rsidTr="0010095E">
        <w:trPr>
          <w:trHeight w:hRule="exact" w:val="1418"/>
        </w:trPr>
        <w:tc>
          <w:tcPr>
            <w:tcW w:w="6804" w:type="dxa"/>
            <w:shd w:val="clear" w:color="auto" w:fill="auto"/>
            <w:vAlign w:val="center"/>
          </w:tcPr>
          <w:p w:rsidR="00751A4A" w:rsidRPr="00F25791" w:rsidRDefault="005D37DC" w:rsidP="0010095E">
            <w:pPr>
              <w:pStyle w:val="EPName"/>
            </w:pPr>
            <w:r w:rsidRPr="00F25791">
              <w:t>Eiropas Parlaments</w:t>
            </w:r>
          </w:p>
          <w:p w:rsidR="00751A4A" w:rsidRPr="00F25791" w:rsidRDefault="00817416" w:rsidP="00756632">
            <w:pPr>
              <w:pStyle w:val="EPTerm"/>
              <w:rPr>
                <w:rStyle w:val="HideTWBExt"/>
                <w:noProof w:val="0"/>
                <w:vanish w:val="0"/>
                <w:color w:val="auto"/>
              </w:rPr>
            </w:pPr>
            <w:r w:rsidRPr="00F25791">
              <w:t>2019-2024</w:t>
            </w:r>
          </w:p>
        </w:tc>
        <w:tc>
          <w:tcPr>
            <w:tcW w:w="2268" w:type="dxa"/>
            <w:shd w:val="clear" w:color="auto" w:fill="auto"/>
          </w:tcPr>
          <w:p w:rsidR="00751A4A" w:rsidRPr="00F25791" w:rsidRDefault="00187494" w:rsidP="0010095E">
            <w:pPr>
              <w:pStyle w:val="EPLogo"/>
            </w:pPr>
            <w:r w:rsidRPr="00F25791">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5791" w:rsidRDefault="00D058B8" w:rsidP="004C5D52">
      <w:pPr>
        <w:pStyle w:val="LineTop"/>
      </w:pPr>
    </w:p>
    <w:p w:rsidR="00680577" w:rsidRPr="00F25791" w:rsidRDefault="005D37DC" w:rsidP="00680577">
      <w:pPr>
        <w:pStyle w:val="EPBodyTA1"/>
      </w:pPr>
      <w:r w:rsidRPr="00F25791">
        <w:t>PIEŅEMTIE TEKSTI</w:t>
      </w:r>
    </w:p>
    <w:p w:rsidR="00D058B8" w:rsidRPr="00F25791" w:rsidRDefault="00D058B8" w:rsidP="00D058B8">
      <w:pPr>
        <w:pStyle w:val="LineBottom"/>
      </w:pPr>
    </w:p>
    <w:p w:rsidR="005D37DC" w:rsidRPr="00F25791" w:rsidRDefault="005D37DC" w:rsidP="005D37DC">
      <w:pPr>
        <w:pStyle w:val="ATHeading1"/>
      </w:pPr>
      <w:bookmarkStart w:id="0" w:name="TANumber"/>
      <w:r w:rsidRPr="00F25791">
        <w:t>P9_TA(2024)00</w:t>
      </w:r>
      <w:r w:rsidR="00F25791" w:rsidRPr="00F25791">
        <w:t>53</w:t>
      </w:r>
      <w:bookmarkEnd w:id="0"/>
    </w:p>
    <w:p w:rsidR="005D37DC" w:rsidRPr="00F25791" w:rsidRDefault="00780787" w:rsidP="005D37DC">
      <w:pPr>
        <w:pStyle w:val="ATHeading2"/>
      </w:pPr>
      <w:bookmarkStart w:id="1" w:name="title"/>
      <w:r w:rsidRPr="00F25791">
        <w:t>Stāvoklis Ungārijā un iesaldētie ES līdzekļi</w:t>
      </w:r>
      <w:bookmarkEnd w:id="1"/>
    </w:p>
    <w:p w:rsidR="005D37DC" w:rsidRPr="00F25791" w:rsidRDefault="005D37DC" w:rsidP="005D37DC">
      <w:pPr>
        <w:rPr>
          <w:i/>
          <w:vanish/>
        </w:rPr>
      </w:pPr>
      <w:r w:rsidRPr="00F25791">
        <w:rPr>
          <w:i/>
        </w:rPr>
        <w:fldChar w:fldCharType="begin"/>
      </w:r>
      <w:r w:rsidRPr="00F25791">
        <w:rPr>
          <w:i/>
        </w:rPr>
        <w:instrText xml:space="preserve"> TC"(</w:instrText>
      </w:r>
      <w:bookmarkStart w:id="2" w:name="DocNumber"/>
      <w:r w:rsidRPr="00F25791">
        <w:rPr>
          <w:i/>
        </w:rPr>
        <w:instrText>B9-0086/2024</w:instrText>
      </w:r>
      <w:bookmarkEnd w:id="2"/>
      <w:r w:rsidRPr="00F25791">
        <w:rPr>
          <w:i/>
        </w:rPr>
        <w:instrText xml:space="preserve">)"\l3 \n&gt; \* MERGEFORMAT </w:instrText>
      </w:r>
      <w:r w:rsidRPr="00F25791">
        <w:rPr>
          <w:i/>
        </w:rPr>
        <w:fldChar w:fldCharType="end"/>
      </w:r>
    </w:p>
    <w:p w:rsidR="005D37DC" w:rsidRPr="00F25791" w:rsidRDefault="005D37DC" w:rsidP="005D37DC">
      <w:pPr>
        <w:rPr>
          <w:vanish/>
        </w:rPr>
      </w:pPr>
      <w:bookmarkStart w:id="3" w:name="PE"/>
      <w:r w:rsidRPr="00F25791">
        <w:rPr>
          <w:vanish/>
        </w:rPr>
        <w:t>PE756.771</w:t>
      </w:r>
      <w:bookmarkEnd w:id="3"/>
    </w:p>
    <w:p w:rsidR="005D37DC" w:rsidRPr="00F25791" w:rsidRDefault="005D37DC" w:rsidP="005D37DC">
      <w:pPr>
        <w:pStyle w:val="ATHeading3"/>
      </w:pPr>
      <w:bookmarkStart w:id="4" w:name="Sujet"/>
      <w:r w:rsidRPr="00F25791">
        <w:t xml:space="preserve">Eiropas Parlamenta 2024. gada </w:t>
      </w:r>
      <w:r w:rsidR="00780787" w:rsidRPr="00F25791">
        <w:t>18. janvāra</w:t>
      </w:r>
      <w:r w:rsidRPr="00F25791">
        <w:t xml:space="preserve"> rezolūcija par situāciju Ungārijā un iesaldētiem ES līdzekļiem</w:t>
      </w:r>
      <w:bookmarkEnd w:id="4"/>
      <w:r w:rsidRPr="00F25791">
        <w:t xml:space="preserve"> </w:t>
      </w:r>
      <w:bookmarkStart w:id="5" w:name="References"/>
      <w:r w:rsidRPr="00F25791">
        <w:t>(2024/2512(RSP))</w:t>
      </w:r>
      <w:bookmarkEnd w:id="5"/>
    </w:p>
    <w:p w:rsidR="00677A32" w:rsidRPr="00F25791" w:rsidRDefault="00677A32" w:rsidP="00677A32">
      <w:pPr>
        <w:pStyle w:val="EPComma"/>
      </w:pPr>
      <w:bookmarkStart w:id="6" w:name="TextBodyBegin"/>
      <w:bookmarkEnd w:id="6"/>
      <w:r w:rsidRPr="00F25791">
        <w:rPr>
          <w:i/>
        </w:rPr>
        <w:t>Eiropas Parlaments</w:t>
      </w:r>
      <w:r w:rsidRPr="00F25791">
        <w:t>,</w:t>
      </w:r>
    </w:p>
    <w:p w:rsidR="00677A32" w:rsidRPr="00F25791" w:rsidRDefault="00677A32" w:rsidP="00677A32">
      <w:pPr>
        <w:pStyle w:val="NormalHanging12a"/>
      </w:pPr>
      <w:r w:rsidRPr="00F25791">
        <w:t>–</w:t>
      </w:r>
      <w:r w:rsidRPr="00F25791">
        <w:tab/>
        <w:t>ņemot vērā Līgumu par Eiropas Savienību (LES), jo īpaši tā 2. pantu, 4. panta 3. punktu un 7. panta 1. punktu,</w:t>
      </w:r>
    </w:p>
    <w:p w:rsidR="00677A32" w:rsidRPr="00F25791" w:rsidRDefault="00677A32" w:rsidP="00677A32">
      <w:pPr>
        <w:pStyle w:val="NormalHanging12a"/>
      </w:pPr>
      <w:r w:rsidRPr="00F25791">
        <w:t>–</w:t>
      </w:r>
      <w:r w:rsidRPr="00F25791">
        <w:tab/>
        <w:t xml:space="preserve">ņemot vērā Eiropas Savienības </w:t>
      </w:r>
      <w:proofErr w:type="spellStart"/>
      <w:r w:rsidRPr="00F25791">
        <w:t>Pamattiesību</w:t>
      </w:r>
      <w:proofErr w:type="spellEnd"/>
      <w:r w:rsidRPr="00F25791">
        <w:t xml:space="preserve"> hartu (“Harta”),</w:t>
      </w:r>
    </w:p>
    <w:p w:rsidR="00677A32" w:rsidRPr="00F25791" w:rsidRDefault="00677A32" w:rsidP="00677A32">
      <w:pPr>
        <w:pStyle w:val="NormalHanging12a"/>
      </w:pPr>
      <w:r w:rsidRPr="00F25791">
        <w:t>–</w:t>
      </w:r>
      <w:r w:rsidRPr="00F25791">
        <w:tab/>
        <w:t>ņemot vērā Eiropas Cilvēktiesību konvenciju un tās protokolus,</w:t>
      </w:r>
    </w:p>
    <w:p w:rsidR="00677A32" w:rsidRPr="00F25791" w:rsidRDefault="00677A32" w:rsidP="00677A32">
      <w:pPr>
        <w:pStyle w:val="NormalHanging12a"/>
      </w:pPr>
      <w:r w:rsidRPr="00F25791">
        <w:t>–</w:t>
      </w:r>
      <w:r w:rsidRPr="00F25791">
        <w:tab/>
        <w:t>ņemot vērā Vispārējo cilvēktiesību deklarāciju,</w:t>
      </w:r>
    </w:p>
    <w:p w:rsidR="00677A32" w:rsidRPr="00F25791" w:rsidRDefault="00677A32" w:rsidP="00677A32">
      <w:pPr>
        <w:pStyle w:val="NormalHanging12a"/>
      </w:pPr>
      <w:r w:rsidRPr="00F25791">
        <w:t>–</w:t>
      </w:r>
      <w:r w:rsidRPr="00F25791">
        <w:tab/>
        <w:t>ņemot vērā Apvienoto Nāciju Organizācijas un Eiropas Padomes starptautiskos cilvēktiesību līgumus,</w:t>
      </w:r>
    </w:p>
    <w:p w:rsidR="00677A32" w:rsidRPr="00F25791" w:rsidRDefault="00677A32" w:rsidP="00677A32">
      <w:pPr>
        <w:pStyle w:val="NormalHanging12a"/>
      </w:pPr>
      <w:r w:rsidRPr="00F25791">
        <w:t>–</w:t>
      </w:r>
      <w:r w:rsidRPr="00F25791">
        <w:tab/>
        <w:t xml:space="preserve">ņemot vērā Komisijas 2021. gada 22. decembra priekšlikumu Padomes regulai, ar kuru groza Regulu (ES, </w:t>
      </w:r>
      <w:r w:rsidRPr="00F25791">
        <w:rPr>
          <w:i/>
          <w:iCs/>
        </w:rPr>
        <w:t>Euratom</w:t>
      </w:r>
      <w:r w:rsidRPr="00F25791">
        <w:t>) 2020/2093, ar ko nosaka daudzgadu finanšu shēmu 2021.–2027. gadam (COM(2021)0569),</w:t>
      </w:r>
    </w:p>
    <w:p w:rsidR="00677A32" w:rsidRPr="00F25791" w:rsidRDefault="00677A32" w:rsidP="00677A32">
      <w:pPr>
        <w:pStyle w:val="NormalHanging12a"/>
      </w:pPr>
      <w:r w:rsidRPr="00F25791">
        <w:t>–</w:t>
      </w:r>
      <w:r w:rsidRPr="00F25791">
        <w:tab/>
        <w:t xml:space="preserve">ņemot vērā Eiropas Parlamenta un Padomes 2020. gada 16. decembra Regulu (ES, </w:t>
      </w:r>
      <w:r w:rsidRPr="00F25791">
        <w:rPr>
          <w:i/>
          <w:iCs/>
        </w:rPr>
        <w:t>Euratom</w:t>
      </w:r>
      <w:r w:rsidRPr="00F25791">
        <w:t>) 2020/2092 par vispārēju nosacītības režīmu Savienības budžeta aizsardzībai</w:t>
      </w:r>
      <w:r w:rsidRPr="00F25791">
        <w:rPr>
          <w:rStyle w:val="FootnoteReference"/>
        </w:rPr>
        <w:footnoteReference w:id="1"/>
      </w:r>
      <w:r w:rsidRPr="00F25791">
        <w:t xml:space="preserve"> (Tiesiskuma nosacītības regula),</w:t>
      </w:r>
    </w:p>
    <w:p w:rsidR="00677A32" w:rsidRPr="00F25791" w:rsidRDefault="00677A32" w:rsidP="00677A32">
      <w:pPr>
        <w:pStyle w:val="NormalHanging12a"/>
      </w:pPr>
      <w:r w:rsidRPr="00F25791">
        <w:t>–</w:t>
      </w:r>
      <w:r w:rsidRPr="00F25791">
        <w:tab/>
        <w:t>ņemot vērā Eiropas Parlamenta un Padomes 2021. gada 12. februāra Regulu (ES) 2021/241, ar ko izveido Atveseļošanas un noturības mehānismu</w:t>
      </w:r>
      <w:r w:rsidRPr="00F25791">
        <w:rPr>
          <w:rStyle w:val="FootnoteReference"/>
        </w:rPr>
        <w:footnoteReference w:id="2"/>
      </w:r>
      <w:r w:rsidRPr="00F25791">
        <w:t xml:space="preserve"> (ANM regula),</w:t>
      </w:r>
    </w:p>
    <w:p w:rsidR="00677A32" w:rsidRPr="00F25791" w:rsidRDefault="00677A32" w:rsidP="00677A32">
      <w:pPr>
        <w:pStyle w:val="NormalHanging12a"/>
      </w:pPr>
      <w:r w:rsidRPr="00F25791">
        <w:t>–</w:t>
      </w:r>
      <w:r w:rsidRPr="00F25791">
        <w:tab/>
        <w:t xml:space="preserve">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w:t>
      </w:r>
      <w:r w:rsidRPr="00F25791">
        <w:lastRenderedPageBreak/>
        <w:t>atbalsta instrumentu robežu pārvaldībai un vīzu politikai</w:t>
      </w:r>
      <w:r w:rsidRPr="00F25791">
        <w:rPr>
          <w:rStyle w:val="FootnoteReference"/>
        </w:rPr>
        <w:footnoteReference w:id="3"/>
      </w:r>
      <w:r w:rsidRPr="00F25791">
        <w:t xml:space="preserve"> (Kopīgo noteikumu regula),</w:t>
      </w:r>
    </w:p>
    <w:p w:rsidR="00677A32" w:rsidRPr="00F25791" w:rsidRDefault="00677A32" w:rsidP="00677A32">
      <w:pPr>
        <w:pStyle w:val="NormalHanging12a"/>
      </w:pPr>
      <w:r w:rsidRPr="00F25791">
        <w:t>–</w:t>
      </w:r>
      <w:r w:rsidRPr="00F25791">
        <w:tab/>
        <w:t>ņemot vērā iepriekšējās rezolūcijas par tiesiskumu Ungārijā, jo īpaši 2018. gada 12. septembra</w:t>
      </w:r>
      <w:r w:rsidRPr="00F25791">
        <w:rPr>
          <w:rStyle w:val="FootnoteReference"/>
        </w:rPr>
        <w:footnoteReference w:id="4"/>
      </w:r>
      <w:r w:rsidRPr="00F25791">
        <w:t>, 2021. gada 8. jūlija</w:t>
      </w:r>
      <w:r w:rsidRPr="00F25791">
        <w:rPr>
          <w:rStyle w:val="FootnoteReference"/>
        </w:rPr>
        <w:footnoteReference w:id="5"/>
      </w:r>
      <w:r w:rsidRPr="00F25791">
        <w:t>, 2022. gada 15. septembra</w:t>
      </w:r>
      <w:r w:rsidRPr="00F25791">
        <w:rPr>
          <w:rStyle w:val="FootnoteReference"/>
        </w:rPr>
        <w:footnoteReference w:id="6"/>
      </w:r>
      <w:r w:rsidRPr="00F25791">
        <w:t>, 2020. gada 16. janvāra</w:t>
      </w:r>
      <w:r w:rsidRPr="00F25791">
        <w:rPr>
          <w:rStyle w:val="FootnoteReference"/>
        </w:rPr>
        <w:footnoteReference w:id="7"/>
      </w:r>
      <w:r w:rsidRPr="00F25791">
        <w:t>, 2022. gada 24. novembra</w:t>
      </w:r>
      <w:r w:rsidRPr="00F25791">
        <w:rPr>
          <w:rStyle w:val="FootnoteReference"/>
        </w:rPr>
        <w:footnoteReference w:id="8"/>
      </w:r>
      <w:r w:rsidRPr="00F25791">
        <w:t xml:space="preserve"> un 2023. gada 1. jūnija</w:t>
      </w:r>
      <w:r w:rsidRPr="00F25791">
        <w:rPr>
          <w:rStyle w:val="FootnoteReference"/>
        </w:rPr>
        <w:footnoteReference w:id="9"/>
      </w:r>
      <w:r w:rsidRPr="00F25791">
        <w:t xml:space="preserve"> rezolūciju,</w:t>
      </w:r>
    </w:p>
    <w:p w:rsidR="00677A32" w:rsidRPr="00F25791" w:rsidRDefault="00677A32" w:rsidP="00677A32">
      <w:pPr>
        <w:pStyle w:val="NormalHanging12a"/>
      </w:pPr>
      <w:r w:rsidRPr="00F25791">
        <w:t>–</w:t>
      </w:r>
      <w:r w:rsidRPr="00F25791">
        <w:tab/>
        <w:t>ņemot vērā Komisijas 2023. gada 20. jūnija paziņojumu par daudzgadu finanšu shēmas 2021.</w:t>
      </w:r>
      <w:r w:rsidRPr="00F25791">
        <w:softHyphen/>
        <w:t xml:space="preserve">2027. gadam </w:t>
      </w:r>
      <w:proofErr w:type="spellStart"/>
      <w:r w:rsidRPr="00F25791">
        <w:t>vidusposma</w:t>
      </w:r>
      <w:proofErr w:type="spellEnd"/>
      <w:r w:rsidRPr="00F25791">
        <w:t xml:space="preserve"> pārskatīšanu (COM(2023)0336),</w:t>
      </w:r>
    </w:p>
    <w:p w:rsidR="00677A32" w:rsidRPr="00F25791" w:rsidRDefault="00677A32" w:rsidP="00677A32">
      <w:pPr>
        <w:pStyle w:val="NormalHanging12a"/>
      </w:pPr>
      <w:r w:rsidRPr="00F25791">
        <w:t>–</w:t>
      </w:r>
      <w:r w:rsidRPr="00F25791">
        <w:tab/>
        <w:t>ņemot vērā 2023. gada 3. oktobra rezolūciju par 2021. gada priekšlikumu par daudzgadu finanšu shēmas 2021.</w:t>
      </w:r>
      <w:r w:rsidRPr="00F25791">
        <w:softHyphen/>
        <w:t xml:space="preserve">2027. gadam </w:t>
      </w:r>
      <w:proofErr w:type="spellStart"/>
      <w:r w:rsidRPr="00F25791">
        <w:t>vidusposma</w:t>
      </w:r>
      <w:proofErr w:type="spellEnd"/>
      <w:r w:rsidRPr="00F25791">
        <w:t xml:space="preserve"> pārskatīšanu</w:t>
      </w:r>
      <w:r w:rsidRPr="00F25791">
        <w:rPr>
          <w:rStyle w:val="FootnoteReference"/>
        </w:rPr>
        <w:footnoteReference w:id="10"/>
      </w:r>
      <w:r w:rsidRPr="00F25791">
        <w:t>,</w:t>
      </w:r>
    </w:p>
    <w:p w:rsidR="00677A32" w:rsidRPr="00F25791" w:rsidRDefault="00677A32" w:rsidP="00677A32">
      <w:pPr>
        <w:pStyle w:val="NormalHanging12a"/>
      </w:pPr>
      <w:r w:rsidRPr="00F25791">
        <w:t>–</w:t>
      </w:r>
      <w:r w:rsidRPr="00F25791">
        <w:tab/>
        <w:t>ņemot vērā Ungārijas valsts sadaļu Komisijas gada ziņojumos par tiesiskumu, jo īpaši 2021., 2022. un 2023. gada ziņojumos,</w:t>
      </w:r>
    </w:p>
    <w:p w:rsidR="00677A32" w:rsidRPr="00F25791" w:rsidRDefault="00677A32" w:rsidP="00677A32">
      <w:pPr>
        <w:pStyle w:val="NormalHanging12a"/>
      </w:pPr>
      <w:r w:rsidRPr="00F25791">
        <w:t>–</w:t>
      </w:r>
      <w:r w:rsidRPr="00F25791">
        <w:tab/>
        <w:t>ņemot vērā Reglamenta 132. panta 2. punktu,</w:t>
      </w:r>
    </w:p>
    <w:p w:rsidR="00677A32" w:rsidRPr="00F25791" w:rsidRDefault="00677A32" w:rsidP="00677A32">
      <w:pPr>
        <w:pStyle w:val="NormalHanging12a"/>
      </w:pPr>
      <w:r w:rsidRPr="00F25791">
        <w:t>A.</w:t>
      </w:r>
      <w:r w:rsidRPr="00F25791">
        <w:tab/>
        <w:t>tā kā Savienība ir dibināta, pamatojoties uz vērtībām, ar kurām respektē cilvēka cieņu, brīvību, demokrātiju, līdztiesību, tiesiskumu un cilvēktiesību, tostarp ievēro pie minoritātēm piederošu personu tiesības, kā tas ir paredzēts LES 2. pantā, atspoguļots Hartā un nostiprināts starptautiskajos cilvēktiesību līgumos;</w:t>
      </w:r>
    </w:p>
    <w:p w:rsidR="00677A32" w:rsidRPr="00F25791" w:rsidRDefault="00677A32" w:rsidP="00677A32">
      <w:pPr>
        <w:pStyle w:val="NormalHanging12a"/>
      </w:pPr>
      <w:r w:rsidRPr="00F25791">
        <w:t>B.</w:t>
      </w:r>
      <w:r w:rsidRPr="00F25791">
        <w:tab/>
        <w:t>tā kā apstāklis, ka dalībvalsts ievēro LES 2. pantā noteiktās vērtības, ir nosacījums tam, lai varētu izmantot visas tiesības, kas izriet no Līgumu piemērošanas šai dalībvalstij; tā kā saskaņā ar LES 7. pantu Savienība var novērtēt, vai pastāv droša varbūtība, ka varētu būt nopietni pārkāptas 2. pantā minē</w:t>
      </w:r>
      <w:bookmarkStart w:id="7" w:name="_GoBack"/>
      <w:bookmarkEnd w:id="7"/>
      <w:r w:rsidRPr="00F25791">
        <w:t>tās vērtības, vai tā var konstatēt, ka dalībvalsts vairākkārt nopietni pārkāpusi 2. pantā minētās vērtības;</w:t>
      </w:r>
    </w:p>
    <w:p w:rsidR="00677A32" w:rsidRPr="00F25791" w:rsidRDefault="00677A32" w:rsidP="00677A32">
      <w:pPr>
        <w:pStyle w:val="NormalHanging12a"/>
      </w:pPr>
      <w:r w:rsidRPr="00F25791">
        <w:t>C.</w:t>
      </w:r>
      <w:r w:rsidRPr="00F25791">
        <w:tab/>
        <w:t xml:space="preserve">tā kā jau vairākus gadus Ungārijā valdības sistemātiskas rīcības rezultātā pasliktinās tiesiskuma situācija; tā kā šī situācija nav pietiekami labota, joprojām ir daudz bažu un </w:t>
      </w:r>
      <w:r w:rsidRPr="00F25791">
        <w:lastRenderedPageBreak/>
        <w:t xml:space="preserve">turpina rasties daudz jaunu problēmu; tā kā pēdējo gadu laikā ir ievērojami pasliktinājusies dažādu neaizsargātu grupu, jo īpaši sieviešu, </w:t>
      </w:r>
      <w:r w:rsidRPr="00F25791">
        <w:rPr>
          <w:i/>
          <w:iCs/>
        </w:rPr>
        <w:t>LGBTIQ+</w:t>
      </w:r>
      <w:r w:rsidRPr="00F25791">
        <w:t xml:space="preserve"> personu, </w:t>
      </w:r>
      <w:proofErr w:type="spellStart"/>
      <w:r w:rsidRPr="00F25791">
        <w:t>romu</w:t>
      </w:r>
      <w:proofErr w:type="spellEnd"/>
      <w:r w:rsidRPr="00F25791">
        <w:t xml:space="preserve">, migrantu, patvēruma meklētāju un bēgļu, situācija un viņi joprojām saskaras ar </w:t>
      </w:r>
      <w:proofErr w:type="spellStart"/>
      <w:r w:rsidRPr="00F25791">
        <w:t>pamattiesību</w:t>
      </w:r>
      <w:proofErr w:type="spellEnd"/>
      <w:r w:rsidRPr="00F25791">
        <w:t xml:space="preserve"> pārkāpumiem, turklāt nav neatkarīgu iestāžu, kas spētu vai vēlētos tās aizsargāt; tā kā tiesiskuma trūkums ir novedis pie situācijas, kad Ungārijas valdība kontrolē gan valsts, gan privātos medijus, kā arī turpinās jau tā neefektīvo darba tiesību aktu pārkāpumi un vides degradācija;</w:t>
      </w:r>
    </w:p>
    <w:p w:rsidR="00677A32" w:rsidRPr="00F25791" w:rsidRDefault="00677A32" w:rsidP="00677A32">
      <w:pPr>
        <w:pStyle w:val="NormalHanging12a"/>
        <w:rPr>
          <w:szCs w:val="24"/>
        </w:rPr>
      </w:pPr>
      <w:r w:rsidRPr="00F25791">
        <w:t>D.</w:t>
      </w:r>
      <w:r w:rsidRPr="00F25791">
        <w:tab/>
        <w:t>tā kā 2023. gada 3. maijā Ungārijas Nacionālā asambleja bez pienācīgas parlamentārās kontroles vai sabiedriskās apspriešanas pieņēma tiesu sistēmas reformu paketi; tā kā, neraugoties uz turpmākiem papildinājumiem, ar šo tiesību aktu paketi netiek darīts nekas, lai pārskatītu nesenās politiski motivētās iecelšanas valsts tieslietu sistēmas augstākajos līmeņos;</w:t>
      </w:r>
    </w:p>
    <w:p w:rsidR="00677A32" w:rsidRPr="00F25791" w:rsidRDefault="00677A32" w:rsidP="00677A32">
      <w:pPr>
        <w:pStyle w:val="NormalHanging12a"/>
        <w:rPr>
          <w:szCs w:val="24"/>
        </w:rPr>
      </w:pPr>
      <w:r w:rsidRPr="00F25791">
        <w:t>E.</w:t>
      </w:r>
      <w:r w:rsidRPr="00F25791">
        <w:tab/>
        <w:t xml:space="preserve">tā kā 2023. gada 12. decembrī Ungārijas Nacionālā asambleja bez pienācīgas parlamentārās kontroles vai sabiedriskās apspriešanas pieņēma t. s. valsts suverenitātes aizsardzības tiesību aktu paketi; tā kā šī pakete sniedz izpildvarai vēl vairāk iespēju apklusināt un </w:t>
      </w:r>
      <w:proofErr w:type="spellStart"/>
      <w:r w:rsidRPr="00F25791">
        <w:t>stigmatizēt</w:t>
      </w:r>
      <w:proofErr w:type="spellEnd"/>
      <w:r w:rsidRPr="00F25791">
        <w:t xml:space="preserve"> neatkarīgus viedokļus un oponentus;</w:t>
      </w:r>
    </w:p>
    <w:p w:rsidR="00677A32" w:rsidRPr="00F25791" w:rsidRDefault="00677A32" w:rsidP="00677A32">
      <w:pPr>
        <w:pStyle w:val="NormalHanging12a"/>
        <w:rPr>
          <w:szCs w:val="24"/>
        </w:rPr>
      </w:pPr>
      <w:r w:rsidRPr="00F25791">
        <w:t>F.</w:t>
      </w:r>
      <w:r w:rsidRPr="00F25791">
        <w:tab/>
        <w:t xml:space="preserve">tā kā Ungārija ir viena no lielākajām ES līdzekļu saņēmējām (pašreizējā daudzgadu finanšu shēmā (DFS) Ungārijai ir piešķirti vairāk nekā 32 miljardi EUR no Kopīgo noteikumu regulā un </w:t>
      </w:r>
      <w:proofErr w:type="spellStart"/>
      <w:r w:rsidRPr="00F25791">
        <w:rPr>
          <w:i/>
          <w:iCs/>
        </w:rPr>
        <w:t>NextGenerationEU</w:t>
      </w:r>
      <w:proofErr w:type="spellEnd"/>
      <w:r w:rsidRPr="00F25791">
        <w:t xml:space="preserve"> paredzētajiem līdzekļiem); tā kā tiesiskuma situācijas pasliktināšanās Ungārijā rada būtisku risku ES finanšu interešu aizsardzībai un ES budžeta izpildei Ungārijā;</w:t>
      </w:r>
    </w:p>
    <w:p w:rsidR="00677A32" w:rsidRPr="00F25791" w:rsidRDefault="00677A32" w:rsidP="00677A32">
      <w:pPr>
        <w:pStyle w:val="NormalHanging12a"/>
      </w:pPr>
      <w:r w:rsidRPr="00F25791">
        <w:t>G.</w:t>
      </w:r>
      <w:r w:rsidRPr="00F25791">
        <w:tab/>
        <w:t>tā kā Tiesiskuma nosacītības regula ir ārkārtīgi svarīga, jo tā ir viens no efektīvākajiem instrumentiem, kas ļauj aizsargāt ES budžetu;</w:t>
      </w:r>
    </w:p>
    <w:p w:rsidR="00677A32" w:rsidRPr="00F25791" w:rsidRDefault="00677A32" w:rsidP="00677A32">
      <w:pPr>
        <w:pStyle w:val="NormalHanging12a"/>
      </w:pPr>
      <w:r w:rsidRPr="00F25791">
        <w:t>H.</w:t>
      </w:r>
      <w:r w:rsidRPr="00F25791">
        <w:tab/>
        <w:t>tā kā 2022. gada 15. decembrī Padome pieņēma Īstenošanas lēmumu (ES) 2022/2506 par pasākumiem Savienības budžeta aizsardzībai pret tiesiskuma principu pārkāpumiem Ungārijā</w:t>
      </w:r>
      <w:r w:rsidRPr="00F25791">
        <w:rPr>
          <w:rStyle w:val="FootnoteReference"/>
        </w:rPr>
        <w:footnoteReference w:id="11"/>
      </w:r>
      <w:r w:rsidRPr="00F25791">
        <w:t>; tā kā saskaņā ar Tiesiskuma nosacītības regulu Komisija ir uzraudzījusi, kā Padomes Īstenošanas lēmuma (ES) 2022/2506 procedūras gaitā tiek īstenoti Ungārijas ierosinātie korektīvie pasākumi; tā kā šie pasākumi ietver 55 % budžeta saistību apturēšanu trīs kohēzijas politikas darbības programmās, kā arī aizliegumu uzņemties juridiskas saistības ar jebkuru sabiedrības interešu trastu, kas izveidots, pamatojoties uz Ungārijas 2021. gada IX likumu, vai jebkuru struktūru, ko uztur šāds sabiedrības interešu trasts; tā kā 2023. gada decembrī Komisija atkārtoti izvērtēja Ungārijas situāciju un apstiprināja, ka risks Savienības budžetam kopš 2022. gada decembra nav mainījies un Padomes pasākumi nebūtu ne jāpielāgo, ne jāatceļ;</w:t>
      </w:r>
    </w:p>
    <w:p w:rsidR="00677A32" w:rsidRPr="00F25791" w:rsidRDefault="00677A32" w:rsidP="00677A32">
      <w:pPr>
        <w:pStyle w:val="NormalHanging12a"/>
      </w:pPr>
      <w:r w:rsidRPr="00F25791">
        <w:t>I.</w:t>
      </w:r>
      <w:r w:rsidRPr="00F25791">
        <w:tab/>
        <w:t xml:space="preserve">tā kā Padome 2022. gada 15. decembrī pieņēma Īstenošanas lēmumu par Ungārijas atveseļošanas un noturības plāna novērtējuma apstiprināšanu, kurā noteikti vairāki starpposma mērķi, kas būtu efektīvi jāīsteno pirms pirmā maksājuma pieprasījuma iesniegšanas; tā kā 2023. gada 7. decembrī Padome pieņēma īstenošanas lēmumu, ar ko apstiprināja Ungārijas grozīto atveseļošanas un noturības plānu, tostarp </w:t>
      </w:r>
      <w:proofErr w:type="spellStart"/>
      <w:r w:rsidRPr="00F25791">
        <w:rPr>
          <w:i/>
          <w:iCs/>
        </w:rPr>
        <w:t>REPowerEU</w:t>
      </w:r>
      <w:proofErr w:type="spellEnd"/>
      <w:r w:rsidRPr="00F25791">
        <w:t xml:space="preserve"> nodaļu;</w:t>
      </w:r>
    </w:p>
    <w:p w:rsidR="00677A32" w:rsidRPr="00F25791" w:rsidRDefault="00677A32" w:rsidP="00677A32">
      <w:pPr>
        <w:pStyle w:val="NormalHanging12a"/>
      </w:pPr>
      <w:r w:rsidRPr="00F25791">
        <w:t>J.</w:t>
      </w:r>
      <w:r w:rsidRPr="00F25791">
        <w:tab/>
        <w:t xml:space="preserve">tā kā 2022. gada 22. decembrī Komisija pieņēma partnerības nolīgumu ar Ungāriju; tā kā Komisija apstiprināja arī vairākas darbības programmas, vienlaikus atsaucoties uz </w:t>
      </w:r>
      <w:r w:rsidRPr="00F25791">
        <w:lastRenderedPageBreak/>
        <w:t xml:space="preserve">vairākiem horizontāliem un tematiskiem veicinošiem nosacījumiem; tā kā Komisija secināja, ka Ungārija neizpilda Hartā paredzēto horizontālo veicinošo nosacījumu attiecībā uz tiesu iestāžu neatkarību un vairāku tiesību aktu noteikumiem, kas rada nopietnu apdraudējumu </w:t>
      </w:r>
      <w:r w:rsidRPr="00F25791">
        <w:rPr>
          <w:i/>
          <w:iCs/>
        </w:rPr>
        <w:t>LGBTIQ+</w:t>
      </w:r>
      <w:r w:rsidRPr="00F25791">
        <w:t xml:space="preserve"> tiesībām, akadēmiskajai brīvībai un tiesībām uz patvērumu; tā kā Ungārija savā pašnovērtējumā secināja, ka nav izpildīti vairāki tematiskie veicinošie nosacījumi, un Komisija to ņēma vērā; tā kā visā plānošanas periodā ir jāievēro gan horizontālie, gan tematiskie veicinošie nosacījumi, lai izdevumi tiktu atmaksāti no ES budžeta;</w:t>
      </w:r>
    </w:p>
    <w:p w:rsidR="00677A32" w:rsidRPr="00F25791" w:rsidRDefault="00677A32" w:rsidP="00677A32">
      <w:pPr>
        <w:pStyle w:val="NormalHanging12a"/>
      </w:pPr>
      <w:r w:rsidRPr="00F25791">
        <w:t>K.</w:t>
      </w:r>
      <w:r w:rsidRPr="00F25791">
        <w:tab/>
        <w:t>tā kā Komisija 2023. gada 13. decembrī pieņēma lēmumu, uzskatot, ka horizontālais veicinošais nosacījums par Hartu ir izpildīts attiecībā uz tiesu iestāžu neatkarību; tā kā šis lēmums nozīmē, ka Ungārijas iestādes no Eiropas strukturālajiem un investīciju fondiem var sākt pieprasīt atmaksu līdz pat 10,2 miljardu EUR apmērā;</w:t>
      </w:r>
    </w:p>
    <w:p w:rsidR="00677A32" w:rsidRPr="00F25791" w:rsidRDefault="00677A32" w:rsidP="00677A32">
      <w:pPr>
        <w:pStyle w:val="NormalHanging12a"/>
      </w:pPr>
      <w:r w:rsidRPr="00F25791">
        <w:t>L.</w:t>
      </w:r>
      <w:r w:rsidRPr="00F25791">
        <w:tab/>
        <w:t xml:space="preserve">tā kā Eiropadome 2023. gada 14. un 15. decembrī nespēja panākt vienprātību par lēmumu grozīt 2021.–2027. gada DFS; tā kā tiek ziņots, ka šī neveiksme bija Ungārijas premjerministra iebildumu rezultāts; tā kā nespēja panākt vienošanos par DFS pārskatīšanu nopietni apdraud Ukrainai piešķirtās ES finansiālās palīdzības nepārtrauktību un </w:t>
      </w:r>
      <w:proofErr w:type="spellStart"/>
      <w:r w:rsidRPr="00F25791">
        <w:t>paredzamību</w:t>
      </w:r>
      <w:proofErr w:type="spellEnd"/>
      <w:r w:rsidRPr="00F25791">
        <w:t>, radot nopietnas stratēģiskas sekas ES;</w:t>
      </w:r>
    </w:p>
    <w:p w:rsidR="00677A32" w:rsidRPr="00F25791" w:rsidRDefault="00677A32" w:rsidP="00677A32">
      <w:pPr>
        <w:pStyle w:val="NormalHanging12a"/>
      </w:pPr>
      <w:r w:rsidRPr="00F25791">
        <w:t>M.</w:t>
      </w:r>
      <w:r w:rsidRPr="00F25791">
        <w:tab/>
      </w:r>
      <w:r w:rsidRPr="00F25791">
        <w:rPr>
          <w:shd w:val="clear" w:color="auto" w:fill="FFFFFF"/>
        </w:rPr>
        <w:t xml:space="preserve">tā kā pēdējo desmit gadu laikā Ungārija saskaņā ar attiecīgajiem rādītājiem ir kļuvusi par vēlēšanu autokrātijas </w:t>
      </w:r>
      <w:proofErr w:type="spellStart"/>
      <w:r w:rsidRPr="00F25791">
        <w:rPr>
          <w:shd w:val="clear" w:color="auto" w:fill="FFFFFF"/>
        </w:rPr>
        <w:t>hibrīdrežīmu</w:t>
      </w:r>
      <w:proofErr w:type="spellEnd"/>
      <w:r w:rsidRPr="00F25791">
        <w:rPr>
          <w:shd w:val="clear" w:color="auto" w:fill="FFFFFF"/>
        </w:rPr>
        <w:t>,</w:t>
      </w:r>
    </w:p>
    <w:p w:rsidR="00677A32" w:rsidRPr="00F25791" w:rsidRDefault="00677A32" w:rsidP="00677A32">
      <w:pPr>
        <w:pStyle w:val="NormalHanging12a"/>
      </w:pPr>
      <w:r w:rsidRPr="00F25791">
        <w:t>1.</w:t>
      </w:r>
      <w:r w:rsidRPr="00F25791">
        <w:tab/>
        <w:t xml:space="preserve">atkārtoti pauž konstatējumus, bažas un ieteikumus, kas minēti iepriekšējās rezolūcijās par tiesiskuma un </w:t>
      </w:r>
      <w:proofErr w:type="spellStart"/>
      <w:r w:rsidRPr="00F25791">
        <w:t>pamattiesību</w:t>
      </w:r>
      <w:proofErr w:type="spellEnd"/>
      <w:r w:rsidRPr="00F25791">
        <w:t xml:space="preserve"> stāvokli Ungārijā; nosoda Ungārijas valdības apzinātos, nepārtrauktos un sistemātiskos centienus graut LES 2. pantā noteiktās ES pamatvērtības; pauž nopietnas bažas par demokrātijas turpmāku vājināšanos, kā arī par tiesiskuma un </w:t>
      </w:r>
      <w:proofErr w:type="spellStart"/>
      <w:r w:rsidRPr="00F25791">
        <w:t>pamattiesību</w:t>
      </w:r>
      <w:proofErr w:type="spellEnd"/>
      <w:r w:rsidRPr="00F25791">
        <w:t xml:space="preserve"> situācijas pasliktināšanos Ungārijā kopš Parlamenta 2022. gada 15. septembra rezolūcijas pieņemšanas, jo īpaši par nesen pieņemto t. s. valsts suverenitātes aizsardzības tiesību aktu paketi; atgādina, ka vienīgi Ungārijas valdība ir atbildīga par to, lai tiktu atjaunota atbilstību ES tiesību aktiem un tiktu ievērotas LES 2. pantā noteiktās vērtības;</w:t>
      </w:r>
    </w:p>
    <w:p w:rsidR="00677A32" w:rsidRPr="00F25791" w:rsidRDefault="00677A32" w:rsidP="00677A32">
      <w:pPr>
        <w:pStyle w:val="NormalHanging12a"/>
        <w:rPr>
          <w:shd w:val="clear" w:color="auto" w:fill="FFFFFF"/>
        </w:rPr>
      </w:pPr>
      <w:r w:rsidRPr="00F25791">
        <w:t>2.</w:t>
      </w:r>
      <w:r w:rsidRPr="00F25791">
        <w:tab/>
        <w:t xml:space="preserve">pauž dziļu nožēlu par to, ka Padome nav spējusi panākt nozīmīgu progresu notiekošajās procedūrās saistībā ar LES 7. panta 1. punktu; atkārtoti mudina Padomi pievērsties visām jaunajām norisēm, kas skar tiesiskumu, demokrātiju un </w:t>
      </w:r>
      <w:proofErr w:type="spellStart"/>
      <w:r w:rsidRPr="00F25791">
        <w:t>pamattiesības</w:t>
      </w:r>
      <w:proofErr w:type="spellEnd"/>
      <w:r w:rsidRPr="00F25791">
        <w:t xml:space="preserve">; atkārtoti aicina Padomi izskatīt ieteikumus saistībā ar šo procedūru; </w:t>
      </w:r>
      <w:r w:rsidRPr="00F25791">
        <w:rPr>
          <w:shd w:val="clear" w:color="auto" w:fill="FFFFFF"/>
        </w:rPr>
        <w:t xml:space="preserve">uzsver, ka Padome ir līdzatbildīga par LES 2. pantā noteikto vērtību aizsardzību un, ja tā neuzņemsies šo atbildību, tam var būt ilgstošas un potenciāli kaitīgas sekas; aicina Eiropadomi un dalībvalstis rīkoties un saskaņā ar LES 7. panta 2. punktu noteikt, vai Ungārija ir vairākkārt nopietni pārkāpusi ES vērtības; </w:t>
      </w:r>
      <w:r w:rsidRPr="00F25791">
        <w:t>prasa respektēt Parlamenta lomu un kompetenci;</w:t>
      </w:r>
    </w:p>
    <w:p w:rsidR="00677A32" w:rsidRPr="00F25791" w:rsidRDefault="00677A32" w:rsidP="00677A32">
      <w:pPr>
        <w:pStyle w:val="NormalHanging12a"/>
      </w:pPr>
      <w:r w:rsidRPr="00F25791">
        <w:t>3.</w:t>
      </w:r>
      <w:r w:rsidRPr="00F25791">
        <w:rPr>
          <w:shd w:val="clear" w:color="auto" w:fill="FFFFFF"/>
        </w:rPr>
        <w:tab/>
      </w:r>
      <w:r w:rsidRPr="00F25791">
        <w:t xml:space="preserve">stingri nosoda Ungārijas premjerministra rīcību, kurš nolēma bloķēt lēmumu par DFS būtisku pārskatīšanu, tostarp palīdzības paketi Ukrainai, pilnībā nerespektējot un pārkāpjot ES stratēģiskās intereses; uzskata, ka šāda rīcība ir Līgumos nostiprinātā lojālas sadarbības principa pārkāpums; norāda, ka ES nekādā gadījumā nedrīkst pakļauties šantāžai un, atsakoties no savām vērtībām, tirgoties par ES un tās sabiedroto stratēģiskajām interesēm; atkārtoti stingri uzsver, ka ir steidzami un mērķtiecīgi jāpastiprina DFS, nodrošinot iedzīvotāju vajadzības un izpildot jau uzņemtās politiskās saistības, tostarp finansējumu Ukrainai; aicina Eiropadomi 2024. gada 1. februāra </w:t>
      </w:r>
      <w:r w:rsidRPr="00F25791">
        <w:lastRenderedPageBreak/>
        <w:t>ārkārtas samitā steidzami vienoties par šādu nostāju;</w:t>
      </w:r>
    </w:p>
    <w:p w:rsidR="00677A32" w:rsidRPr="00F25791" w:rsidRDefault="00677A32" w:rsidP="00677A32">
      <w:pPr>
        <w:pStyle w:val="NormalHanging12a"/>
      </w:pPr>
      <w:r w:rsidRPr="00F25791">
        <w:t>4.</w:t>
      </w:r>
      <w:r w:rsidRPr="00F25791">
        <w:tab/>
        <w:t xml:space="preserve">atzinīgi vērtē Komisijas 2023. gada 13. decembra paziņojumu, kurā apstiprināts, ka risks Savienības budžetam kopš 2022. gada decembra ir palicis nemainīgs, un tādējādi pagarināta saskaņā ar Nosacītības regulu pieņemto pasākumu darbība; uzskata, ka tas apstiprina Parlamenta iepriekš paustās bažas un ieteikumus šajā jautājumā; atkārtoti aicina Komisiju nodrošināt, ka ES līdzekļu </w:t>
      </w:r>
      <w:proofErr w:type="spellStart"/>
      <w:r w:rsidRPr="00F25791">
        <w:t>galasaņēmējiem</w:t>
      </w:r>
      <w:proofErr w:type="spellEnd"/>
      <w:r w:rsidRPr="00F25791">
        <w:t xml:space="preserve"> vai saņēmējiem netiktu liegts saņemt šos līdzekļus saņemt, kā noteikts Tiesiskuma nosacītības regulā; uzsver, ka pasākumi, kuru mērķis ir novērst tiesiskuma pārkāpumus, ir būtiski, lai palielinātu cilvēku uzticēšanos ES;</w:t>
      </w:r>
    </w:p>
    <w:p w:rsidR="00677A32" w:rsidRPr="00F25791" w:rsidRDefault="00677A32" w:rsidP="00677A32">
      <w:pPr>
        <w:pStyle w:val="NormalHanging12a"/>
      </w:pPr>
      <w:r w:rsidRPr="00F25791">
        <w:t>5.</w:t>
      </w:r>
      <w:r w:rsidRPr="00F25791">
        <w:tab/>
        <w:t xml:space="preserve">pauž nožēlu un atkārtoti uzsver nopietnas bažas par Komisijas lēmumu, kurā atzīts, ka Hartā paredzētais horizontālais veicinošais nosacījums ir izpildīts attiecībā uz tiesu iestāžu neatkarību, tādējādi ļaujot Ungārijas iestādēm iesniegt atmaksas pieprasījumus līdz pat 10,2 miljardu EUR apmērā bez atbilstošiem kontroles mehānismiem vai publiskā iepirkuma procedūrām, kas garantētu pareizu finanšu pārvaldību un ES budžeta aizsardzību; uzskata, ka šis lēmums politiski ir pretrunā lēmumam pagarināt saskaņā ar Nosacītības regulu pieņemto pasākumu darbību, un pauž vilšanos par to, ka procesa laikā Parlaments netika pienācīgi informēts; uzsver, ka Komisijas uzdevums ir neatkarīgi un objektīvi novērtēt to, kā Ungārija ievēro piemērojamos tiesību aktus, neapdraudot demokrātiju, tiesiskumu un </w:t>
      </w:r>
      <w:proofErr w:type="spellStart"/>
      <w:r w:rsidRPr="00F25791">
        <w:t>pamattiesības</w:t>
      </w:r>
      <w:proofErr w:type="spellEnd"/>
      <w:r w:rsidRPr="00F25791">
        <w:t xml:space="preserve">; uzskata, ka pat pēc nesenajām reformām Ungārija neatbilst Hartā noteiktajam tiesu iestāžu neatkarības standartam, kā to norādījuši Ungārijas un starptautiski eksperti, jo pieņemtie pasākumi nenodrošina pietiekamus aizsardzības pasākumus pret politisko ietekmi un tos var vai nu apiet, vai piemērot neatbilstoši; pauž īpašas bažas par to, ka joprojām tiek kavēti prejudiciālu nolēmumu pieprasījumi, ir problēmas ar lietu sadali Ungārijas Augstākajā tiesā jeb </w:t>
      </w:r>
      <w:proofErr w:type="spellStart"/>
      <w:r w:rsidRPr="00F25791">
        <w:rPr>
          <w:i/>
          <w:iCs/>
        </w:rPr>
        <w:t>Kúria</w:t>
      </w:r>
      <w:proofErr w:type="spellEnd"/>
      <w:r w:rsidRPr="00F25791">
        <w:t xml:space="preserve"> un pastāv trūkumi </w:t>
      </w:r>
      <w:proofErr w:type="spellStart"/>
      <w:r w:rsidRPr="00F25791">
        <w:rPr>
          <w:i/>
          <w:iCs/>
        </w:rPr>
        <w:t>Kúria</w:t>
      </w:r>
      <w:proofErr w:type="spellEnd"/>
      <w:r w:rsidRPr="00F25791">
        <w:t xml:space="preserve"> priekšsēdētāja iecelšanas sistēmā; mudina Komisiju kopā ar lēmumu sniegt detalizētu rakstisku pamatojumu; aicina Komisiju atkārtoti izvērtēt savu lēmumu, jo īpaši ņemot vērā valsts pasākumus, kas veikti kopš tā pieņemšanas, un atturēties no līdzekļu izmaksas, kamēr visi attiecīgie tiesību akti nav pilnībā īstenoti un pieņemtie pasākumi nav pierādījuši savu efektivitāti praksē;</w:t>
      </w:r>
    </w:p>
    <w:p w:rsidR="00677A32" w:rsidRPr="00F25791" w:rsidRDefault="00677A32" w:rsidP="00677A32">
      <w:pPr>
        <w:pStyle w:val="NormalHanging12a"/>
      </w:pPr>
      <w:r w:rsidRPr="00F25791">
        <w:t>6.</w:t>
      </w:r>
      <w:r w:rsidRPr="00F25791">
        <w:tab/>
        <w:t xml:space="preserve">atkārtoti aicina Komisiju nodrošināt, ka Ungārijas iestādēm netiek veikti maksājumi saskaņā ar ANM, kamēr nav apmierinoši sasniegti atskaites punkti (tostarp tie, kas tiek dēvēti par “īpašajiem atskaites punktiem”) un </w:t>
      </w:r>
      <w:proofErr w:type="spellStart"/>
      <w:r w:rsidRPr="00F25791">
        <w:t>mērķrādītāji</w:t>
      </w:r>
      <w:proofErr w:type="spellEnd"/>
      <w:r w:rsidRPr="00F25791">
        <w:t>, kas saistīti ar pirmo maksājumu, un kamēr nav pierādīta to ilgtspēja praksē; uzskata, ka pašreizējai revīzijas un kontroles kārtībai, ko Ungārijas iestādes ieviesušas, izmantojot paātrinātu procedūru, lai izpildītu nepieciešamos kritērijus tiesu sistēmas reformām, pirms ES līdzekļu izmaksāšanas ir jāpierāda konkrēti, ilgtspējīgi un pārbaudāmi rezultāti praksē, jo īpaši attiecībā uz sistēmisku jautājumu risināšanu; aicina Komisiju veikt jaunu, atjauninātu novērtējumu, jo īpaši par tiesu iestāžu neatkarības stāvokli Ungārijā, sevišķi ņemot vērā notikumu attīstību kopš lēmuma pieņemšanas;</w:t>
      </w:r>
    </w:p>
    <w:p w:rsidR="00677A32" w:rsidRPr="00F25791" w:rsidRDefault="00677A32" w:rsidP="00677A32">
      <w:pPr>
        <w:pStyle w:val="NormalHanging12a"/>
      </w:pPr>
      <w:r w:rsidRPr="00F25791">
        <w:t>7.</w:t>
      </w:r>
      <w:r w:rsidRPr="00F25791">
        <w:tab/>
        <w:t xml:space="preserve">uzsver, ka Ungārijas iestādēm ir jāgarantē vienlīdzīgas iespējas privātpersonām, uzņēmumiem, pilsoniskās sabiedrības NVO un vietējām un reģionālajām pašvaldībām piekļūt ES finansējumam un jānodrošina neatkarīga tiesu iestāžu uzraudzība, kā arī objektīvi un efektīvi sūdzību iesniegšanas mehānismi; nosoda sistēmisko diskriminējošo praksi, par ko tiek ziņots un kas vērsta pret akadēmiskajām aprindām, žurnālistiem, politiskajām partijām un pilsonisko sabiedrību, kā arī atsevišķu nozaru uzņēmumiem; pauž nožēlu par politiski motivētu uzņēmējdarbības praksi, kas sniedz negodīgas priekšrocības konkurentiem, par nepārredzamām un manipulētām publiskā iepirkuma </w:t>
      </w:r>
      <w:r w:rsidRPr="00F25791">
        <w:lastRenderedPageBreak/>
        <w:t>procedūrām, par pārņemšanas piedāvājumiem, kurus izsaka valdība un ar premjerministru saistītas struktūras, un par ES līdzekļu izmantošanu valdības politisko sabiedroto bagātības vairošanai, kas ir pretrunā ES konkurences un publiskā iepirkuma noteikumiem; uzsver, ka tiesiskums ir būtisks vienotā tirgus darbībai ES;</w:t>
      </w:r>
    </w:p>
    <w:p w:rsidR="00677A32" w:rsidRPr="00F25791" w:rsidRDefault="00677A32" w:rsidP="00677A32">
      <w:pPr>
        <w:pStyle w:val="NormalHanging12a"/>
      </w:pPr>
      <w:r w:rsidRPr="00F25791">
        <w:t>8.</w:t>
      </w:r>
      <w:r w:rsidRPr="00F25791">
        <w:tab/>
        <w:t>uzsver Padomes prezidentvalsts svarīgo lomu, virzot Padomes darbu pie ES tiesību aktu izstrādes, nodrošinot ES darba kārtības nepārtrauktību un pārstāvot Padomi attiecībās ar citām ES iestādēm; apšauba, vai Ungārijas valdība 2024. gadā spēs ticami izpildīt šo uzdevumu, ņemot vērā to, ka tā neievēro ES tiesību aktus un LES 2. pantā noteiktās vērtības, kā arī lojālas sadarbības principu; atgādina, ka dažos gadījumos Eiropadomes priekšsēdētāju varētu aizstāt ar Eiropadomes locekli, kas pārstāv dalībvalsti, kura uz sešiem mēnešiem ir Padomes prezidentvalsts; aicina Padomi pēc iespējas drīzāk rast pienācīgus risinājumus šo risku mazināšanai; atgādina, ka Parlaments var veikt attiecīgus pasākumus, ja šāds risinājums netiks rasts; aicina Padomes priekšsēdētāju un dalībvalstis nekavējoties sākt procedūras, lai reformētu lēmumu pieņemšanas procesu Padomē nolūkā izbeigt veto tiesību ļaunprātīgu izmantošanu un šantāžu Eiropadomē un citās Eiropas iestādēs;</w:t>
      </w:r>
    </w:p>
    <w:p w:rsidR="00677A32" w:rsidRPr="00F25791" w:rsidRDefault="00677A32" w:rsidP="00677A32">
      <w:pPr>
        <w:pStyle w:val="NormalHanging12a"/>
      </w:pPr>
      <w:r w:rsidRPr="00F25791">
        <w:t>9.</w:t>
      </w:r>
      <w:r w:rsidRPr="00F25791">
        <w:tab/>
        <w:t>uzsver, ka pasākumi, kas vajadzīgi ES finansējuma piešķiršanai, kā noteikts attiecīgajos lēmumos, kuri pieņemti saskaņā ar Kopīgo noteikumu regulu, ANM regulu un Tiesiskuma nosacītības regulu, ir jāuzskata par vienotu, neatņemamu pasākumu kopumu un ka maksājumi nebūtu jāveic pat tad, ja ir panākts progress vienā vai vairākās jomās, bet citā jomā joprojām ir nepilnības; joprojām ir apņēmības pilns nodrošināt, ka ES līdzekļi sasniedz Ungārijas iedzīvotājus, tostarp piešķirot tiešu finansējumu vietējām un reģionālajām pašvaldībām un pilsoniskajai sabiedrībai, tiklīdz būs izpildīti nosacījumi, un uzsver, ka par pašreizējo situāciju ir atbildīgas tikai un vienīgi Ungārijas iestādes;</w:t>
      </w:r>
    </w:p>
    <w:p w:rsidR="00677A32" w:rsidRPr="00F25791" w:rsidRDefault="00677A32" w:rsidP="00677A32">
      <w:pPr>
        <w:pStyle w:val="NormalHanging12a"/>
      </w:pPr>
      <w:r w:rsidRPr="00F25791">
        <w:t>10.</w:t>
      </w:r>
      <w:r w:rsidRPr="00F25791">
        <w:tab/>
        <w:t>atkārtoti aicina Komisiju pilnībā izmantot pieejamos instrumentus, lai novērstu acīmredzamo risku, ka Ungārija varētu būt nopietni pārkāpusi vērtības, kas ir Savienības pamatā, un jo īpaši tai būtu jāizmanto finanšu pasākumi, paātrinātas pārkāpuma procedūras, pieteikumi Eiropas Savienības Tiesai par pagaidu pasākumiem un darbības saistībā ar Tiesas spriedumu neizpildi; sagaida, ka pēc t. s. valsts suverenitātes aizsardzības tiesību aktu paketes pieņemšanas tiks veikti nekavējoši pasākumi;</w:t>
      </w:r>
    </w:p>
    <w:p w:rsidR="00677A32" w:rsidRPr="00F25791" w:rsidRDefault="00677A32" w:rsidP="00677A32">
      <w:pPr>
        <w:pStyle w:val="NormalHanging12a"/>
      </w:pPr>
      <w:r w:rsidRPr="00F25791">
        <w:t>11.</w:t>
      </w:r>
      <w:r w:rsidRPr="00F25791">
        <w:tab/>
        <w:t>uzdod Juridiskajai komitejai pēc iespējas drīzāk veikt nepieciešamos pasākumus saistībā ar Komisijas lēmumu atcelt 10,2 miljardu EUR iesaldēšanu, tostarp pieprasīt Juridiskā dienesta analīzi saskaņā ar Reglamenta 149. pantu, lai atbilstoši Līguma par Eiropas Savienības darbību 263. pantam pārbaudītu Lēmuma C(2023)9014 likumību Eiropas Savienības Tiesā; atgādina par Parlamenta iespēju izmantot visus tā rīcībā esošos juridiskos un politiskos pasākumus, ja Komisija — ņemot vērā tās pienākumu rīkoties kā Līgumu izpildes uzraudzītājai un aizsargāt ES finanšu intereses, — piešķir finansējumu pat tad, ja kritēriji nav izpildīti vai nav panākta attiecīgo tiesību aktu pilnīga īstenošana; atgādina, ka Komisija ir politiski atbildīga Parlamentam;</w:t>
      </w:r>
    </w:p>
    <w:p w:rsidR="00E365E1" w:rsidRPr="00F25791" w:rsidRDefault="00677A32" w:rsidP="00F25791">
      <w:pPr>
        <w:ind w:left="567" w:hanging="567"/>
      </w:pPr>
      <w:r w:rsidRPr="00F25791">
        <w:t>12.</w:t>
      </w:r>
      <w:r w:rsidRPr="00F25791">
        <w:tab/>
        <w:t>uzdod priekšsēdētājai šo rezolūciju nosūtīt Padomei, Komisijai, dalībvalstu valdībām un parlamentiem, Eiropas Padomei, Eiropas Drošības un sadarbības organizācijai un Apvienoto Nāciju Organizācijai.</w:t>
      </w:r>
      <w:bookmarkStart w:id="8" w:name="TextBodyEnd"/>
      <w:bookmarkEnd w:id="8"/>
    </w:p>
    <w:sectPr w:rsidR="00E365E1" w:rsidRPr="00F25791" w:rsidSect="00EA0E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7DC" w:rsidRPr="00EA0E08" w:rsidRDefault="005D37DC">
      <w:r w:rsidRPr="00EA0E08">
        <w:separator/>
      </w:r>
    </w:p>
  </w:endnote>
  <w:endnote w:type="continuationSeparator" w:id="0">
    <w:p w:rsidR="005D37DC" w:rsidRPr="00EA0E08" w:rsidRDefault="005D37DC">
      <w:r w:rsidRPr="00EA0E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E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E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E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7DC" w:rsidRPr="00EA0E08" w:rsidRDefault="005D37DC">
      <w:r w:rsidRPr="00EA0E08">
        <w:separator/>
      </w:r>
    </w:p>
  </w:footnote>
  <w:footnote w:type="continuationSeparator" w:id="0">
    <w:p w:rsidR="005D37DC" w:rsidRPr="00EA0E08" w:rsidRDefault="005D37DC">
      <w:r w:rsidRPr="00EA0E08">
        <w:continuationSeparator/>
      </w:r>
    </w:p>
  </w:footnote>
  <w:footnote w:id="1">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OV L 433 I, 22.12.2020., 1. lpp.</w:t>
      </w:r>
    </w:p>
  </w:footnote>
  <w:footnote w:id="2">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OV L 57, 18.2.2021., 17. lpp.</w:t>
      </w:r>
    </w:p>
  </w:footnote>
  <w:footnote w:id="3">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OV L 231, 30.6.2021., 159. lpp.</w:t>
      </w:r>
    </w:p>
  </w:footnote>
  <w:footnote w:id="4">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Eiropas Parlamenta 201</w:t>
      </w:r>
      <w:r w:rsidR="002546E6">
        <w:rPr>
          <w:sz w:val="24"/>
          <w:lang w:val="lv-LV"/>
        </w:rPr>
        <w:t>8</w:t>
      </w:r>
      <w:r w:rsidRPr="00EA0E08">
        <w:rPr>
          <w:sz w:val="24"/>
          <w:lang w:val="lv-LV"/>
        </w:rPr>
        <w:t>. gada 12. septembra rezolūcija par priekšlikumu, kurā Padome tiek aicināta saskaņā ar Līguma par Eiropas Savienību 7. panta 1. punktu konstatēt, ka ir droša varbūtība, ka Ungārija varētu nopietni pārkāpt vērtības, uz kuru pamata ir dibināta Savienība (OV C 433, 23.12.2019., 66. lpp.).</w:t>
      </w:r>
    </w:p>
  </w:footnote>
  <w:footnote w:id="5">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Eiropas Parlamenta 2021. gada 8. jūlija rezolūcija par ES tiesību aktu un LGBTIK iedzīvotāju tiesību pārkāpumiem Ungārijā sakarā ar Ungārijas parlamentā pieņemtajiem tiesību aktu grozījumiem (OV C 99, 1.3.2022., 218. lpp.).</w:t>
      </w:r>
    </w:p>
  </w:footnote>
  <w:footnote w:id="6">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Eiropas Parlamenta 2022. gada 15. septembra rezolūcija par priekšlikumu Padomes lēmumam, ar kuru saskaņā ar Līguma par Eiropas Savienību 7. panta 1. punktu tiek konstatēta droša varbūtība, ka Ungārija varētu nopietni pārkāpt vērtības, uz kuru pamata ir dibināta Savienība (OV C 125, 5.4.2023., 463. lpp.).</w:t>
      </w:r>
    </w:p>
  </w:footnote>
  <w:footnote w:id="7">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Eiropas Parlamenta 2020. gada 16. janvāra rezolūcija par notiekošajām uzklausīšanām saskaņā ar LES 7. panta 1. punktu attiecībā uz Poliju un Ungāriju (OV C 270, 7.7.2021., 91. lpp.)</w:t>
      </w:r>
    </w:p>
  </w:footnote>
  <w:footnote w:id="8">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Eiropas Parlamenta 2022. gada 24. novembra rezolūcija par stāvokli Komisijas un Ungārijas valdības sarunās saistībā ar Nosacītības regulu un atveseļošanas un noturības plānu (OV C 167, 11.5.2023., 74. lpp.)</w:t>
      </w:r>
    </w:p>
  </w:footnote>
  <w:footnote w:id="9">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 xml:space="preserve">Eiropas Parlamenta 2023. gada 1. jūnija rezolūcija par tiesiskuma un </w:t>
      </w:r>
      <w:proofErr w:type="spellStart"/>
      <w:r w:rsidRPr="00EA0E08">
        <w:rPr>
          <w:sz w:val="24"/>
          <w:lang w:val="lv-LV"/>
        </w:rPr>
        <w:t>pamattiesību</w:t>
      </w:r>
      <w:proofErr w:type="spellEnd"/>
      <w:r w:rsidRPr="00EA0E08">
        <w:rPr>
          <w:sz w:val="24"/>
          <w:lang w:val="lv-LV"/>
        </w:rPr>
        <w:t xml:space="preserve"> pārkāpumiem Ungārijā un ES līdzekļu iesaldēšanu (OV C, C/2023/1223, 21.12.2023., ELI: </w:t>
      </w:r>
      <w:hyperlink r:id="rId1" w:history="1">
        <w:r w:rsidRPr="00780787">
          <w:rPr>
            <w:rStyle w:val="Hyperlink"/>
            <w:sz w:val="24"/>
            <w:lang w:val="lv-LV"/>
          </w:rPr>
          <w:t>http://data.europa.eu/eli/C/2023/1223/oj</w:t>
        </w:r>
      </w:hyperlink>
      <w:r w:rsidRPr="00EA0E08">
        <w:rPr>
          <w:sz w:val="24"/>
          <w:lang w:val="lv-LV"/>
        </w:rPr>
        <w:t>).</w:t>
      </w:r>
    </w:p>
  </w:footnote>
  <w:footnote w:id="10">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Pieņemtie teksti, P9_TA(2023)0335.</w:t>
      </w:r>
    </w:p>
  </w:footnote>
  <w:footnote w:id="11">
    <w:p w:rsidR="00677A32" w:rsidRPr="00EA0E08" w:rsidRDefault="00677A32" w:rsidP="00EA0E08">
      <w:pPr>
        <w:pStyle w:val="FootnoteText"/>
        <w:ind w:left="567" w:hanging="567"/>
        <w:rPr>
          <w:sz w:val="24"/>
          <w:lang w:val="lv-LV"/>
        </w:rPr>
      </w:pPr>
      <w:r w:rsidRPr="00EA0E08">
        <w:rPr>
          <w:rStyle w:val="FootnoteReference"/>
          <w:sz w:val="24"/>
          <w:lang w:val="lv-LV"/>
        </w:rPr>
        <w:footnoteRef/>
      </w:r>
      <w:r w:rsidR="00EA0E08" w:rsidRPr="00EA0E08">
        <w:rPr>
          <w:sz w:val="24"/>
          <w:lang w:val="lv-LV"/>
        </w:rPr>
        <w:t xml:space="preserve"> </w:t>
      </w:r>
      <w:r w:rsidR="00EA0E08" w:rsidRPr="00EA0E08">
        <w:rPr>
          <w:sz w:val="24"/>
          <w:lang w:val="lv-LV"/>
        </w:rPr>
        <w:tab/>
      </w:r>
      <w:r w:rsidRPr="00EA0E08">
        <w:rPr>
          <w:sz w:val="24"/>
          <w:lang w:val="lv-LV"/>
        </w:rPr>
        <w:t>OV L 325, 20.12.2022., 94.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E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E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E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LV"/>
    <w:docVar w:name="dvnumam" w:val="0"/>
    <w:docVar w:name="dvpe" w:val="756.771"/>
    <w:docVar w:name="dvtitre" w:val="Eiropas Parlamenta 2024. gada XX. XXX  rezolūcija par situāciju Ungārijā un iesaldētiem ES līdzekļiem(2024/2512(RSP))"/>
  </w:docVars>
  <w:rsids>
    <w:rsidRoot w:val="005D37DC"/>
    <w:rsid w:val="00002272"/>
    <w:rsid w:val="00064002"/>
    <w:rsid w:val="000677B9"/>
    <w:rsid w:val="000831BA"/>
    <w:rsid w:val="000A42CC"/>
    <w:rsid w:val="000E7DD9"/>
    <w:rsid w:val="0010095E"/>
    <w:rsid w:val="00125B37"/>
    <w:rsid w:val="00187494"/>
    <w:rsid w:val="001F32AE"/>
    <w:rsid w:val="002546E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7DC"/>
    <w:rsid w:val="006037C0"/>
    <w:rsid w:val="006631B6"/>
    <w:rsid w:val="00677A32"/>
    <w:rsid w:val="00680577"/>
    <w:rsid w:val="006F74FA"/>
    <w:rsid w:val="00731ADD"/>
    <w:rsid w:val="00734777"/>
    <w:rsid w:val="00747932"/>
    <w:rsid w:val="00751A4A"/>
    <w:rsid w:val="00756632"/>
    <w:rsid w:val="00762C74"/>
    <w:rsid w:val="0078078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0E08"/>
    <w:rsid w:val="00EB006A"/>
    <w:rsid w:val="00EB4772"/>
    <w:rsid w:val="00ED169E"/>
    <w:rsid w:val="00ED4235"/>
    <w:rsid w:val="00F04346"/>
    <w:rsid w:val="00F075DC"/>
    <w:rsid w:val="00F149E9"/>
    <w:rsid w:val="00F2579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C285D"/>
  <w15:chartTrackingRefBased/>
  <w15:docId w15:val="{2C5CA223-05A4-4393-95DC-48081A0C1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7A32"/>
    <w:pPr>
      <w:spacing w:before="480" w:after="240"/>
    </w:pPr>
  </w:style>
  <w:style w:type="paragraph" w:customStyle="1" w:styleId="NormalBold">
    <w:name w:val="NormalBold"/>
    <w:basedOn w:val="Normal"/>
    <w:rsid w:val="00677A32"/>
    <w:rPr>
      <w:b/>
    </w:rPr>
  </w:style>
  <w:style w:type="paragraph" w:customStyle="1" w:styleId="NormalHanging12a">
    <w:name w:val="NormalHanging12a"/>
    <w:basedOn w:val="Normal"/>
    <w:rsid w:val="00677A32"/>
    <w:pPr>
      <w:spacing w:after="240"/>
      <w:ind w:left="567" w:hanging="567"/>
    </w:pPr>
  </w:style>
  <w:style w:type="paragraph" w:styleId="BalloonText">
    <w:name w:val="Balloon Text"/>
    <w:basedOn w:val="Normal"/>
    <w:link w:val="BalloonTextChar"/>
    <w:rsid w:val="00780787"/>
    <w:rPr>
      <w:rFonts w:ascii="Segoe UI" w:hAnsi="Segoe UI" w:cs="Segoe UI"/>
      <w:sz w:val="18"/>
      <w:szCs w:val="18"/>
    </w:rPr>
  </w:style>
  <w:style w:type="character" w:customStyle="1" w:styleId="BalloonTextChar">
    <w:name w:val="Balloon Text Char"/>
    <w:basedOn w:val="DefaultParagraphFont"/>
    <w:link w:val="BalloonText"/>
    <w:rsid w:val="00780787"/>
    <w:rPr>
      <w:rFonts w:ascii="Segoe UI" w:hAnsi="Segoe UI" w:cs="Segoe UI"/>
      <w:sz w:val="18"/>
      <w:szCs w:val="18"/>
      <w:lang w:val="lv-LV"/>
    </w:rPr>
  </w:style>
  <w:style w:type="character" w:styleId="Hyperlink">
    <w:name w:val="Hyperlink"/>
    <w:basedOn w:val="DefaultParagraphFont"/>
    <w:rsid w:val="007807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6F153-069D-4E38-8930-ABEED109E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2302</Words>
  <Characters>15083</Characters>
  <Application>Microsoft Office Word</Application>
  <DocSecurity>0</DocSecurity>
  <Lines>538</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2024-02-21T14:01:00Z</dcterms:created>
  <dcterms:modified xsi:type="dcterms:W3CDTF">2024-02-21T14:01:00Z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B9-0086/2024</vt:lpwstr>
  </property>
  <property fmtid="{D5CDD505-2E9C-101B-9397-08002B2CF9AE}" pid="4" name="&lt;Type&gt;">
    <vt:lpwstr>RR</vt:lpwstr>
  </property>
</Properties>
</file>