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1F3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71F33" w:rsidRDefault="005844F0" w:rsidP="0010095E">
            <w:pPr>
              <w:pStyle w:val="EPName"/>
            </w:pPr>
            <w:r w:rsidRPr="00F71F33">
              <w:t>Parlament Europejski</w:t>
            </w:r>
          </w:p>
          <w:p w:rsidR="00751A4A" w:rsidRPr="00F71F3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1F3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71F33" w:rsidRDefault="00187494" w:rsidP="0010095E">
            <w:pPr>
              <w:pStyle w:val="EPLogo"/>
            </w:pPr>
            <w:r w:rsidRPr="00F71F33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71F33" w:rsidRDefault="00D058B8" w:rsidP="004C5D52">
      <w:pPr>
        <w:pStyle w:val="LineTop"/>
      </w:pPr>
    </w:p>
    <w:p w:rsidR="00680577" w:rsidRPr="00F71F33" w:rsidRDefault="005844F0" w:rsidP="00680577">
      <w:pPr>
        <w:pStyle w:val="EPBodyTA1"/>
      </w:pPr>
      <w:r w:rsidRPr="00F71F33">
        <w:t>TEKSTY PRZYJĘTE</w:t>
      </w:r>
    </w:p>
    <w:p w:rsidR="00D058B8" w:rsidRPr="00F71F33" w:rsidRDefault="00D058B8" w:rsidP="00D058B8">
      <w:pPr>
        <w:pStyle w:val="LineBottom"/>
      </w:pPr>
    </w:p>
    <w:p w:rsidR="005844F0" w:rsidRPr="00F71F33" w:rsidRDefault="005844F0" w:rsidP="005844F0">
      <w:pPr>
        <w:pStyle w:val="ATHeading1"/>
      </w:pPr>
      <w:bookmarkStart w:id="0" w:name="TANumber"/>
      <w:r w:rsidRPr="00F71F33">
        <w:t>P9_TA(2024)00</w:t>
      </w:r>
      <w:bookmarkEnd w:id="0"/>
      <w:r w:rsidR="001B222B">
        <w:t>53</w:t>
      </w:r>
    </w:p>
    <w:p w:rsidR="005844F0" w:rsidRPr="00F71F33" w:rsidRDefault="005844F0" w:rsidP="005844F0">
      <w:pPr>
        <w:pStyle w:val="ATHeading2"/>
      </w:pPr>
      <w:bookmarkStart w:id="1" w:name="title"/>
      <w:r w:rsidRPr="00F71F33">
        <w:t>Sytuacja na Węgrzech i zamrożone fundusze UE</w:t>
      </w:r>
      <w:bookmarkEnd w:id="1"/>
    </w:p>
    <w:p w:rsidR="005844F0" w:rsidRPr="00F71F33" w:rsidRDefault="005844F0" w:rsidP="005844F0">
      <w:pPr>
        <w:rPr>
          <w:i/>
          <w:vanish/>
        </w:rPr>
      </w:pPr>
      <w:r w:rsidRPr="00F71F33">
        <w:rPr>
          <w:i/>
        </w:rPr>
        <w:fldChar w:fldCharType="begin"/>
      </w:r>
      <w:r w:rsidRPr="00F71F33">
        <w:rPr>
          <w:i/>
        </w:rPr>
        <w:instrText xml:space="preserve"> TC"(</w:instrText>
      </w:r>
      <w:bookmarkStart w:id="2" w:name="DocNumber"/>
      <w:r w:rsidRPr="00F71F33">
        <w:rPr>
          <w:i/>
        </w:rPr>
        <w:instrText>B9-0086/2024</w:instrText>
      </w:r>
      <w:bookmarkEnd w:id="2"/>
      <w:r w:rsidRPr="00F71F33">
        <w:rPr>
          <w:i/>
        </w:rPr>
        <w:instrText xml:space="preserve">)"\l3 \n&gt; \* MERGEFORMAT </w:instrText>
      </w:r>
      <w:r w:rsidRPr="00F71F33">
        <w:rPr>
          <w:i/>
        </w:rPr>
        <w:fldChar w:fldCharType="end"/>
      </w:r>
    </w:p>
    <w:p w:rsidR="005844F0" w:rsidRPr="00F71F33" w:rsidRDefault="005844F0" w:rsidP="005844F0">
      <w:pPr>
        <w:rPr>
          <w:vanish/>
        </w:rPr>
      </w:pPr>
      <w:bookmarkStart w:id="3" w:name="PE"/>
      <w:r w:rsidRPr="00F71F33">
        <w:rPr>
          <w:vanish/>
        </w:rPr>
        <w:t>PE756.771</w:t>
      </w:r>
      <w:bookmarkEnd w:id="3"/>
    </w:p>
    <w:p w:rsidR="005844F0" w:rsidRPr="00F71F33" w:rsidRDefault="005844F0" w:rsidP="005844F0">
      <w:pPr>
        <w:pStyle w:val="ATHeading3"/>
      </w:pPr>
      <w:bookmarkStart w:id="4" w:name="Sujet"/>
      <w:r w:rsidRPr="00F71F33">
        <w:t xml:space="preserve">Rezolucja Parlamentu Europejskiego z dnia </w:t>
      </w:r>
      <w:r w:rsidR="00A934E2">
        <w:t>18 stycznia</w:t>
      </w:r>
      <w:r w:rsidRPr="00F71F33">
        <w:t xml:space="preserve"> 2024 r. w sprawie sytuacji na Węgrzech i zamrożonych środków unijnych</w:t>
      </w:r>
      <w:bookmarkEnd w:id="4"/>
      <w:r w:rsidRPr="00F71F33">
        <w:t xml:space="preserve"> </w:t>
      </w:r>
      <w:bookmarkStart w:id="5" w:name="References"/>
      <w:r w:rsidRPr="00F71F33">
        <w:t>(2024/2512(RSP))</w:t>
      </w:r>
      <w:bookmarkEnd w:id="5"/>
    </w:p>
    <w:p w:rsidR="00967251" w:rsidRPr="00F71F33" w:rsidRDefault="00967251" w:rsidP="00967251">
      <w:pPr>
        <w:pStyle w:val="EPComma"/>
      </w:pPr>
      <w:bookmarkStart w:id="6" w:name="TextBodyBegin"/>
      <w:bookmarkEnd w:id="6"/>
      <w:r w:rsidRPr="00F71F33">
        <w:rPr>
          <w:i/>
        </w:rPr>
        <w:t>Parlament Europejski</w:t>
      </w:r>
      <w:r w:rsidRPr="00F71F33">
        <w:t>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>uwzględniając Traktat o Unii Europejskiej (TUE), w szczególności jego art. 2, art. 4 ust. 3 i art. 7 ust. 1,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>uwzględniając Kartę praw podstawowych Unii Europejskiej (zwaną dalej „Kartą”),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>uwzględniając europejską konwencję praw człowieka i załączone do niej protokoły,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>uwzględniając Powszechną deklarację praw człowieka,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>uwzględniając międzynarodowe traktaty ONZ i Rady Europy dotyczące praw człowieka,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>uwzględniając wniosek Komisji z 22 grudnia 2021 r. dotyczący rozporządzenia Rady zmieniającego rozporządzenie (UE, Euratom) 2020/2093 określające wieloletnie ramy finansowe na lata 2021–2027 (COM(2021)0569),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>uwzględniając rozporządzenie Parlamentu Europejskiego i Rady (UE, Euratom) 2020/2092 z 16 grudnia 2020 r. w sprawie ogólnego systemu warunkowości służącego ochronie budżetu Unii</w:t>
      </w:r>
      <w:r w:rsidRPr="00F71F33">
        <w:rPr>
          <w:rStyle w:val="FootnoteReference"/>
        </w:rPr>
        <w:footnoteReference w:id="1"/>
      </w:r>
      <w:r w:rsidRPr="00F71F33">
        <w:t xml:space="preserve"> (rozporządzenie w sprawie praworządności),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>uwzględniając rozporządzenie Parlamentu Europejskiego i Rady (UE) 2021/241 z dnia 12 lutego 2021 r. ustanawiające Instrument na rzecz Odbudowy i Zwiększania Odporności</w:t>
      </w:r>
      <w:r w:rsidRPr="00F71F33">
        <w:rPr>
          <w:rStyle w:val="FootnoteReference"/>
        </w:rPr>
        <w:footnoteReference w:id="2"/>
      </w:r>
      <w:r w:rsidRPr="00F71F33">
        <w:t xml:space="preserve"> (rozporządzenie w sprawie RRF),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 xml:space="preserve">uwzględniając rozporządzenie Parlamentu Europejskiego i Rady (UE) 2021/1060 z dnia 24 czerwca 2021 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</w:t>
      </w:r>
      <w:r w:rsidRPr="00F71F33">
        <w:lastRenderedPageBreak/>
        <w:t>Bezpieczeństwa Wewnętrznego i Instrumentu Wsparcia Finansowego na rzecz Zarządzania Granicami i Polityki Wizowej</w:t>
      </w:r>
      <w:r w:rsidRPr="00F71F33">
        <w:rPr>
          <w:rStyle w:val="FootnoteReference"/>
        </w:rPr>
        <w:footnoteReference w:id="3"/>
      </w:r>
      <w:r w:rsidRPr="00F71F33">
        <w:t xml:space="preserve"> (rozporządzenie w sprawie wspólnych przepisów),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>uwzględniając swoje poprzednie rezolucje w sprawie praworządności na Węgrzech, w szczególności z 12 września 2018 r.</w:t>
      </w:r>
      <w:r w:rsidRPr="00F71F33">
        <w:rPr>
          <w:rStyle w:val="FootnoteReference"/>
        </w:rPr>
        <w:footnoteReference w:id="4"/>
      </w:r>
      <w:r w:rsidRPr="00F71F33">
        <w:t>, 8 lipca 2021 r.</w:t>
      </w:r>
      <w:r w:rsidRPr="00F71F33">
        <w:rPr>
          <w:rStyle w:val="FootnoteReference"/>
        </w:rPr>
        <w:footnoteReference w:id="5"/>
      </w:r>
      <w:r w:rsidRPr="00F71F33">
        <w:t>, 15 września 2022 r.</w:t>
      </w:r>
      <w:r w:rsidRPr="00F71F33">
        <w:rPr>
          <w:rStyle w:val="FootnoteReference"/>
        </w:rPr>
        <w:footnoteReference w:id="6"/>
      </w:r>
      <w:r w:rsidRPr="00F71F33">
        <w:t>, 16 stycznia 2020 r.</w:t>
      </w:r>
      <w:r w:rsidRPr="00F71F33">
        <w:rPr>
          <w:rStyle w:val="FootnoteReference"/>
        </w:rPr>
        <w:footnoteReference w:id="7"/>
      </w:r>
      <w:r w:rsidRPr="00F71F33">
        <w:t>, 24 listopada 2022 r.</w:t>
      </w:r>
      <w:r w:rsidRPr="00F71F33">
        <w:rPr>
          <w:rStyle w:val="FootnoteReference"/>
        </w:rPr>
        <w:footnoteReference w:id="8"/>
      </w:r>
      <w:r w:rsidRPr="00F71F33">
        <w:t xml:space="preserve"> i 1 czerwca 2023 r.</w:t>
      </w:r>
      <w:r w:rsidRPr="00F71F33">
        <w:rPr>
          <w:rStyle w:val="FootnoteReference"/>
        </w:rPr>
        <w:footnoteReference w:id="9"/>
      </w:r>
      <w:r w:rsidRPr="00F71F33">
        <w:t>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>uwzględniając komunikat Komisji z 20 czerwca 2023 r. w sprawie wieloletnich ram finansowych na lata 2021–2027 (COM(2023)0336),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>uwzględniając swoją rezolucję z dnia 3 października 2023 r. w sprawie wniosku dotyczącego śródokresowej rewizji wieloletnich ram finansowych na lata 2021–2027</w:t>
      </w:r>
      <w:r w:rsidRPr="00F71F33">
        <w:rPr>
          <w:rStyle w:val="FootnoteReference"/>
        </w:rPr>
        <w:footnoteReference w:id="10"/>
      </w:r>
      <w:r w:rsidRPr="00F71F33">
        <w:t>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>uwzględniając rozdziały dotyczące Węgier w rocznych sprawozdaniach Komisji na temat praworządności, w szczególności za 2021, 2022 i 2023 r.,</w:t>
      </w:r>
    </w:p>
    <w:p w:rsidR="00967251" w:rsidRPr="00F71F33" w:rsidRDefault="00967251" w:rsidP="00967251">
      <w:pPr>
        <w:pStyle w:val="NormalHanging12a"/>
      </w:pPr>
      <w:r w:rsidRPr="00F71F33">
        <w:t>–</w:t>
      </w:r>
      <w:r w:rsidRPr="00F71F33">
        <w:tab/>
        <w:t>uwzględniając art. 132 ust. 2 Regulaminu,</w:t>
      </w:r>
    </w:p>
    <w:p w:rsidR="00967251" w:rsidRPr="00F71F33" w:rsidRDefault="00967251" w:rsidP="00967251">
      <w:pPr>
        <w:pStyle w:val="NormalHanging12a"/>
      </w:pPr>
      <w:r w:rsidRPr="00F71F33">
        <w:t>A.</w:t>
      </w:r>
      <w:r w:rsidRPr="00F71F33">
        <w:tab/>
      </w:r>
      <w:proofErr w:type="gramStart"/>
      <w:r w:rsidRPr="00F71F33">
        <w:t>mając</w:t>
      </w:r>
      <w:proofErr w:type="gramEnd"/>
      <w:r w:rsidRPr="00F71F33">
        <w:t xml:space="preserve"> na uwadze, że zgodnie z art. 2 TUE Unia opiera się na takich wartościach jak poszanowanie godności osoby ludzkiej, wolność, demokracja, równość, praworządność i poszanowanie praw człowieka, w tym praw osób należących do mniejszości, co jest również odzwierciedlone w Karcie i zapisane w międzynarodowych traktatach dotyczących praw człowieka;</w:t>
      </w:r>
    </w:p>
    <w:p w:rsidR="00967251" w:rsidRPr="00F71F33" w:rsidRDefault="00967251" w:rsidP="00967251">
      <w:pPr>
        <w:pStyle w:val="NormalHanging12a"/>
      </w:pPr>
      <w:r w:rsidRPr="00F71F33">
        <w:t>B.</w:t>
      </w:r>
      <w:r w:rsidRPr="00F71F33">
        <w:tab/>
        <w:t xml:space="preserve">mając na uwadze, że przestrzeganie przez państwo członkowskie wartości zapisanych w art. 2 TUE jest warunkiem korzystania ze wszystkich praw wynikających ze stosowania traktatów wobec tego państwa członkowskiego; mając na uwadze, że zgodnie z art. 7 </w:t>
      </w:r>
      <w:r w:rsidRPr="00F71F33">
        <w:lastRenderedPageBreak/>
        <w:t>TUE Unia może ocenić istnienie wyraźnego ryzyka poważnego naruszenia wartości, o których mowa w art. 2, lub może stwierdzić poważne i trwałe naruszenie przez państwo członkowskie wartości, o których mowa w art. 2;</w:t>
      </w:r>
    </w:p>
    <w:p w:rsidR="00967251" w:rsidRPr="00F71F33" w:rsidRDefault="00967251" w:rsidP="00967251">
      <w:pPr>
        <w:pStyle w:val="NormalHanging12a"/>
      </w:pPr>
      <w:r w:rsidRPr="00F71F33">
        <w:t>C.</w:t>
      </w:r>
      <w:r w:rsidRPr="00F71F33">
        <w:tab/>
      </w:r>
      <w:proofErr w:type="gramStart"/>
      <w:r w:rsidRPr="00F71F33">
        <w:t>mając</w:t>
      </w:r>
      <w:proofErr w:type="gramEnd"/>
      <w:r w:rsidRPr="00F71F33">
        <w:t xml:space="preserve"> na uwadze, że od kilku lat praworządność na Węgrzech pogarsza się w wyniku systematycznych działań rządu; mając na uwadze, że tą sytuacją nie zajęto się w wystarczającym stopniu, nadal istnieją liczne problemy i wciąż pojawia się wiele nowych; mając na uwadze, że w ostatnich latach znacznie pogorszyła się sytuacja różnych grup znajdujących się w trudnej sytuacji, w szczególności kobiet, osób LGBTIQ+, Romów, migrantów, osób ubiegających się o azyl i uchodźców, oraz że nadal dochodzi do naruszania przysługujących im praw podstawowych, a zarazem nie ma niezależnych instytucji zdolnych lub chętnych do ich ochrony; mając na uwadze, że brak praworządności doprowadził </w:t>
      </w:r>
      <w:proofErr w:type="gramStart"/>
      <w:r w:rsidRPr="00F71F33">
        <w:t>do</w:t>
      </w:r>
      <w:proofErr w:type="gramEnd"/>
      <w:r w:rsidRPr="00F71F33">
        <w:t xml:space="preserve"> sytuacji, w której rząd sprawuje kontrolę zarówno nad mediami państwowymi, jak i prywatnymi, a także do ciągłego łamania i tak już mało skutecznych przepisów prawa pracy oraz degradacji środowiska;</w:t>
      </w:r>
    </w:p>
    <w:p w:rsidR="00967251" w:rsidRPr="00F71F33" w:rsidRDefault="00967251" w:rsidP="00967251">
      <w:pPr>
        <w:pStyle w:val="NormalHanging12a"/>
        <w:rPr>
          <w:szCs w:val="24"/>
        </w:rPr>
      </w:pPr>
      <w:r w:rsidRPr="00F71F33">
        <w:t>D.</w:t>
      </w:r>
      <w:r w:rsidRPr="00F71F33">
        <w:tab/>
      </w:r>
      <w:proofErr w:type="gramStart"/>
      <w:r w:rsidRPr="00F71F33">
        <w:t>mając</w:t>
      </w:r>
      <w:proofErr w:type="gramEnd"/>
      <w:r w:rsidRPr="00F71F33">
        <w:t xml:space="preserve"> na uwadze, że 3 maja 2023 r. węgierskie Zgromadzenie Narodowe przyjęło pakiet reform sądownictwa – bez odpowiedniej kontroli parlamentarnej czy konsultacji publicznych; mając na uwadze, że pakiet ten, pomimo kolejnych uzupełnień, nie pozwala na ocenę niedawnych nominacji politycznych na najwyższe szczeble krajowego wymiaru sprawiedliwości;</w:t>
      </w:r>
    </w:p>
    <w:p w:rsidR="00967251" w:rsidRPr="00F71F33" w:rsidRDefault="00967251" w:rsidP="00967251">
      <w:pPr>
        <w:pStyle w:val="NormalHanging12a"/>
        <w:rPr>
          <w:szCs w:val="24"/>
        </w:rPr>
      </w:pPr>
      <w:r w:rsidRPr="00F71F33">
        <w:t>E.</w:t>
      </w:r>
      <w:r w:rsidRPr="00F71F33">
        <w:tab/>
      </w:r>
      <w:proofErr w:type="gramStart"/>
      <w:r w:rsidRPr="00F71F33">
        <w:t>mając</w:t>
      </w:r>
      <w:proofErr w:type="gramEnd"/>
      <w:r w:rsidRPr="00F71F33">
        <w:t xml:space="preserve"> na uwadze, że 12 grudnia 2023 r. węgierskie Zgromadzenie Narodowe przyjęło pakiet ustaw o ochronie suwerenności Węgier – bez odpowiedniej kontroli parlamentarnej czy konsultacji publicznych; mając na uwadze, że daje on władzy wykonawczej jeszcze większe możliwości uciszania i potępiania niezależnych głosów i opozycji;</w:t>
      </w:r>
    </w:p>
    <w:p w:rsidR="00967251" w:rsidRPr="00F71F33" w:rsidRDefault="00967251" w:rsidP="00967251">
      <w:pPr>
        <w:pStyle w:val="NormalHanging12a"/>
        <w:rPr>
          <w:szCs w:val="24"/>
        </w:rPr>
      </w:pPr>
      <w:r w:rsidRPr="00F71F33">
        <w:t>F.</w:t>
      </w:r>
      <w:r w:rsidRPr="00F71F33">
        <w:tab/>
      </w:r>
      <w:proofErr w:type="gramStart"/>
      <w:r w:rsidRPr="00F71F33">
        <w:t>mając</w:t>
      </w:r>
      <w:proofErr w:type="gramEnd"/>
      <w:r w:rsidRPr="00F71F33">
        <w:t xml:space="preserve"> na uwadze, że Węgry są jednym z największych beneficjentów funduszy UE (ponad 32 mld EUR z tytułu rozporządzenia w sprawie wspólnych przepisów i z funduszy NextGenerationEU, które przyznano Węgrom w obowiązujących wieloletnich ramach finansowych (WRF)); mając na uwadze, że pogorszenie się stanu praworządności na Węgrzech poważnie zagraża ochronie interesów finansowych UE i realizacji budżetu UE na Węgrzech;</w:t>
      </w:r>
    </w:p>
    <w:p w:rsidR="00967251" w:rsidRPr="00F71F33" w:rsidRDefault="00967251" w:rsidP="00967251">
      <w:pPr>
        <w:pStyle w:val="NormalHanging12a"/>
      </w:pPr>
      <w:r w:rsidRPr="00F71F33">
        <w:t>G.</w:t>
      </w:r>
      <w:r w:rsidRPr="00F71F33">
        <w:tab/>
        <w:t>mając na uwadze, że rozporządzenie w sprawie praworządności ma ogromne znaczenie, ponieważ jest jednym z najskuteczniejszych instrumentów ochrony budżetu UE;</w:t>
      </w:r>
    </w:p>
    <w:p w:rsidR="00967251" w:rsidRPr="00F71F33" w:rsidRDefault="00967251" w:rsidP="00967251">
      <w:pPr>
        <w:pStyle w:val="NormalHanging12a"/>
      </w:pPr>
      <w:r w:rsidRPr="00F71F33">
        <w:t>H.</w:t>
      </w:r>
      <w:r w:rsidRPr="00F71F33">
        <w:tab/>
      </w:r>
      <w:proofErr w:type="gramStart"/>
      <w:r w:rsidRPr="00F71F33">
        <w:t>mając</w:t>
      </w:r>
      <w:proofErr w:type="gramEnd"/>
      <w:r w:rsidRPr="00F71F33">
        <w:t xml:space="preserve"> na uwadze, że 15 grudnia 2022 r. Rada przyjęła decyzję wykonawczą (UE) 2022/2506 w sprawie środków ochrony budżetu Unii przed naruszeniami zasad państwa prawnego na Węgrzech</w:t>
      </w:r>
      <w:r w:rsidRPr="00F71F33">
        <w:rPr>
          <w:rStyle w:val="FootnoteReference"/>
        </w:rPr>
        <w:footnoteReference w:id="11"/>
      </w:r>
      <w:r w:rsidRPr="00F71F33">
        <w:t xml:space="preserve">; mając na uwadze, że zgodnie z rozporządzeniem w sprawie praworządności Komisja monitoruje wdrażanie środków zaradczych zaproponowanych przez Węgry w toku procedury przewidzianej w decyzji wykonawczej Rady (UE) 2022/2506; mając na uwadze, że środki te przewidują zawieszenie 55 % zobowiązań budżetowych w ramach trzech programów operacyjnych polityki spójności, a także zakaz zaciągania zobowiązań prawnych z jakimkolwiek trustem działającym w interesie publicznym ustanowionym na podstawie węgierskiej ustawy IX z 2021 r. lub jakimkolwiek podmiotem obsługiwanym przez taki trust interesu publicznego; mając na </w:t>
      </w:r>
      <w:proofErr w:type="gramStart"/>
      <w:r w:rsidRPr="00F71F33">
        <w:t>uwadze</w:t>
      </w:r>
      <w:proofErr w:type="gramEnd"/>
      <w:r w:rsidRPr="00F71F33">
        <w:t xml:space="preserve">, że w grudniu 2023 r. Komisja ponownie oceniła sytuację na Węgrzech i </w:t>
      </w:r>
      <w:r w:rsidRPr="00F71F33">
        <w:lastRenderedPageBreak/>
        <w:t>potwierdziła, że ryzyko dla budżetu Unii nie uległo zmianie od grudnia 2022 r., a środki Rady nie powinny zostać dostosowane ani zniesione;</w:t>
      </w:r>
    </w:p>
    <w:p w:rsidR="00967251" w:rsidRPr="00F71F33" w:rsidRDefault="00967251" w:rsidP="00967251">
      <w:pPr>
        <w:pStyle w:val="NormalHanging12a"/>
      </w:pPr>
      <w:r w:rsidRPr="00F71F33">
        <w:t>I.</w:t>
      </w:r>
      <w:r w:rsidRPr="00F71F33">
        <w:tab/>
      </w:r>
      <w:proofErr w:type="gramStart"/>
      <w:r w:rsidRPr="00F71F33">
        <w:t>mając</w:t>
      </w:r>
      <w:proofErr w:type="gramEnd"/>
      <w:r w:rsidRPr="00F71F33">
        <w:t xml:space="preserve"> na uwadze, że 15 grudnia 2022 r. Rada przyjęła decyzję wykonawczą w sprawie zatwierdzenia oceny planu odbudowy i zwiększania odporności Węgier, zawierającą kilka kamieni milowych, które należy w pełni zrealizować przed złożeniem pierwszego wniosku o płatność; mając na uwadze, że 7 grudnia 2023 r. Rada wydała decyzję wykonawczą zatwierdzającą zmieniony plan odbudowy i zwiększania odporności Węgier, w tym rozdział REPowerEU;</w:t>
      </w:r>
    </w:p>
    <w:p w:rsidR="00967251" w:rsidRPr="00F71F33" w:rsidRDefault="00967251" w:rsidP="00967251">
      <w:pPr>
        <w:pStyle w:val="NormalHanging12a"/>
      </w:pPr>
      <w:r w:rsidRPr="00F71F33">
        <w:t>J.</w:t>
      </w:r>
      <w:r w:rsidRPr="00F71F33">
        <w:tab/>
        <w:t xml:space="preserve">mając na uwadze, że 22 grudnia 2022 r. Komisja zawarła z Węgrami umowę o partnerstwie; mając na uwadze, że Komisja zatwierdziła również kilka programów operacyjnych, odnosząc się jednocześnie do kilku horyzontalnych i tematycznych warunków podstawowych; mając na uwadze, że Komisja stwierdziła, że Węgry nie spełniają horyzontalnego warunku podstawowego dotyczącego Karty w odniesieniu do niezawisłości sądownictwa, a przepisy kilku ustaw poważnie zagrażają prawom osób LGBTIQ+, wolności akademickiej i prawu do azylu; mając na uwadze, że Węgry same stwierdziły, że nie spełniły niektórych tematycznych warunków podstawowych, co zostało odnotowane przez Komisję; mając na uwadze, że zarówno horyzontalnych, jak i tematycznych warunków podstawowych należy </w:t>
      </w:r>
      <w:proofErr w:type="gramStart"/>
      <w:r w:rsidRPr="00F71F33">
        <w:t>przestrzegać</w:t>
      </w:r>
      <w:proofErr w:type="gramEnd"/>
      <w:r w:rsidRPr="00F71F33">
        <w:t xml:space="preserve"> przez cały okres programowania, aby wydatki mogły zostać pokryte z budżetu UE;</w:t>
      </w:r>
    </w:p>
    <w:p w:rsidR="00967251" w:rsidRPr="00F71F33" w:rsidRDefault="00967251" w:rsidP="00967251">
      <w:pPr>
        <w:pStyle w:val="NormalHanging12a"/>
      </w:pPr>
      <w:r w:rsidRPr="00F71F33">
        <w:t>K.</w:t>
      </w:r>
      <w:r w:rsidRPr="00F71F33">
        <w:tab/>
        <w:t>mając na uwadze, że 13 grudnia 2023 r. Komisja wydała decyzję, w której uznała, że horyzontalny warunek podstawowy dotyczący Karty w odniesieniu do niezawisłości sądów został spełniony; mając na uwadze, że oznacza to, że władze węgierskie mogą zacząć ubiegać się o zwrot kosztów w wysokości do około 10,2 mld EUR z europejskich funduszy strukturalnych i inwestycyjnych;</w:t>
      </w:r>
    </w:p>
    <w:p w:rsidR="00967251" w:rsidRPr="00F71F33" w:rsidRDefault="00967251" w:rsidP="00967251">
      <w:pPr>
        <w:pStyle w:val="NormalHanging12a"/>
      </w:pPr>
      <w:r w:rsidRPr="00F71F33">
        <w:t>L.</w:t>
      </w:r>
      <w:r w:rsidRPr="00F71F33">
        <w:tab/>
      </w:r>
      <w:proofErr w:type="gramStart"/>
      <w:r w:rsidRPr="00F71F33">
        <w:t>mając</w:t>
      </w:r>
      <w:proofErr w:type="gramEnd"/>
      <w:r w:rsidRPr="00F71F33">
        <w:t xml:space="preserve"> na uwadze, że Rada Europejska nie osiągnęła jednomyślności na szczycie 14 i 15 grudnia 2023 r. w sprawie decyzji o zmianie WRF na lata 2021–2027; mając na uwadze, że według doniesień niepowodzenie było wynikiem sprzeciwu premiera Węgier; mając na uwadze, że brak porozumienia w sprawie rewizji WRF poważnie zagraża ciągłości i przewidywalności pomocy finansowej udzielanej przez UE Ukrainie i ma poważne skutki strategiczne dla UE;</w:t>
      </w:r>
    </w:p>
    <w:p w:rsidR="00967251" w:rsidRPr="00F71F33" w:rsidRDefault="00967251" w:rsidP="00967251">
      <w:pPr>
        <w:pStyle w:val="NormalHanging12a"/>
      </w:pPr>
      <w:r w:rsidRPr="00F71F33">
        <w:t>M.</w:t>
      </w:r>
      <w:r w:rsidRPr="00F71F33">
        <w:tab/>
      </w:r>
      <w:r w:rsidRPr="00F71F33">
        <w:rPr>
          <w:shd w:val="clear" w:color="auto" w:fill="FFFFFF"/>
        </w:rPr>
        <w:t>mając na uwadze, że – jak wynika z odnośnych wskaźników – w ciągu ostatniej dekady Węgry przekształciły się w hybrydowy system autokracji wyborczej;</w:t>
      </w:r>
    </w:p>
    <w:p w:rsidR="00967251" w:rsidRPr="00F71F33" w:rsidRDefault="00967251" w:rsidP="00967251">
      <w:pPr>
        <w:pStyle w:val="NormalHanging12a"/>
      </w:pPr>
      <w:r w:rsidRPr="00F71F33">
        <w:t>1.</w:t>
      </w:r>
      <w:r w:rsidRPr="00F71F33">
        <w:tab/>
      </w:r>
      <w:proofErr w:type="gramStart"/>
      <w:r w:rsidRPr="00F71F33">
        <w:t>przypomina</w:t>
      </w:r>
      <w:proofErr w:type="gramEnd"/>
      <w:r w:rsidRPr="00F71F33">
        <w:t xml:space="preserve"> swoje ustalenia, obawy i zalecenia wyrażone w poprzednich rezolucjach w sprawie stanu praworządności i praw podstawowych na Węgrzech; potępia celowe, bezustanne i systematyczne wysiłki rządu węgierskiego w celu podważenia podstawowych wartości UE zapisanych w art. 2 TUE; jest głęboko zaniepokojony dalszą erozją demokracji, a także pogorszeniem się stanu praworządności i praw podstawowych na Węgrzech w porównaniu z sytuacją w momencie przyjmowania przez Parlament rezolucji z 15 września 2022 r.; jest w szczególności zaniepokojony niedawnym przyjęciem pakietu dotyczącego ochrony suwerenności narodowej; przypomina, że wyłącznie rząd Węgier jest odpowiedzialny za przywrócenie zgodności z prawem UE i przestrzeganie wartości zapisanych w art. 2 TUE;</w:t>
      </w:r>
    </w:p>
    <w:p w:rsidR="00967251" w:rsidRPr="00F71F33" w:rsidRDefault="00967251" w:rsidP="00967251">
      <w:pPr>
        <w:pStyle w:val="NormalHanging12a"/>
        <w:rPr>
          <w:shd w:val="clear" w:color="auto" w:fill="FFFFFF"/>
        </w:rPr>
      </w:pPr>
      <w:r w:rsidRPr="00F71F33">
        <w:t>2.</w:t>
      </w:r>
      <w:r w:rsidRPr="00F71F33">
        <w:tab/>
      </w:r>
      <w:proofErr w:type="gramStart"/>
      <w:r w:rsidRPr="00F71F33">
        <w:t>wyraża</w:t>
      </w:r>
      <w:proofErr w:type="gramEnd"/>
      <w:r w:rsidRPr="00F71F33">
        <w:t xml:space="preserve"> głębokie ubolewanie, że Rada nie poczyniła znaczących postępów w trwającej procedurze na podstawie art. 7 ust. 1 TUE; ponawia apel do Rady, aby zajęła się </w:t>
      </w:r>
      <w:r w:rsidRPr="00F71F33">
        <w:lastRenderedPageBreak/>
        <w:t xml:space="preserve">każdym nowym zdarzeniem mającym wpływ na praworządność, demokrację i prawa podstawowe; ponawia apel do Rady o przedstawienie zaleceń w ramach tej procedury; </w:t>
      </w:r>
      <w:r w:rsidRPr="00F71F33">
        <w:rPr>
          <w:shd w:val="clear" w:color="auto" w:fill="FFFFFF"/>
        </w:rPr>
        <w:t xml:space="preserve">podkreśla, że Rada jest współodpowiedzialna za ochronę wartości zapisanych w art. 2 TUE oraz że niedopełnienie tego obowiązku miałoby długotrwałe i potencjalnie szkodliwe skutki; wzywa Radę Europejską i państwa członkowskie, aby podjęły działania i ustaliły, czy Węgry dopuściły się poważnych i stałych naruszeń wartości UE, zgodnie z art. 7 ust. 2 TUE; </w:t>
      </w:r>
      <w:r w:rsidRPr="00F71F33">
        <w:t xml:space="preserve">domaga się poszanowania roli i </w:t>
      </w:r>
      <w:proofErr w:type="gramStart"/>
      <w:r w:rsidRPr="00F71F33">
        <w:t>kompetencji</w:t>
      </w:r>
      <w:proofErr w:type="gramEnd"/>
      <w:r w:rsidRPr="00F71F33">
        <w:t xml:space="preserve"> Parlamentu;</w:t>
      </w:r>
    </w:p>
    <w:p w:rsidR="00967251" w:rsidRPr="00F71F33" w:rsidRDefault="00967251" w:rsidP="00967251">
      <w:pPr>
        <w:pStyle w:val="NormalHanging12a"/>
      </w:pPr>
      <w:r w:rsidRPr="00F71F33">
        <w:t>3.</w:t>
      </w:r>
      <w:r w:rsidRPr="00F71F33">
        <w:rPr>
          <w:shd w:val="clear" w:color="auto" w:fill="FFFFFF"/>
        </w:rPr>
        <w:tab/>
      </w:r>
      <w:proofErr w:type="gramStart"/>
      <w:r w:rsidRPr="00F71F33">
        <w:t>zdecydowanie</w:t>
      </w:r>
      <w:proofErr w:type="gramEnd"/>
      <w:r w:rsidRPr="00F71F33">
        <w:t xml:space="preserve"> potępia działania premiera Węgier, który postanowił zablokować decyzję w sprawie zasadniczej rewizji WRF, w tym pakietu pomocowego dla Ukrainy, całkowicie lekceważąc i naruszając strategiczne interesy UE; uważa, że takie działania naruszają zasadę lojalnej współpracy zapisaną w traktatach; zwraca uwagę, że UE nie może w żadnym wypadku ulegać szantażowi i zgadzać się na handel strategicznymi interesami UE i jej sojuszników, rezygnując ze swoich wartości; raz jeszcze zdecydowanie podkreśla potrzebę pilnego i ukierunkowanego wzmocnienia WRF, aby zaspokoić potrzeby obywateli i wywiązać się z już podjętych zobowiązań politycznych, w tym dotyczących pomocy finansowej dla Ukrainy; wzywa Radę Europejską do pilnego uzgodnienia stanowiska </w:t>
      </w:r>
      <w:proofErr w:type="gramStart"/>
      <w:r w:rsidRPr="00F71F33">
        <w:t>w</w:t>
      </w:r>
      <w:proofErr w:type="gramEnd"/>
      <w:r w:rsidRPr="00F71F33">
        <w:t xml:space="preserve"> tym duchu na nadzwyczajnym szczycie 1 lutego 2024 r.;</w:t>
      </w:r>
    </w:p>
    <w:p w:rsidR="00967251" w:rsidRPr="00F71F33" w:rsidRDefault="00967251" w:rsidP="00967251">
      <w:pPr>
        <w:pStyle w:val="NormalHanging12a"/>
      </w:pPr>
      <w:r w:rsidRPr="00F71F33">
        <w:t>4.</w:t>
      </w:r>
      <w:r w:rsidRPr="00F71F33">
        <w:tab/>
      </w:r>
      <w:proofErr w:type="gramStart"/>
      <w:r w:rsidRPr="00F71F33">
        <w:t>z</w:t>
      </w:r>
      <w:proofErr w:type="gramEnd"/>
      <w:r w:rsidRPr="00F71F33">
        <w:t xml:space="preserve"> zadowoleniem przyjmuje komunikat Komisji z 13 grudnia 2023 r., w którym potwierdzono, że ryzyko dla budżetu Unii nie uległo zmianie od grudnia 2022 r., w związku z czym przedłużono obowiązywanie środków przyjętych na podstawie rozporządzenia w sprawie warunkowości; jego zdaniem świadczy to o tym, że wcześniejsze obawy i zalecenia Parlamentu w tej sprawie były uzasadnione; ponownie wzywa Komisję do dopilnowania, aby ostateczni odbiorcy lub beneficjenci funduszy UE nie zostali ich pozbawieni, jak określono w rozporządzeniu w sprawie praworządności; podkreśla, że przeciwdziałanie naruszeniom praworządności jest konieczne, by zwiększyć zaufanie obywateli do UE;</w:t>
      </w:r>
    </w:p>
    <w:p w:rsidR="00967251" w:rsidRPr="00F71F33" w:rsidRDefault="00967251" w:rsidP="00967251">
      <w:pPr>
        <w:pStyle w:val="NormalHanging12a"/>
      </w:pPr>
      <w:r w:rsidRPr="00F71F33">
        <w:t>5.</w:t>
      </w:r>
      <w:r w:rsidRPr="00F71F33">
        <w:tab/>
      </w:r>
      <w:proofErr w:type="gramStart"/>
      <w:r w:rsidRPr="00F71F33">
        <w:t>wyraża</w:t>
      </w:r>
      <w:proofErr w:type="gramEnd"/>
      <w:r w:rsidRPr="00F71F33">
        <w:t xml:space="preserve"> ubolewanie i poważne zaniepokojenie z powodu decyzji Komisji uznającej, że horyzontalny warunek podstawowy dotyczący Karty został spełniony w odniesieniu do niezależności sądów, co umożliwiło władzom węgierskim składanie wniosków o zwrot kosztów w wysokości do 10,2 mld EUR bez odpowiednich mechanizmów kontroli ani procedur udzielania zamówień publicznych, które gwarantowałyby należyte zarządzanie finansami i ochronę budżetu UE; uważa, że decyzja ta jest politycznie sprzeczna z decyzją o przedłużeniu obowiązywania środków przyjętych na mocy rozporządzenia w sprawie praworządności i wyraża rozczarowanie, że Parlament nie był odpowiednio informowany w trakcie tego procesu; podkreśla, że zadaniem Komisji jest niezależna i obiektywna ocena przestrzegania przez Węgry </w:t>
      </w:r>
      <w:proofErr w:type="gramStart"/>
      <w:r w:rsidRPr="00F71F33">
        <w:t>obowiązującego</w:t>
      </w:r>
      <w:proofErr w:type="gramEnd"/>
      <w:r w:rsidRPr="00F71F33">
        <w:t xml:space="preserve"> ustawodawstwa – bez uszczerbku dla demokracji, praworządności i praw podstawowych; uważa, że nawet po niedawnych reformach Węgry nie spełniają standardu niezależności sądów określonego w Karcie, jak wskazują eksperci węgierscy i międzynarodowi, ponieważ przyjęte środki nie zapewniają wystarczających zabezpieczeń przed wpływami politycznymi i mogą być obchodzone lub niewłaściwie stosowane; jest w szczególności zaniepokojony utrzymującymi się przeszkodami w składaniu wniosków o wydanie orzeczenia w trybie prejudycjalnym, problemami z przydzielaniem spraw w Sądzie Najwyższym (Kúria) oraz wadliwym systemem mianowania prezesa Sądu Najwyższego; wzywa Komisję do przedstawienia wraz z decyzją szczegółowego pisemnego uzasadnienia; wzywa Komisję, aby zrewidowała swoją decyzję, zwłaszcza w świetle środków </w:t>
      </w:r>
      <w:proofErr w:type="gramStart"/>
      <w:r w:rsidRPr="00F71F33">
        <w:t>krajowych</w:t>
      </w:r>
      <w:proofErr w:type="gramEnd"/>
      <w:r w:rsidRPr="00F71F33">
        <w:t xml:space="preserve"> podjętych od czasu jej przyjęcia, oraz aby powstrzymała się od wypłacania </w:t>
      </w:r>
      <w:r w:rsidRPr="00F71F33">
        <w:lastRenderedPageBreak/>
        <w:t>jakichkolwiek funduszy do czasu, gdy wszystkie odnośne przepisy zostaną w pełni wdrożone, a przyjęte środki potwierdzą swoją skuteczność w praktyce;</w:t>
      </w:r>
    </w:p>
    <w:p w:rsidR="00967251" w:rsidRPr="00F71F33" w:rsidRDefault="00967251" w:rsidP="00967251">
      <w:pPr>
        <w:pStyle w:val="NormalHanging12a"/>
      </w:pPr>
      <w:r w:rsidRPr="00F71F33">
        <w:t>6.</w:t>
      </w:r>
      <w:r w:rsidRPr="00F71F33">
        <w:tab/>
      </w:r>
      <w:proofErr w:type="gramStart"/>
      <w:r w:rsidRPr="00F71F33">
        <w:t>ponawia</w:t>
      </w:r>
      <w:proofErr w:type="gramEnd"/>
      <w:r w:rsidRPr="00F71F33">
        <w:t xml:space="preserve"> swoje wcześniejsze apele do Komisji o dopilnowanie, aby żadne płatności w ramach RRF nie były dokonywane na rzecz władz węgierskich, dopóki kamienie milowe (w tym te zwane nadrzędnymi kamieniami milowymi) i wartości docelowe związane z pierwszą płatnością nie zostaną osiągnięte w zadowalający sposób i nie dowiodą swojej trwałości w praktyce; jest zdania, że zanim będzie można uruchomić fundusze UE, obecne zasady dotyczące audytu i kontroli wprowadzone przez władze węgierskie w ramach przyspieszonej procedury w celu spełnienia wymaganych kryteriów dotyczących reform sądownictwa muszą pokazać konkretne, trwałe i weryfikowalne rezultaty w praktyce, zwłaszcza w odniesieniu do rozwiązywania problemów systemowych; wzywa Komisję </w:t>
      </w:r>
      <w:proofErr w:type="gramStart"/>
      <w:r w:rsidRPr="00F71F33">
        <w:t>do</w:t>
      </w:r>
      <w:proofErr w:type="gramEnd"/>
      <w:r w:rsidRPr="00F71F33">
        <w:t xml:space="preserve"> przeprowadzenia nowej, zaktualizowanej oceny, dotyczącej w szczególności niezależności sądów na Węgrzech, zwłaszcza w świetle rozwoju sytuacji od czasu podjęcia wspomnianej decyzji;</w:t>
      </w:r>
    </w:p>
    <w:p w:rsidR="00967251" w:rsidRPr="00F71F33" w:rsidRDefault="00967251" w:rsidP="00967251">
      <w:pPr>
        <w:pStyle w:val="NormalHanging12a"/>
      </w:pPr>
      <w:r w:rsidRPr="00F71F33">
        <w:t>7.</w:t>
      </w:r>
      <w:r w:rsidRPr="00F71F33">
        <w:tab/>
      </w:r>
      <w:proofErr w:type="gramStart"/>
      <w:r w:rsidRPr="00F71F33">
        <w:t>podkreśla</w:t>
      </w:r>
      <w:proofErr w:type="gramEnd"/>
      <w:r w:rsidRPr="00F71F33">
        <w:t xml:space="preserve">, że władze węgierskie muszą zagwarantować osobom fizycznym, przedsiębiorstwom, organizacjom pozarządowym oraz władzom lokalnym i regionalnym równe szanse w dostępie do funduszy UE, a także muszą zapewnić niezależną kontrolę sądową, jak również bezstronne i skuteczne mechanizmy składania skarg; potępia zgłoszone systemowe praktyki dyskryminacyjne wobec środowiska akademickiego, dziennikarzy, partii politycznych i społeczeństwa obywatelskiego, a także przedsiębiorstw w niektórych sektorach; ubolewa z powodu politycznie motywowanych praktyk biznesowych, które dają nieuczciwą przewagę konkurentom, nieprzejrzystych i zmanipulowanych procedur zamówień publicznych, prób przejęcia przedsiębiorstw przez rząd i podmioty powiązane z premierem, a także wykorzystywania funduszy UE do powiększania majątku politycznych sojuszników rządu wbrew unijnym zasadom </w:t>
      </w:r>
      <w:proofErr w:type="gramStart"/>
      <w:r w:rsidRPr="00F71F33">
        <w:t>konkurencji</w:t>
      </w:r>
      <w:proofErr w:type="gramEnd"/>
      <w:r w:rsidRPr="00F71F33">
        <w:t xml:space="preserve"> i przepisom dotyczącym zamówień publicznych; podkreśla, że praworządność ma kluczowe znaczenie dla funkcjonowania jednolitego rynku w UE;</w:t>
      </w:r>
    </w:p>
    <w:p w:rsidR="00967251" w:rsidRPr="00F71F33" w:rsidRDefault="00967251" w:rsidP="00967251">
      <w:pPr>
        <w:pStyle w:val="NormalHanging12a"/>
      </w:pPr>
      <w:r w:rsidRPr="00F71F33">
        <w:t>8.</w:t>
      </w:r>
      <w:r w:rsidRPr="00F71F33">
        <w:tab/>
      </w:r>
      <w:proofErr w:type="gramStart"/>
      <w:r w:rsidRPr="00F71F33">
        <w:t>podkreśla</w:t>
      </w:r>
      <w:proofErr w:type="gramEnd"/>
      <w:r w:rsidRPr="00F71F33">
        <w:t xml:space="preserve"> istotną rolę prezydencji Rady w przyspieszaniu prac Rady nad prawodawstwem UE, w zapewnianiu ciągłości agendy UE i reprezentowaniu Rady w stosunkach z pozostałymi instytucjami UE; ma wątpliwości, czy rząd węgierski będzie w stanie wiarygodnie wypełnić to zadanie w 2024 r., skoro nie przestrzega przepisów prawa UE, wartości zapisanych w art. 2 TUE ani zasady lojalnej współpracy; przypomina, że w niektórych przypadkach przewodniczący Rady Europejskiej może zostać zastąpiony przez członka Rady Europejskiej reprezentującego państwo członkowskie sprawujące półroczną prezydencję w Radzie; zwraca się do Rady o jak najszybsze znalezienie odpowiednich rozwiązań w celu ograniczenia tego ryzyka; przypomina, że Parlament może przedsięwziąć odpowiednie środki, </w:t>
      </w:r>
      <w:proofErr w:type="gramStart"/>
      <w:r w:rsidRPr="00F71F33">
        <w:t>jeśli</w:t>
      </w:r>
      <w:proofErr w:type="gramEnd"/>
      <w:r w:rsidRPr="00F71F33">
        <w:t xml:space="preserve"> takie rozwiązanie nie zostanie znalezione; wzywa przewodniczącego Rady i państwa członkowskie do natychmiastowego rozpoczęcia procedur mających na celu zreformowanie procesu decyzyjnego w Radzie, aby położyć kres nadużywaniu prawa weta i szantażowi w Radzie Europejskiej i innych instytucjach europejskich;</w:t>
      </w:r>
    </w:p>
    <w:p w:rsidR="00967251" w:rsidRPr="00F71F33" w:rsidRDefault="00967251" w:rsidP="00967251">
      <w:pPr>
        <w:pStyle w:val="NormalHanging12a"/>
      </w:pPr>
      <w:r w:rsidRPr="00F71F33">
        <w:t>9.</w:t>
      </w:r>
      <w:r w:rsidRPr="00F71F33">
        <w:tab/>
      </w:r>
      <w:proofErr w:type="gramStart"/>
      <w:r w:rsidRPr="00F71F33">
        <w:t>podkreśla</w:t>
      </w:r>
      <w:proofErr w:type="gramEnd"/>
      <w:r w:rsidRPr="00F71F33">
        <w:t xml:space="preserve">, że środki wymagane do uruchomienia funduszy UE, określone w odpowiednich decyzjach podjętych na mocy rozporządzenia w sprawie wspólnych przepisów, rozporządzenia w sprawie RRF i rozporządzenia w sprawie praworządności, należy traktować jako jeden całościowy pakiet i nie należy dokonywać żadnych płatności, nawet jeśli w jednym lub kilku obszarach poczyniono postępy, ale w innych </w:t>
      </w:r>
      <w:r w:rsidRPr="00F71F33">
        <w:lastRenderedPageBreak/>
        <w:t>nadal występują uchybienia; podtrzymuje swoje zobowiązanie do dbania o to, by fundusze UE docierały do ludności Węgier, między innymi poprzez bezpośrednie finansowanie dla władz lokalnych i regionalnych oraz społeczeństwa obywatelskiego, po spełnieniu warunków, i podkreśla, że wyłączną odpowiedzialność za obecną sytuację ponoszą władze węgierskie;</w:t>
      </w:r>
    </w:p>
    <w:p w:rsidR="00967251" w:rsidRPr="00F71F33" w:rsidRDefault="00967251" w:rsidP="00967251">
      <w:pPr>
        <w:pStyle w:val="NormalHanging12a"/>
      </w:pPr>
      <w:r w:rsidRPr="00F71F33">
        <w:t>10.</w:t>
      </w:r>
      <w:r w:rsidRPr="00F71F33">
        <w:tab/>
      </w:r>
      <w:proofErr w:type="gramStart"/>
      <w:r w:rsidRPr="00F71F33">
        <w:t>ponawia</w:t>
      </w:r>
      <w:proofErr w:type="gramEnd"/>
      <w:r w:rsidRPr="00F71F33">
        <w:t xml:space="preserve"> apel do Komisji </w:t>
      </w:r>
      <w:bookmarkStart w:id="7" w:name="_GoBack"/>
      <w:bookmarkEnd w:id="7"/>
      <w:r w:rsidRPr="00F71F33">
        <w:t>o pełne wykorzystanie dostępnych narzędzi, w szczególności narzędzi finansowych i przyspieszonych postępowań w sprawie uchybienia zobowiązaniom państwa członkowskiego, wniosków o zastosowanie środków tymczasowych wnoszonych do Trybunału Sprawiedliwości Unii Europejskiej i działań podejmowanych w razie niewykonania orzeczeń Trybunału, aby wyeliminować wyraźne ryzyko poważnego naruszenia przez Węgry wartości, na których opiera się Unia; oczekuje podjęcia szybkich działań w reakcji na przyjęcie pakietu dotyczącego ochrony suwerenności narodowej;</w:t>
      </w:r>
    </w:p>
    <w:p w:rsidR="00967251" w:rsidRPr="00F71F33" w:rsidRDefault="00967251" w:rsidP="00967251">
      <w:pPr>
        <w:pStyle w:val="NormalHanging12a"/>
      </w:pPr>
      <w:r w:rsidRPr="00F71F33">
        <w:t>11.</w:t>
      </w:r>
      <w:r w:rsidRPr="00F71F33">
        <w:tab/>
        <w:t xml:space="preserve">zobowiązuje Komisję Prawną, aby jak najszybciej podjęła niezbędne kroki w związku z decyzją Komisji prowadzącą do odmrożenia 10,2 mld EUR, w tym aby zwróciła się do Wydziału Prawnego o przeprowadzenie analizy zgodnie z art. 149 Regulaminu w celu dokonania przeglądu zgodności </w:t>
      </w:r>
      <w:r w:rsidR="00700704">
        <w:t>z prawem decyzji C</w:t>
      </w:r>
      <w:proofErr w:type="gramStart"/>
      <w:r w:rsidR="00700704">
        <w:t>(2023)</w:t>
      </w:r>
      <w:r w:rsidRPr="00F71F33">
        <w:t>9014 przed</w:t>
      </w:r>
      <w:proofErr w:type="gramEnd"/>
      <w:r w:rsidRPr="00F71F33">
        <w:t xml:space="preserve"> Trybunałem Sprawiedliwości Unii Europejskiej, zgodnie z art. 263 Traktatu o funkcjonowaniu Unii Europejskiej; przypomina, że Parlament może skorzystać z wszelkich dostępnych mu środków prawnych i politycznych, jeżeli Komisja uwolni finansowanie bez spełnienia kryteriów lub jeżeli nie zapewni pełnego wdrożenia odpowiednich przepisów, biorąc pod uwagę jej odpowiedzialność jako strażniczki traktatów i jej obowiązek ochrony interesów finansowych UE; przypomina, </w:t>
      </w:r>
      <w:proofErr w:type="gramStart"/>
      <w:r w:rsidRPr="00F71F33">
        <w:t>że</w:t>
      </w:r>
      <w:proofErr w:type="gramEnd"/>
      <w:r w:rsidRPr="00F71F33">
        <w:t xml:space="preserve"> Komisja ponosi odpowiedzialność polityczną przed Parlamentem;</w:t>
      </w:r>
    </w:p>
    <w:p w:rsidR="00967251" w:rsidRPr="00F71F33" w:rsidRDefault="00967251" w:rsidP="00967251">
      <w:pPr>
        <w:pStyle w:val="NormalHanging12a"/>
      </w:pPr>
      <w:r w:rsidRPr="00F71F33">
        <w:t>12.</w:t>
      </w:r>
      <w:r w:rsidRPr="00F71F33">
        <w:tab/>
      </w:r>
      <w:proofErr w:type="gramStart"/>
      <w:r w:rsidRPr="00F71F33">
        <w:t>zobowiązuje</w:t>
      </w:r>
      <w:proofErr w:type="gramEnd"/>
      <w:r w:rsidRPr="00F71F33">
        <w:t xml:space="preserve"> swoją przewodniczącą do przekazania niniejszej rezolucji Radzie, Komisji, rządom i parlamentom państw członkowskich, Radzie Europy, Organizacji Bezpieczeństwa i Współpracy w Europie oraz Organizacji Narodów Zjednoczonych.</w:t>
      </w:r>
    </w:p>
    <w:p w:rsidR="00E365E1" w:rsidRPr="00F71F33" w:rsidRDefault="00E365E1" w:rsidP="005844F0"/>
    <w:sectPr w:rsidR="00E365E1" w:rsidRPr="00F71F33" w:rsidSect="00F71F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4F0" w:rsidRPr="00F71F33" w:rsidRDefault="005844F0">
      <w:r w:rsidRPr="00F71F33">
        <w:separator/>
      </w:r>
    </w:p>
  </w:endnote>
  <w:endnote w:type="continuationSeparator" w:id="0">
    <w:p w:rsidR="005844F0" w:rsidRPr="00F71F33" w:rsidRDefault="005844F0">
      <w:r w:rsidRPr="00F71F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F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F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F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4F0" w:rsidRPr="00F71F33" w:rsidRDefault="005844F0">
      <w:r w:rsidRPr="00F71F33">
        <w:separator/>
      </w:r>
    </w:p>
  </w:footnote>
  <w:footnote w:type="continuationSeparator" w:id="0">
    <w:p w:rsidR="005844F0" w:rsidRPr="00F71F33" w:rsidRDefault="005844F0">
      <w:r w:rsidRPr="00F71F33">
        <w:continuationSeparator/>
      </w:r>
    </w:p>
  </w:footnote>
  <w:footnote w:id="1">
    <w:p w:rsidR="00967251" w:rsidRPr="00F71F33" w:rsidRDefault="00967251" w:rsidP="00F71F33">
      <w:pPr>
        <w:pStyle w:val="FootnoteText"/>
        <w:ind w:left="567" w:hanging="567"/>
        <w:rPr>
          <w:sz w:val="24"/>
          <w:lang w:val="pl-PL"/>
        </w:rPr>
      </w:pPr>
      <w:r w:rsidRPr="00F71F33">
        <w:rPr>
          <w:rStyle w:val="FootnoteReference"/>
          <w:sz w:val="24"/>
          <w:lang w:val="pl-PL"/>
        </w:rPr>
        <w:footnoteRef/>
      </w:r>
      <w:r w:rsidR="00F71F33" w:rsidRPr="00F71F33">
        <w:rPr>
          <w:sz w:val="24"/>
          <w:lang w:val="pl-PL"/>
        </w:rPr>
        <w:t xml:space="preserve"> </w:t>
      </w:r>
      <w:r w:rsidR="00F71F33" w:rsidRPr="00F71F33">
        <w:rPr>
          <w:sz w:val="24"/>
          <w:lang w:val="pl-PL"/>
        </w:rPr>
        <w:tab/>
      </w:r>
      <w:r w:rsidRPr="00F71F33">
        <w:rPr>
          <w:sz w:val="24"/>
          <w:lang w:val="pl-PL"/>
        </w:rPr>
        <w:t xml:space="preserve">Dz.U. L 433 I z 22.12.2020, </w:t>
      </w:r>
      <w:proofErr w:type="gramStart"/>
      <w:r w:rsidRPr="00F71F33">
        <w:rPr>
          <w:sz w:val="24"/>
          <w:lang w:val="pl-PL"/>
        </w:rPr>
        <w:t>s</w:t>
      </w:r>
      <w:proofErr w:type="gramEnd"/>
      <w:r w:rsidRPr="00F71F33">
        <w:rPr>
          <w:sz w:val="24"/>
          <w:lang w:val="pl-PL"/>
        </w:rPr>
        <w:t>. 1.</w:t>
      </w:r>
    </w:p>
  </w:footnote>
  <w:footnote w:id="2">
    <w:p w:rsidR="00967251" w:rsidRPr="00F71F33" w:rsidRDefault="00967251" w:rsidP="00F71F33">
      <w:pPr>
        <w:pStyle w:val="FootnoteText"/>
        <w:ind w:left="567" w:hanging="567"/>
        <w:rPr>
          <w:sz w:val="24"/>
          <w:lang w:val="pl-PL"/>
        </w:rPr>
      </w:pPr>
      <w:r w:rsidRPr="00F71F33">
        <w:rPr>
          <w:rStyle w:val="FootnoteReference"/>
          <w:sz w:val="24"/>
          <w:lang w:val="pl-PL"/>
        </w:rPr>
        <w:footnoteRef/>
      </w:r>
      <w:r w:rsidR="00F71F33" w:rsidRPr="00F71F33">
        <w:rPr>
          <w:sz w:val="24"/>
          <w:lang w:val="pl-PL"/>
        </w:rPr>
        <w:t xml:space="preserve"> </w:t>
      </w:r>
      <w:r w:rsidR="00F71F33" w:rsidRPr="00F71F33">
        <w:rPr>
          <w:sz w:val="24"/>
          <w:lang w:val="pl-PL"/>
        </w:rPr>
        <w:tab/>
      </w:r>
      <w:r w:rsidRPr="00F71F33">
        <w:rPr>
          <w:sz w:val="24"/>
          <w:lang w:val="pl-PL"/>
        </w:rPr>
        <w:t xml:space="preserve">Dz.U. L 57 z 18.2.2021, </w:t>
      </w:r>
      <w:proofErr w:type="gramStart"/>
      <w:r w:rsidRPr="00F71F33">
        <w:rPr>
          <w:sz w:val="24"/>
          <w:lang w:val="pl-PL"/>
        </w:rPr>
        <w:t>s</w:t>
      </w:r>
      <w:proofErr w:type="gramEnd"/>
      <w:r w:rsidRPr="00F71F33">
        <w:rPr>
          <w:sz w:val="24"/>
          <w:lang w:val="pl-PL"/>
        </w:rPr>
        <w:t>. 17.</w:t>
      </w:r>
    </w:p>
  </w:footnote>
  <w:footnote w:id="3">
    <w:p w:rsidR="00967251" w:rsidRPr="00F71F33" w:rsidRDefault="00967251" w:rsidP="00F71F33">
      <w:pPr>
        <w:pStyle w:val="FootnoteText"/>
        <w:ind w:left="567" w:hanging="567"/>
        <w:rPr>
          <w:sz w:val="24"/>
          <w:lang w:val="pl-PL"/>
        </w:rPr>
      </w:pPr>
      <w:r w:rsidRPr="00F71F33">
        <w:rPr>
          <w:rStyle w:val="FootnoteReference"/>
          <w:sz w:val="24"/>
          <w:lang w:val="pl-PL"/>
        </w:rPr>
        <w:footnoteRef/>
      </w:r>
      <w:r w:rsidR="00F71F33" w:rsidRPr="00F71F33">
        <w:rPr>
          <w:sz w:val="24"/>
          <w:lang w:val="pl-PL"/>
        </w:rPr>
        <w:t xml:space="preserve"> </w:t>
      </w:r>
      <w:r w:rsidR="00F71F33" w:rsidRPr="00F71F33">
        <w:rPr>
          <w:sz w:val="24"/>
          <w:lang w:val="pl-PL"/>
        </w:rPr>
        <w:tab/>
      </w:r>
      <w:r w:rsidRPr="00F71F33">
        <w:rPr>
          <w:sz w:val="24"/>
          <w:lang w:val="pl-PL"/>
        </w:rPr>
        <w:t xml:space="preserve">Dz.U. L 231 z 30.6.2021, </w:t>
      </w:r>
      <w:proofErr w:type="gramStart"/>
      <w:r w:rsidRPr="00F71F33">
        <w:rPr>
          <w:sz w:val="24"/>
          <w:lang w:val="pl-PL"/>
        </w:rPr>
        <w:t>s</w:t>
      </w:r>
      <w:proofErr w:type="gramEnd"/>
      <w:r w:rsidRPr="00F71F33">
        <w:rPr>
          <w:sz w:val="24"/>
          <w:lang w:val="pl-PL"/>
        </w:rPr>
        <w:t>. 159.</w:t>
      </w:r>
    </w:p>
  </w:footnote>
  <w:footnote w:id="4">
    <w:p w:rsidR="00967251" w:rsidRPr="00F71F33" w:rsidRDefault="00967251" w:rsidP="00F71F33">
      <w:pPr>
        <w:pStyle w:val="FootnoteText"/>
        <w:ind w:left="567" w:hanging="567"/>
        <w:rPr>
          <w:sz w:val="24"/>
          <w:lang w:val="pl-PL"/>
        </w:rPr>
      </w:pPr>
      <w:r w:rsidRPr="00F71F33">
        <w:rPr>
          <w:rStyle w:val="FootnoteReference"/>
          <w:sz w:val="24"/>
          <w:lang w:val="pl-PL"/>
        </w:rPr>
        <w:footnoteRef/>
      </w:r>
      <w:r w:rsidR="00F71F33" w:rsidRPr="00F71F33">
        <w:rPr>
          <w:sz w:val="24"/>
          <w:lang w:val="pl-PL"/>
        </w:rPr>
        <w:t xml:space="preserve"> </w:t>
      </w:r>
      <w:r w:rsidR="00F71F33" w:rsidRPr="00F71F33">
        <w:rPr>
          <w:sz w:val="24"/>
          <w:lang w:val="pl-PL"/>
        </w:rPr>
        <w:tab/>
      </w:r>
      <w:r w:rsidRPr="00F71F33">
        <w:rPr>
          <w:sz w:val="24"/>
          <w:lang w:val="pl-PL"/>
        </w:rPr>
        <w:t xml:space="preserve">Rezolucja Parlamentu Europejskiego z dnia 12 września 2018 r. w sprawie wniosku wzywającego Radę do stwierdzenia, zgodnie z art. 7 ust. 1 Traktatu o Unii Europejskiej, istnienia wyraźnego ryzyka poważnego naruszenia przez Węgry wartości, na których opiera się Unia (Dz.U. C 433 z 23.12.2019, </w:t>
      </w:r>
      <w:proofErr w:type="gramStart"/>
      <w:r w:rsidRPr="00F71F33">
        <w:rPr>
          <w:sz w:val="24"/>
          <w:lang w:val="pl-PL"/>
        </w:rPr>
        <w:t>s</w:t>
      </w:r>
      <w:proofErr w:type="gramEnd"/>
      <w:r w:rsidRPr="00F71F33">
        <w:rPr>
          <w:sz w:val="24"/>
          <w:lang w:val="pl-PL"/>
        </w:rPr>
        <w:t>. 66).</w:t>
      </w:r>
    </w:p>
  </w:footnote>
  <w:footnote w:id="5">
    <w:p w:rsidR="00967251" w:rsidRPr="00F71F33" w:rsidRDefault="00967251" w:rsidP="00F71F33">
      <w:pPr>
        <w:pStyle w:val="FootnoteText"/>
        <w:ind w:left="567" w:hanging="567"/>
        <w:rPr>
          <w:sz w:val="24"/>
          <w:lang w:val="pl-PL"/>
        </w:rPr>
      </w:pPr>
      <w:r w:rsidRPr="00F71F33">
        <w:rPr>
          <w:rStyle w:val="FootnoteReference"/>
          <w:sz w:val="24"/>
          <w:lang w:val="pl-PL"/>
        </w:rPr>
        <w:footnoteRef/>
      </w:r>
      <w:r w:rsidR="00F71F33" w:rsidRPr="00F71F33">
        <w:rPr>
          <w:sz w:val="24"/>
          <w:lang w:val="pl-PL"/>
        </w:rPr>
        <w:t xml:space="preserve"> </w:t>
      </w:r>
      <w:r w:rsidR="00F71F33" w:rsidRPr="00F71F33">
        <w:rPr>
          <w:sz w:val="24"/>
          <w:lang w:val="pl-PL"/>
        </w:rPr>
        <w:tab/>
      </w:r>
      <w:r w:rsidRPr="00F71F33">
        <w:rPr>
          <w:sz w:val="24"/>
          <w:lang w:val="pl-PL"/>
        </w:rPr>
        <w:t xml:space="preserve">Rezolucja Parlamentu Europejskiego z dnia 8 lipca 2021 r. w sprawie naruszeń prawa UE i praw obywateli LGBTIQ na Węgrzech w wyniku zmian prawnych wprowadzonych przez parlament węgierski (Dz.U. C 99 z 1.3.2022, </w:t>
      </w:r>
      <w:proofErr w:type="gramStart"/>
      <w:r w:rsidRPr="00F71F33">
        <w:rPr>
          <w:sz w:val="24"/>
          <w:lang w:val="pl-PL"/>
        </w:rPr>
        <w:t>s</w:t>
      </w:r>
      <w:proofErr w:type="gramEnd"/>
      <w:r w:rsidRPr="00F71F33">
        <w:rPr>
          <w:sz w:val="24"/>
          <w:lang w:val="pl-PL"/>
        </w:rPr>
        <w:t>. 218).</w:t>
      </w:r>
    </w:p>
  </w:footnote>
  <w:footnote w:id="6">
    <w:p w:rsidR="00967251" w:rsidRPr="00F71F33" w:rsidRDefault="00967251" w:rsidP="00F71F33">
      <w:pPr>
        <w:pStyle w:val="FootnoteText"/>
        <w:ind w:left="567" w:hanging="567"/>
        <w:rPr>
          <w:sz w:val="24"/>
          <w:lang w:val="pl-PL"/>
        </w:rPr>
      </w:pPr>
      <w:r w:rsidRPr="00F71F33">
        <w:rPr>
          <w:rStyle w:val="FootnoteReference"/>
          <w:sz w:val="24"/>
          <w:lang w:val="pl-PL"/>
        </w:rPr>
        <w:footnoteRef/>
      </w:r>
      <w:r w:rsidR="00F71F33" w:rsidRPr="00F71F33">
        <w:rPr>
          <w:sz w:val="24"/>
          <w:lang w:val="pl-PL"/>
        </w:rPr>
        <w:t xml:space="preserve"> </w:t>
      </w:r>
      <w:r w:rsidR="00F71F33" w:rsidRPr="00F71F33">
        <w:rPr>
          <w:sz w:val="24"/>
          <w:lang w:val="pl-PL"/>
        </w:rPr>
        <w:tab/>
      </w:r>
      <w:r w:rsidRPr="00F71F33">
        <w:rPr>
          <w:sz w:val="24"/>
          <w:lang w:val="pl-PL"/>
        </w:rPr>
        <w:t xml:space="preserve">Rezolucja Parlamentu Europejskiego z dnia 15 września 2022 r. w sprawie wniosku dotyczącego decyzji Rady w sprawie stwierdzenia, zgodnie z art. 7 ust. 1 Traktatu o Unii Europejskiej, istnienia wyraźnego ryzyka poważnego naruszenia przez Węgry wartości, na których opiera się Unia (Dz.U. C 125 z 5.4.2023, </w:t>
      </w:r>
      <w:proofErr w:type="gramStart"/>
      <w:r w:rsidRPr="00F71F33">
        <w:rPr>
          <w:sz w:val="24"/>
          <w:lang w:val="pl-PL"/>
        </w:rPr>
        <w:t>s</w:t>
      </w:r>
      <w:proofErr w:type="gramEnd"/>
      <w:r w:rsidRPr="00F71F33">
        <w:rPr>
          <w:sz w:val="24"/>
          <w:lang w:val="pl-PL"/>
        </w:rPr>
        <w:t>. 463).</w:t>
      </w:r>
    </w:p>
  </w:footnote>
  <w:footnote w:id="7">
    <w:p w:rsidR="00967251" w:rsidRPr="00F71F33" w:rsidRDefault="00967251" w:rsidP="00F71F33">
      <w:pPr>
        <w:pStyle w:val="FootnoteText"/>
        <w:ind w:left="567" w:hanging="567"/>
        <w:rPr>
          <w:sz w:val="24"/>
          <w:lang w:val="pl-PL"/>
        </w:rPr>
      </w:pPr>
      <w:r w:rsidRPr="00F71F33">
        <w:rPr>
          <w:rStyle w:val="FootnoteReference"/>
          <w:sz w:val="24"/>
          <w:lang w:val="pl-PL"/>
        </w:rPr>
        <w:footnoteRef/>
      </w:r>
      <w:r w:rsidR="00F71F33" w:rsidRPr="00F71F33">
        <w:rPr>
          <w:sz w:val="24"/>
          <w:lang w:val="pl-PL"/>
        </w:rPr>
        <w:t xml:space="preserve"> </w:t>
      </w:r>
      <w:r w:rsidR="00F71F33" w:rsidRPr="00F71F33">
        <w:rPr>
          <w:sz w:val="24"/>
          <w:lang w:val="pl-PL"/>
        </w:rPr>
        <w:tab/>
      </w:r>
      <w:r w:rsidRPr="00F71F33">
        <w:rPr>
          <w:sz w:val="24"/>
          <w:lang w:val="pl-PL"/>
        </w:rPr>
        <w:t xml:space="preserve">Rezolucja Parlamentu Europejskiego z dnia 16 stycznia 2020 r. w sprawie trwających wysłuchań na mocy art. 7 ust. 1 TUE dotyczących Polski i Węgier (Dz.U. C 270 z 7.7.2021, </w:t>
      </w:r>
      <w:proofErr w:type="gramStart"/>
      <w:r w:rsidRPr="00F71F33">
        <w:rPr>
          <w:sz w:val="24"/>
          <w:lang w:val="pl-PL"/>
        </w:rPr>
        <w:t>s</w:t>
      </w:r>
      <w:proofErr w:type="gramEnd"/>
      <w:r w:rsidRPr="00F71F33">
        <w:rPr>
          <w:sz w:val="24"/>
          <w:lang w:val="pl-PL"/>
        </w:rPr>
        <w:t>. 91).</w:t>
      </w:r>
    </w:p>
  </w:footnote>
  <w:footnote w:id="8">
    <w:p w:rsidR="00967251" w:rsidRPr="00F71F33" w:rsidRDefault="00967251" w:rsidP="00F71F33">
      <w:pPr>
        <w:pStyle w:val="FootnoteText"/>
        <w:ind w:left="567" w:hanging="567"/>
        <w:rPr>
          <w:sz w:val="24"/>
          <w:lang w:val="pl-PL"/>
        </w:rPr>
      </w:pPr>
      <w:r w:rsidRPr="00F71F33">
        <w:rPr>
          <w:rStyle w:val="FootnoteReference"/>
          <w:sz w:val="24"/>
          <w:lang w:val="pl-PL"/>
        </w:rPr>
        <w:footnoteRef/>
      </w:r>
      <w:r w:rsidR="00F71F33" w:rsidRPr="00F71F33">
        <w:rPr>
          <w:sz w:val="24"/>
          <w:lang w:val="pl-PL"/>
        </w:rPr>
        <w:t xml:space="preserve"> </w:t>
      </w:r>
      <w:r w:rsidR="00F71F33" w:rsidRPr="00F71F33">
        <w:rPr>
          <w:sz w:val="24"/>
          <w:lang w:val="pl-PL"/>
        </w:rPr>
        <w:tab/>
      </w:r>
      <w:r w:rsidRPr="00F71F33">
        <w:rPr>
          <w:sz w:val="24"/>
          <w:lang w:val="pl-PL"/>
        </w:rPr>
        <w:t xml:space="preserve">Rezolucja Parlamentu Europejskiego z dnia 24 listopada 2022 r. w sprawie oceny przestrzegania przez Węgry warunków dotyczących praworządności na mocy rozporządzenia w sprawie warunkowości oraz stanu prac nad węgierskim planem odbudowy i zwiększania odporności (Dz.U. C 167 z 11.5.2023, </w:t>
      </w:r>
      <w:proofErr w:type="gramStart"/>
      <w:r w:rsidRPr="00F71F33">
        <w:rPr>
          <w:sz w:val="24"/>
          <w:lang w:val="pl-PL"/>
        </w:rPr>
        <w:t>s</w:t>
      </w:r>
      <w:proofErr w:type="gramEnd"/>
      <w:r w:rsidRPr="00F71F33">
        <w:rPr>
          <w:sz w:val="24"/>
          <w:lang w:val="pl-PL"/>
        </w:rPr>
        <w:t>. 74).</w:t>
      </w:r>
    </w:p>
  </w:footnote>
  <w:footnote w:id="9">
    <w:p w:rsidR="00967251" w:rsidRPr="00F71F33" w:rsidRDefault="00967251" w:rsidP="00F71F33">
      <w:pPr>
        <w:pStyle w:val="FootnoteText"/>
        <w:ind w:left="567" w:hanging="567"/>
        <w:rPr>
          <w:sz w:val="24"/>
          <w:lang w:val="pl-PL"/>
        </w:rPr>
      </w:pPr>
      <w:r w:rsidRPr="00F71F33">
        <w:rPr>
          <w:rStyle w:val="FootnoteReference"/>
          <w:sz w:val="24"/>
          <w:lang w:val="pl-PL"/>
        </w:rPr>
        <w:footnoteRef/>
      </w:r>
      <w:r w:rsidR="00F71F33" w:rsidRPr="00F71F33">
        <w:rPr>
          <w:sz w:val="24"/>
          <w:lang w:val="pl-PL"/>
        </w:rPr>
        <w:t xml:space="preserve"> </w:t>
      </w:r>
      <w:r w:rsidR="00F71F33" w:rsidRPr="00F71F33">
        <w:rPr>
          <w:sz w:val="24"/>
          <w:lang w:val="pl-PL"/>
        </w:rPr>
        <w:tab/>
      </w:r>
      <w:r w:rsidRPr="00F71F33">
        <w:rPr>
          <w:sz w:val="24"/>
          <w:lang w:val="pl-PL"/>
        </w:rPr>
        <w:t>Rezolucja Parlamentu Europejskiego z dnia 1 czerwca 2023 r. w sprawie naruszania zasad państwa prawnego i praw podstawowych na Węgrzech oraz zamrożonych funduszy UE (Dz.U. C, C/2023/1223, 21.12.2023, ELI: http</w:t>
      </w:r>
      <w:proofErr w:type="gramStart"/>
      <w:r w:rsidRPr="00F71F33">
        <w:rPr>
          <w:sz w:val="24"/>
          <w:lang w:val="pl-PL"/>
        </w:rPr>
        <w:t>://data</w:t>
      </w:r>
      <w:proofErr w:type="gramEnd"/>
      <w:r w:rsidRPr="00F71F33">
        <w:rPr>
          <w:sz w:val="24"/>
          <w:lang w:val="pl-PL"/>
        </w:rPr>
        <w:t>.</w:t>
      </w:r>
      <w:proofErr w:type="gramStart"/>
      <w:r w:rsidRPr="00F71F33">
        <w:rPr>
          <w:sz w:val="24"/>
          <w:lang w:val="pl-PL"/>
        </w:rPr>
        <w:t>europa</w:t>
      </w:r>
      <w:proofErr w:type="gramEnd"/>
      <w:r w:rsidRPr="00F71F33">
        <w:rPr>
          <w:sz w:val="24"/>
          <w:lang w:val="pl-PL"/>
        </w:rPr>
        <w:t>.</w:t>
      </w:r>
      <w:proofErr w:type="gramStart"/>
      <w:r w:rsidRPr="00F71F33">
        <w:rPr>
          <w:sz w:val="24"/>
          <w:lang w:val="pl-PL"/>
        </w:rPr>
        <w:t>eu</w:t>
      </w:r>
      <w:proofErr w:type="gramEnd"/>
      <w:r w:rsidRPr="00F71F33">
        <w:rPr>
          <w:sz w:val="24"/>
          <w:lang w:val="pl-PL"/>
        </w:rPr>
        <w:t>/eli/C/2023/1223/oj).</w:t>
      </w:r>
    </w:p>
  </w:footnote>
  <w:footnote w:id="10">
    <w:p w:rsidR="00967251" w:rsidRPr="00F71F33" w:rsidRDefault="00967251" w:rsidP="00F71F33">
      <w:pPr>
        <w:pStyle w:val="FootnoteText"/>
        <w:ind w:left="567" w:hanging="567"/>
        <w:rPr>
          <w:sz w:val="24"/>
          <w:lang w:val="pl-PL"/>
        </w:rPr>
      </w:pPr>
      <w:r w:rsidRPr="00F71F33">
        <w:rPr>
          <w:rStyle w:val="FootnoteReference"/>
          <w:sz w:val="24"/>
          <w:lang w:val="pl-PL"/>
        </w:rPr>
        <w:footnoteRef/>
      </w:r>
      <w:r w:rsidR="00F71F33" w:rsidRPr="00F71F33">
        <w:rPr>
          <w:sz w:val="24"/>
          <w:lang w:val="pl-PL"/>
        </w:rPr>
        <w:t xml:space="preserve"> </w:t>
      </w:r>
      <w:r w:rsidR="00F71F33" w:rsidRPr="00F71F33">
        <w:rPr>
          <w:sz w:val="24"/>
          <w:lang w:val="pl-PL"/>
        </w:rPr>
        <w:tab/>
      </w:r>
      <w:r w:rsidRPr="00F71F33">
        <w:rPr>
          <w:sz w:val="24"/>
          <w:lang w:val="pl-PL"/>
        </w:rPr>
        <w:t>Teksty przyjęte, P9_TA(2023)0335.</w:t>
      </w:r>
    </w:p>
  </w:footnote>
  <w:footnote w:id="11">
    <w:p w:rsidR="00967251" w:rsidRPr="00F71F33" w:rsidRDefault="00967251" w:rsidP="00F71F33">
      <w:pPr>
        <w:pStyle w:val="FootnoteText"/>
        <w:ind w:left="567" w:hanging="567"/>
        <w:rPr>
          <w:sz w:val="24"/>
          <w:lang w:val="pl-PL"/>
        </w:rPr>
      </w:pPr>
      <w:r w:rsidRPr="00F71F33">
        <w:rPr>
          <w:rStyle w:val="FootnoteReference"/>
          <w:sz w:val="24"/>
          <w:lang w:val="pl-PL"/>
        </w:rPr>
        <w:footnoteRef/>
      </w:r>
      <w:r w:rsidR="00F71F33" w:rsidRPr="00F71F33">
        <w:rPr>
          <w:sz w:val="24"/>
          <w:lang w:val="pl-PL"/>
        </w:rPr>
        <w:t xml:space="preserve"> </w:t>
      </w:r>
      <w:r w:rsidR="00F71F33" w:rsidRPr="00F71F33">
        <w:rPr>
          <w:sz w:val="24"/>
          <w:lang w:val="pl-PL"/>
        </w:rPr>
        <w:tab/>
      </w:r>
      <w:r w:rsidRPr="00F71F33">
        <w:rPr>
          <w:sz w:val="24"/>
          <w:lang w:val="pl-PL"/>
        </w:rPr>
        <w:t xml:space="preserve">Dz.U. L 325 z 20.12.2022, </w:t>
      </w:r>
      <w:proofErr w:type="gramStart"/>
      <w:r w:rsidRPr="00F71F33">
        <w:rPr>
          <w:sz w:val="24"/>
          <w:lang w:val="pl-PL"/>
        </w:rPr>
        <w:t>s</w:t>
      </w:r>
      <w:proofErr w:type="gramEnd"/>
      <w:r w:rsidRPr="00F71F33">
        <w:rPr>
          <w:sz w:val="24"/>
          <w:lang w:val="pl-PL"/>
        </w:rPr>
        <w:t>. 94.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F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F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F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86/2024"/>
    <w:docVar w:name="dvlangue" w:val="PL"/>
    <w:docVar w:name="dvnumam" w:val="0"/>
    <w:docVar w:name="dvpe" w:val="756.771"/>
    <w:docVar w:name="dvtitre" w:val="Rezolucja Parlamentu Europejskiego z dnia  2024 r. w sprawie sytuacji na Węgrzech i zamrożonych środków unijnych(2024/2512(RSP))"/>
  </w:docVars>
  <w:rsids>
    <w:rsidRoot w:val="005844F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222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4F0"/>
    <w:rsid w:val="005C2568"/>
    <w:rsid w:val="006037C0"/>
    <w:rsid w:val="006631B6"/>
    <w:rsid w:val="00680577"/>
    <w:rsid w:val="006F74FA"/>
    <w:rsid w:val="0070070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251"/>
    <w:rsid w:val="00981893"/>
    <w:rsid w:val="00A1687D"/>
    <w:rsid w:val="00A43E52"/>
    <w:rsid w:val="00A4678D"/>
    <w:rsid w:val="00A778C7"/>
    <w:rsid w:val="00A934E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F3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B7A722"/>
  <w15:chartTrackingRefBased/>
  <w15:docId w15:val="{B7154C25-D6D3-4DE4-9FAA-288300F6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67251"/>
    <w:pPr>
      <w:spacing w:before="480" w:after="240"/>
    </w:pPr>
  </w:style>
  <w:style w:type="paragraph" w:customStyle="1" w:styleId="NormalHanging12a">
    <w:name w:val="NormalHanging12a"/>
    <w:basedOn w:val="Normal"/>
    <w:rsid w:val="0096725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52FAB-7953-49E8-9EBE-7033965C6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2574</Words>
  <Characters>16627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2024-02-16T08:28:00Z</dcterms:created>
  <dcterms:modified xsi:type="dcterms:W3CDTF">2024-02-16T08:28:00Z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B9-0086/2024</vt:lpwstr>
  </property>
  <property fmtid="{D5CDD505-2E9C-101B-9397-08002B2CF9AE}" pid="4" name="&lt;Type&gt;">
    <vt:lpwstr>RR</vt:lpwstr>
  </property>
</Properties>
</file>