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7D4A" w:rsidTr="0010095E">
        <w:trPr>
          <w:trHeight w:hRule="exact" w:val="1418"/>
        </w:trPr>
        <w:tc>
          <w:tcPr>
            <w:tcW w:w="6804" w:type="dxa"/>
            <w:shd w:val="clear" w:color="auto" w:fill="auto"/>
            <w:vAlign w:val="center"/>
          </w:tcPr>
          <w:p w:rsidR="00751A4A" w:rsidRPr="000D7D4A" w:rsidRDefault="00003028" w:rsidP="0010095E">
            <w:pPr>
              <w:pStyle w:val="EPName"/>
            </w:pPr>
            <w:r w:rsidRPr="000D7D4A">
              <w:t>Ευρωπαϊκό Κοινοβούλιο</w:t>
            </w:r>
          </w:p>
          <w:p w:rsidR="00751A4A" w:rsidRPr="000D7D4A" w:rsidRDefault="00817416" w:rsidP="00756632">
            <w:pPr>
              <w:pStyle w:val="EPTerm"/>
              <w:rPr>
                <w:rStyle w:val="HideTWBExt"/>
                <w:noProof w:val="0"/>
                <w:vanish w:val="0"/>
                <w:color w:val="auto"/>
              </w:rPr>
            </w:pPr>
            <w:r w:rsidRPr="000D7D4A">
              <w:t>2019-2024</w:t>
            </w:r>
          </w:p>
        </w:tc>
        <w:tc>
          <w:tcPr>
            <w:tcW w:w="2268" w:type="dxa"/>
            <w:shd w:val="clear" w:color="auto" w:fill="auto"/>
          </w:tcPr>
          <w:p w:rsidR="00751A4A" w:rsidRPr="000D7D4A" w:rsidRDefault="00187494" w:rsidP="0010095E">
            <w:pPr>
              <w:pStyle w:val="EPLogo"/>
            </w:pPr>
            <w:r w:rsidRPr="000D7D4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7D4A" w:rsidRDefault="00D058B8" w:rsidP="004C5D52">
      <w:pPr>
        <w:pStyle w:val="LineTop"/>
      </w:pPr>
    </w:p>
    <w:p w:rsidR="00680577" w:rsidRPr="000D7D4A" w:rsidRDefault="00003028" w:rsidP="00680577">
      <w:pPr>
        <w:pStyle w:val="EPBodyTA1"/>
      </w:pPr>
      <w:r w:rsidRPr="000D7D4A">
        <w:t>ΚΕΙΜΕΝΑ ΠΟΥ ΕΓΚΡΙΘΗΚΑΝ</w:t>
      </w:r>
    </w:p>
    <w:p w:rsidR="00D058B8" w:rsidRPr="000D7D4A" w:rsidRDefault="00D058B8" w:rsidP="00D058B8">
      <w:pPr>
        <w:pStyle w:val="LineBottom"/>
      </w:pPr>
    </w:p>
    <w:p w:rsidR="00003028" w:rsidRPr="000D7D4A" w:rsidRDefault="00003028" w:rsidP="00003028">
      <w:pPr>
        <w:pStyle w:val="ATHeading1"/>
      </w:pPr>
      <w:bookmarkStart w:id="0" w:name="TANumber"/>
      <w:r w:rsidRPr="000D7D4A">
        <w:t>P9_TA(2024)00</w:t>
      </w:r>
      <w:bookmarkEnd w:id="0"/>
      <w:r w:rsidR="008157F0">
        <w:t>54</w:t>
      </w:r>
    </w:p>
    <w:p w:rsidR="00003028" w:rsidRPr="000D7D4A" w:rsidRDefault="00003028" w:rsidP="00003028">
      <w:pPr>
        <w:pStyle w:val="ATHeading2"/>
      </w:pPr>
      <w:bookmarkStart w:id="1" w:name="title"/>
      <w:r w:rsidRPr="000D7D4A">
        <w:t>Αίτημα για την άρση της ασυλίας του Ιωάννη Λαγού</w:t>
      </w:r>
      <w:bookmarkEnd w:id="1"/>
    </w:p>
    <w:p w:rsidR="00003028" w:rsidRPr="000D7D4A" w:rsidRDefault="00003028" w:rsidP="00003028">
      <w:pPr>
        <w:rPr>
          <w:i/>
          <w:vanish/>
        </w:rPr>
      </w:pPr>
      <w:r w:rsidRPr="000D7D4A">
        <w:rPr>
          <w:i/>
        </w:rPr>
        <w:fldChar w:fldCharType="begin"/>
      </w:r>
      <w:r w:rsidRPr="000D7D4A">
        <w:rPr>
          <w:i/>
        </w:rPr>
        <w:instrText xml:space="preserve"> TC"(</w:instrText>
      </w:r>
      <w:bookmarkStart w:id="2" w:name="DocNumber"/>
      <w:r w:rsidRPr="000D7D4A">
        <w:rPr>
          <w:i/>
        </w:rPr>
        <w:instrText>A9-0027/2024</w:instrText>
      </w:r>
      <w:bookmarkEnd w:id="2"/>
      <w:r w:rsidRPr="000D7D4A">
        <w:rPr>
          <w:i/>
        </w:rPr>
        <w:instrText xml:space="preserve"> - Εισηγητής: Sergey Lagodinsky)"\l3 \n&gt; \* MERGEFORMAT </w:instrText>
      </w:r>
      <w:r w:rsidRPr="000D7D4A">
        <w:rPr>
          <w:i/>
        </w:rPr>
        <w:fldChar w:fldCharType="end"/>
      </w:r>
    </w:p>
    <w:p w:rsidR="00003028" w:rsidRPr="000D7D4A" w:rsidRDefault="00003028" w:rsidP="00003028">
      <w:pPr>
        <w:rPr>
          <w:vanish/>
        </w:rPr>
      </w:pPr>
      <w:bookmarkStart w:id="3" w:name="Commission"/>
      <w:r w:rsidRPr="000D7D4A">
        <w:rPr>
          <w:vanish/>
        </w:rPr>
        <w:t>Επιτροπή Νομικών Θεμάτων</w:t>
      </w:r>
      <w:bookmarkEnd w:id="3"/>
    </w:p>
    <w:p w:rsidR="00003028" w:rsidRPr="000D7D4A" w:rsidRDefault="00003028" w:rsidP="00003028">
      <w:pPr>
        <w:rPr>
          <w:vanish/>
        </w:rPr>
      </w:pPr>
      <w:bookmarkStart w:id="4" w:name="PE"/>
      <w:r w:rsidRPr="000D7D4A">
        <w:rPr>
          <w:vanish/>
        </w:rPr>
        <w:t>PE755.043</w:t>
      </w:r>
      <w:bookmarkEnd w:id="4"/>
    </w:p>
    <w:p w:rsidR="00003028" w:rsidRPr="000D7D4A" w:rsidRDefault="00003028" w:rsidP="00003028">
      <w:pPr>
        <w:pStyle w:val="ATHeading3"/>
      </w:pPr>
      <w:bookmarkStart w:id="5" w:name="Sujet"/>
      <w:r w:rsidRPr="000D7D4A">
        <w:t xml:space="preserve">Απόφαση του Ευρωπαϊκού Κοινοβουλίου </w:t>
      </w:r>
      <w:r w:rsidR="008D11D3">
        <w:t xml:space="preserve">της 6ης Φεβρουαρίου 2024 </w:t>
      </w:r>
      <w:r w:rsidRPr="000D7D4A">
        <w:t>σχετικά με το αίτημα για την άρση της ασυλίας του Ιωάννη</w:t>
      </w:r>
      <w:bookmarkStart w:id="6" w:name="_GoBack"/>
      <w:bookmarkEnd w:id="6"/>
      <w:r w:rsidRPr="000D7D4A">
        <w:t xml:space="preserve"> Λαγού</w:t>
      </w:r>
      <w:bookmarkEnd w:id="5"/>
      <w:r w:rsidRPr="000D7D4A">
        <w:t xml:space="preserve"> </w:t>
      </w:r>
      <w:bookmarkStart w:id="7" w:name="References"/>
      <w:r w:rsidRPr="000D7D4A">
        <w:t>(2023/2092(IMM))</w:t>
      </w:r>
      <w:bookmarkEnd w:id="7"/>
    </w:p>
    <w:p w:rsidR="00EF7CD5" w:rsidRPr="000D7D4A" w:rsidRDefault="00EF7CD5" w:rsidP="00EF7CD5">
      <w:pPr>
        <w:pStyle w:val="EPComma"/>
      </w:pPr>
      <w:bookmarkStart w:id="8" w:name="TextBodyBegin"/>
      <w:bookmarkEnd w:id="8"/>
      <w:r w:rsidRPr="000D7D4A">
        <w:rPr>
          <w:i/>
          <w:iCs/>
        </w:rPr>
        <w:t>Το Ευρωπαϊκό Κοινοβούλιο</w:t>
      </w:r>
      <w:r w:rsidRPr="000D7D4A">
        <w:t>,</w:t>
      </w:r>
    </w:p>
    <w:p w:rsidR="00EF7CD5" w:rsidRPr="000D7D4A" w:rsidRDefault="00EF7CD5" w:rsidP="00EF7CD5">
      <w:pPr>
        <w:pStyle w:val="NormalHanging12a"/>
      </w:pPr>
      <w:r w:rsidRPr="000D7D4A">
        <w:t>–</w:t>
      </w:r>
      <w:r w:rsidRPr="000D7D4A">
        <w:tab/>
        <w:t>έχοντας υπόψη το αίτημα του Αντεισαγγελέα Πρωτοδικών Αθηνών για την άρση της ασυλίας του Ιωάννη Λαγού, το οποίο διαβιβάστηκε με επιστολή της 31ης Μαΐου 2023 από τον Αντεισαγγελέα του Αρείου Πάγου σε σχέση με ενδεχόμενη ποινική δίωξη (</w:t>
      </w:r>
      <w:proofErr w:type="spellStart"/>
      <w:r w:rsidRPr="000D7D4A">
        <w:t>Re</w:t>
      </w:r>
      <w:proofErr w:type="spellEnd"/>
      <w:r w:rsidRPr="000D7D4A">
        <w:t>. ABM: RB 2022/13-EG: 104-23/3), και ανακοινώθηκε στην ολομέλεια στις 14 Ιουνίου 2023,</w:t>
      </w:r>
    </w:p>
    <w:p w:rsidR="00EF7CD5" w:rsidRPr="000D7D4A" w:rsidRDefault="00EF7CD5" w:rsidP="00EF7CD5">
      <w:pPr>
        <w:pStyle w:val="NormalHanging12a"/>
      </w:pPr>
      <w:r w:rsidRPr="000D7D4A">
        <w:t>–</w:t>
      </w:r>
      <w:r w:rsidRPr="000D7D4A">
        <w:tab/>
        <w:t>έχοντας ακούσει τον Ιωάννη Λαγό, σύμφωνα με το άρθρο 9 παράγραφος 6 του Κανονισμού του,</w:t>
      </w:r>
    </w:p>
    <w:p w:rsidR="00EF7CD5" w:rsidRPr="000D7D4A" w:rsidRDefault="00EF7CD5" w:rsidP="00EF7CD5">
      <w:pPr>
        <w:pStyle w:val="NormalHanging12a"/>
      </w:pPr>
      <w:r w:rsidRPr="000D7D4A">
        <w:t>–</w:t>
      </w:r>
      <w:r w:rsidRPr="000D7D4A">
        <w:tab/>
        <w:t>έχοντας υπόψη το άρθρο 8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rsidR="00EF7CD5" w:rsidRPr="000D7D4A" w:rsidRDefault="00EF7CD5" w:rsidP="00EF7CD5">
      <w:pPr>
        <w:pStyle w:val="NormalHanging12a"/>
      </w:pPr>
      <w:r w:rsidRPr="000D7D4A">
        <w:t>–</w:t>
      </w:r>
      <w:r w:rsidRPr="000D7D4A">
        <w:tab/>
        <w:t>έχοντας υπόψη τις αποφάσεις που εξέδωσε το Δικαστήριο της Ευρωπαϊκής Ένωσης στις 21 Οκτωβρίου 2008, 19 Μαρτίου 2010, 6 Σεπτεμβρίου 2011, 17 Ιανουαρίου 2013 και 19 Δεκεμβρίου 2019</w:t>
      </w:r>
      <w:r w:rsidRPr="000D7D4A">
        <w:rPr>
          <w:rStyle w:val="FootnoteReference"/>
          <w:color w:val="000000"/>
        </w:rPr>
        <w:footnoteReference w:id="1"/>
      </w:r>
      <w:r w:rsidRPr="000D7D4A">
        <w:t>,</w:t>
      </w:r>
    </w:p>
    <w:p w:rsidR="00EF7CD5" w:rsidRPr="000D7D4A" w:rsidRDefault="00EF7CD5" w:rsidP="00EF7CD5">
      <w:pPr>
        <w:pStyle w:val="NormalHanging12a"/>
      </w:pPr>
      <w:r w:rsidRPr="000D7D4A">
        <w:t>–</w:t>
      </w:r>
      <w:r w:rsidRPr="000D7D4A">
        <w:tab/>
        <w:t>έχοντας υπόψη το άρθρο 5 παράγραφος 2, το άρθρο 6 παράγραφος 1 και το άρθρο 9 του Κανονισμού του,</w:t>
      </w:r>
    </w:p>
    <w:p w:rsidR="00EF7CD5" w:rsidRPr="000D7D4A" w:rsidRDefault="00EF7CD5" w:rsidP="00EF7CD5">
      <w:pPr>
        <w:pStyle w:val="NormalHanging12a"/>
      </w:pPr>
      <w:r w:rsidRPr="000D7D4A">
        <w:lastRenderedPageBreak/>
        <w:t>–</w:t>
      </w:r>
      <w:r w:rsidRPr="000D7D4A">
        <w:tab/>
        <w:t>έχοντας υπόψη την έκθεση της Επιτροπής Νομικών Θεμάτων (A9-0027/2024),</w:t>
      </w:r>
    </w:p>
    <w:p w:rsidR="00EF7CD5" w:rsidRPr="000D7D4A" w:rsidRDefault="00EF7CD5" w:rsidP="00EF7CD5">
      <w:pPr>
        <w:pStyle w:val="NormalHanging12a"/>
      </w:pPr>
      <w:r w:rsidRPr="000D7D4A">
        <w:t>Α.</w:t>
      </w:r>
      <w:r w:rsidRPr="000D7D4A">
        <w:tab/>
        <w:t xml:space="preserve">λαμβάνοντας υπόψη ότι ο Αντεισαγγελέας Πρωτοδικών Αθηνών έχει υποβάλει αίτημα για την άρση της ασυλίας του Ιωάννη Λαγού προκειμένου να κινηθεί ποινική διαδικασία εναντίον του για δήλωση που </w:t>
      </w:r>
      <w:proofErr w:type="spellStart"/>
      <w:r w:rsidRPr="000D7D4A">
        <w:t>ανήρτησε</w:t>
      </w:r>
      <w:proofErr w:type="spellEnd"/>
      <w:r w:rsidRPr="000D7D4A">
        <w:t xml:space="preserve"> στο διαδίκτυο·</w:t>
      </w:r>
    </w:p>
    <w:p w:rsidR="00EF7CD5" w:rsidRPr="000D7D4A" w:rsidRDefault="00EF7CD5" w:rsidP="00EF7CD5">
      <w:pPr>
        <w:pStyle w:val="NormalHanging12a"/>
      </w:pPr>
      <w:r w:rsidRPr="000D7D4A">
        <w:t>Β.</w:t>
      </w:r>
      <w:r w:rsidRPr="000D7D4A">
        <w:tab/>
        <w:t>λαμβάνοντας υπόψη ότι, την 1η Μαρτίου 2022, ο Ιωάννης Λαγός δημοσίευσε στον ιστότοπο του κόμματός του μήνυμα που εικάζεται ότι συνιστά δημόσια υποκίνηση βίας ή μίσους κατά ομάδας ατόμων που προσδιορίζονται με βάση την εθνική καταγωγή, τη θρησκεία ή τον γενετήσιο προσανατολισμό κατά παράβαση του άρθρου 1 του ελληνικού νόμου 927/1979, όπως τροποποιήθηκε με τους ελληνικούς νόμους 4285/2014 και 4491/2017·</w:t>
      </w:r>
    </w:p>
    <w:p w:rsidR="00EF7CD5" w:rsidRPr="000D7D4A" w:rsidRDefault="00EF7CD5" w:rsidP="00EF7CD5">
      <w:pPr>
        <w:pStyle w:val="NormalHanging12a"/>
      </w:pPr>
      <w:r w:rsidRPr="000D7D4A">
        <w:t>Γ.</w:t>
      </w:r>
      <w:r w:rsidRPr="000D7D4A">
        <w:tab/>
        <w:t xml:space="preserve">λαμβάνοντας υπόψη ότι, στις 2 Μαρτίου 2022, το Ελληνικό Παρατηρητήριο των Συμφωνιών του Ελσίνκι κοινοποίησε στο Πρωτοδικείο Αθηνών, για ενημέρωση και για τις αναγκαίες ενέργειες, το μήνυμα που </w:t>
      </w:r>
      <w:proofErr w:type="spellStart"/>
      <w:r w:rsidRPr="000D7D4A">
        <w:t>ανήρτησε</w:t>
      </w:r>
      <w:proofErr w:type="spellEnd"/>
      <w:r w:rsidRPr="000D7D4A">
        <w:t xml:space="preserve"> ο Ιωάννης Λαγός την προηγούμενη ημέρα·</w:t>
      </w:r>
    </w:p>
    <w:p w:rsidR="00EF7CD5" w:rsidRPr="000D7D4A" w:rsidRDefault="00EF7CD5" w:rsidP="00EF7CD5">
      <w:pPr>
        <w:pStyle w:val="NormalHanging12a"/>
      </w:pPr>
      <w:r w:rsidRPr="000D7D4A">
        <w:t>Δ.</w:t>
      </w:r>
      <w:r w:rsidRPr="000D7D4A">
        <w:tab/>
        <w:t>λαμβάνοντας υπόψη ότι, την 1η Μαρτίου 2022, ο Ιωάννης Λαγός συμμετείχε στην ψηφοφορία στην ολομέλεια του Ευρωπαϊκού Κοινοβουλίου επί της πρότασης ψηφίσματος σχετικά με τη «ρωσική επίθεση κατά της Ουκρανίας» και λαμβάνοντας υπόψη ότι, την ίδια ημέρα, μετά την ψηφοφορία, δημοσίευσε στον ιστότοπο του κόμματός του δήλωση με τίτλο «Δεν θα πουλήσω, ούτε θα προδώσω τις αρχές και τις πεποιθήσεις μου», εξηγώντας τους λόγους για την ψήφο του·</w:t>
      </w:r>
    </w:p>
    <w:p w:rsidR="00EF7CD5" w:rsidRPr="000D7D4A" w:rsidRDefault="00EF7CD5" w:rsidP="00EF7CD5">
      <w:pPr>
        <w:pStyle w:val="NormalHanging12a"/>
      </w:pPr>
      <w:r w:rsidRPr="000D7D4A">
        <w:t>Ε.</w:t>
      </w:r>
      <w:r w:rsidRPr="000D7D4A">
        <w:tab/>
        <w:t>λαμβάνοντας υπόψη ότι, με τη δήλωσή του αυτή, ο Ιωάννης Λαγός φέρεται να είναι ένοχος για δημόσια υποκίνηση βίας και μίσους κατά ομάδας ατόμων που προσδιορίζονται με βάση την εθνική καταγωγή, τη θρησκεία ή τον γενετήσιο προσανατολισμό κατά παράβαση του άρθρου 1 του ελληνικού νόμου 927/1979, όπως τροποποιήθηκε με τους ελληνικούς νόμους 4285/2014 και 4491/2017·</w:t>
      </w:r>
    </w:p>
    <w:p w:rsidR="00EF7CD5" w:rsidRPr="000D7D4A" w:rsidRDefault="00EF7CD5" w:rsidP="00EF7CD5">
      <w:pPr>
        <w:pStyle w:val="NormalHanging12a"/>
      </w:pPr>
      <w:r w:rsidRPr="000D7D4A">
        <w:t>ΣΤ.</w:t>
      </w:r>
      <w:r w:rsidRPr="000D7D4A">
        <w:tab/>
        <w:t>λαμβάνοντας υπόψη ότι η ασυλία δεν αποτελεί προσωπικό προνόμιο των βουλευτών, αλλά εγγύηση της ανεξαρτησίας του Κοινοβουλίου στο σύνολό του και των βουλευτών του·</w:t>
      </w:r>
    </w:p>
    <w:p w:rsidR="00EF7CD5" w:rsidRPr="000D7D4A" w:rsidRDefault="00EF7CD5" w:rsidP="00EF7CD5">
      <w:pPr>
        <w:pStyle w:val="NormalHanging12a"/>
      </w:pPr>
      <w:r w:rsidRPr="000D7D4A">
        <w:t>Ζ.</w:t>
      </w:r>
      <w:r w:rsidRPr="000D7D4A">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p>
    <w:p w:rsidR="00EF7CD5" w:rsidRPr="000D7D4A" w:rsidRDefault="00EF7CD5" w:rsidP="00EF7CD5">
      <w:pPr>
        <w:pStyle w:val="NormalHanging12a"/>
      </w:pPr>
      <w:r w:rsidRPr="000D7D4A">
        <w:t>Η.</w:t>
      </w:r>
      <w:r w:rsidRPr="000D7D4A">
        <w:tab/>
        <w:t>λαμβάνοντας υπόψη ότι σύμφωνα με το άρθρο 8 του Πρωτοκόλλου αριθ. 7 περί των προνομίων και ασυλιών της Ευρωπαϊκής Ένωσης «[τ]α μέλη του Ευρωπαϊκού Κοινοβουλίου δεν υπόκεινται σε έρευνα, κράτηση ή δίωξη για γνώμη ή ψήφο δοθείσα κατά την άσκηση των καθηκόντων τους»·</w:t>
      </w:r>
    </w:p>
    <w:p w:rsidR="00EF7CD5" w:rsidRPr="000D7D4A" w:rsidRDefault="00EF7CD5" w:rsidP="00EF7CD5">
      <w:pPr>
        <w:pStyle w:val="NormalHanging12a"/>
      </w:pPr>
      <w:r w:rsidRPr="000D7D4A">
        <w:t>Θ.</w:t>
      </w:r>
      <w:r w:rsidRPr="000D7D4A">
        <w:tab/>
        <w:t>λαμβάνοντας υπόψη ότι η δήλωση στην οποία προβαίνει βουλευτής εκτός του Ευρωπαϊκού Κοινοβουλίου μπορεί να συνιστά γνώμη εκφρασθείσα κατά την άσκηση των καθηκόντων του, υπό την έννοια του άρθρου 8 του Πρωτοκόλλου, εφόσον περιλαμβάνει υποκειμενική αξιολόγηση που συνδέεται άμεσα και προφανώς με την άσκηση των καθηκόντων του εν λόγω βουλευτή στο Ευρωπαϊκό Κοινοβούλιο· λαμβάνοντας υπόψη ότι το κατά πόσον αυτό ισχύει ή όχι πρέπει να καθορίζεται από τη φύση και το περιεχόμενο της δήλωσης και όχι από τον τόπο όπου έγινε η δήλωση·</w:t>
      </w:r>
    </w:p>
    <w:p w:rsidR="00EF7CD5" w:rsidRPr="000D7D4A" w:rsidRDefault="00EF7CD5" w:rsidP="00EF7CD5">
      <w:pPr>
        <w:pStyle w:val="NormalHanging12a"/>
      </w:pPr>
      <w:r w:rsidRPr="000D7D4A">
        <w:t>Ι.</w:t>
      </w:r>
      <w:r w:rsidRPr="000D7D4A">
        <w:tab/>
        <w:t xml:space="preserve">λαμβάνοντας υπόψη ότι η πολιτική συζήτηση στην οποία συμμετέχουν οι βουλευτές </w:t>
      </w:r>
      <w:r w:rsidRPr="000D7D4A">
        <w:lastRenderedPageBreak/>
        <w:t>του Ευρωπαϊκού Κοινοβουλίου, στο πλαίσιο της άσκησης της εντολής τους, πραγματοποιείται στις μέρες μας όλο και περισσότερο εκτός των χώρων του Κοινοβουλίου, μεταξύ άλλων και στο διαδίκτυο·</w:t>
      </w:r>
    </w:p>
    <w:p w:rsidR="00EF7CD5" w:rsidRPr="000D7D4A" w:rsidRDefault="00EF7CD5" w:rsidP="00EF7CD5">
      <w:pPr>
        <w:pStyle w:val="NormalHanging12a"/>
      </w:pPr>
      <w:r w:rsidRPr="000D7D4A">
        <w:t>ΙΑ.</w:t>
      </w:r>
      <w:r w:rsidRPr="000D7D4A">
        <w:tab/>
        <w:t>λαμβάνοντας υπόψη ότι, μέσα από το πρίσμα των ανωτέρω, η δήλωση του Ιωάννη Λαγού έγινε σαφώς υπό την ιδιότητά του ως βουλευτή του Ευρωπαϊκού Κοινοβουλίου και ότι μπορεί να υποτεθεί ότι υπάρχει άμεση και προφανής σχέση μεταξύ της εν λόγω δήλωσης και της κοινοβουλευτικής εντολής του Ιωάννη Λαγού·</w:t>
      </w:r>
    </w:p>
    <w:p w:rsidR="00EF7CD5" w:rsidRPr="000D7D4A" w:rsidRDefault="00EF7CD5" w:rsidP="00EF7CD5">
      <w:pPr>
        <w:pStyle w:val="NormalHanging12a"/>
      </w:pPr>
      <w:r w:rsidRPr="000D7D4A">
        <w:t>1.</w:t>
      </w:r>
      <w:r w:rsidRPr="000D7D4A">
        <w:tab/>
        <w:t>αποφασίζει να μην άρει την ασυλία του Ιωάννη Λαγού·</w:t>
      </w:r>
    </w:p>
    <w:p w:rsidR="00E365E1" w:rsidRPr="000D7D4A" w:rsidRDefault="00EF7CD5" w:rsidP="008D11D3">
      <w:pPr>
        <w:pStyle w:val="NormalHanging12a"/>
      </w:pPr>
      <w:r w:rsidRPr="000D7D4A">
        <w:t>2.</w:t>
      </w:r>
      <w:r w:rsidRPr="000D7D4A">
        <w:tab/>
        <w:t>αναθέτει στην Πρόεδρό του να διαβιβάσει αμελλητί την παρούσα απόφαση και την έκθεση της αρμόδιας επιτροπής του στην αρμόδια αρχή της Ελληνικής Δημοκρατίας και στον Ιωάννη Λαγό.</w:t>
      </w:r>
      <w:bookmarkStart w:id="9" w:name="TextBodyEnd"/>
      <w:bookmarkEnd w:id="9"/>
    </w:p>
    <w:sectPr w:rsidR="00E365E1" w:rsidRPr="000D7D4A" w:rsidSect="000D7D4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028" w:rsidRPr="000D7D4A" w:rsidRDefault="00003028">
      <w:r w:rsidRPr="000D7D4A">
        <w:separator/>
      </w:r>
    </w:p>
  </w:endnote>
  <w:endnote w:type="continuationSeparator" w:id="0">
    <w:p w:rsidR="00003028" w:rsidRPr="000D7D4A" w:rsidRDefault="00003028">
      <w:r w:rsidRPr="000D7D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028" w:rsidRPr="000D7D4A" w:rsidRDefault="00003028">
      <w:r w:rsidRPr="000D7D4A">
        <w:separator/>
      </w:r>
    </w:p>
  </w:footnote>
  <w:footnote w:type="continuationSeparator" w:id="0">
    <w:p w:rsidR="00003028" w:rsidRPr="000D7D4A" w:rsidRDefault="00003028">
      <w:r w:rsidRPr="000D7D4A">
        <w:continuationSeparator/>
      </w:r>
    </w:p>
  </w:footnote>
  <w:footnote w:id="1">
    <w:p w:rsidR="00EF7CD5" w:rsidRPr="00222E6B" w:rsidRDefault="00EF7CD5" w:rsidP="000D7D4A">
      <w:pPr>
        <w:pStyle w:val="FootnoteText"/>
        <w:ind w:left="567" w:hanging="567"/>
        <w:rPr>
          <w:sz w:val="24"/>
          <w:lang w:val="el-GR"/>
        </w:rPr>
      </w:pPr>
      <w:r w:rsidRPr="000D7D4A">
        <w:rPr>
          <w:rStyle w:val="FootnoteReference"/>
          <w:sz w:val="24"/>
          <w:lang w:val="el-GR"/>
        </w:rPr>
        <w:footnoteRef/>
      </w:r>
      <w:r w:rsidR="000D7D4A" w:rsidRPr="000D7D4A">
        <w:rPr>
          <w:sz w:val="24"/>
          <w:lang w:val="el-GR"/>
        </w:rPr>
        <w:t xml:space="preserve"> </w:t>
      </w:r>
      <w:r w:rsidR="000D7D4A" w:rsidRPr="000D7D4A">
        <w:rPr>
          <w:sz w:val="24"/>
          <w:lang w:val="el-GR"/>
        </w:rPr>
        <w:tab/>
      </w:r>
      <w:r w:rsidRPr="00222E6B">
        <w:rPr>
          <w:sz w:val="24"/>
          <w:lang w:val="el-GR"/>
        </w:rPr>
        <w:t xml:space="preserve">Απόφαση του Δικαστηρίου, της 21ης Οκτωβρίου 2008, στις </w:t>
      </w:r>
      <w:proofErr w:type="spellStart"/>
      <w:r w:rsidRPr="00222E6B">
        <w:rPr>
          <w:sz w:val="24"/>
          <w:lang w:val="el-GR"/>
        </w:rPr>
        <w:t>συνεκδικασθείσες</w:t>
      </w:r>
      <w:proofErr w:type="spellEnd"/>
      <w:r w:rsidRPr="00222E6B">
        <w:rPr>
          <w:sz w:val="24"/>
          <w:lang w:val="el-GR"/>
        </w:rPr>
        <w:t xml:space="preserve"> υποθέσεις C-200/07 και C-201/07, </w:t>
      </w:r>
      <w:proofErr w:type="spellStart"/>
      <w:r w:rsidRPr="00222E6B">
        <w:rPr>
          <w:iCs/>
          <w:sz w:val="24"/>
          <w:lang w:val="el-GR"/>
        </w:rPr>
        <w:t>Marra</w:t>
      </w:r>
      <w:proofErr w:type="spellEnd"/>
      <w:r w:rsidRPr="00222E6B">
        <w:rPr>
          <w:sz w:val="24"/>
          <w:lang w:val="el-GR"/>
        </w:rPr>
        <w:t xml:space="preserve"> κατά </w:t>
      </w:r>
      <w:r w:rsidRPr="00222E6B">
        <w:rPr>
          <w:iCs/>
          <w:sz w:val="24"/>
          <w:lang w:val="el-GR"/>
        </w:rPr>
        <w:t xml:space="preserve">De </w:t>
      </w:r>
      <w:proofErr w:type="spellStart"/>
      <w:r w:rsidRPr="00222E6B">
        <w:rPr>
          <w:iCs/>
          <w:sz w:val="24"/>
          <w:lang w:val="el-GR"/>
        </w:rPr>
        <w:t>Gregorio</w:t>
      </w:r>
      <w:proofErr w:type="spellEnd"/>
      <w:r w:rsidRPr="00222E6B">
        <w:rPr>
          <w:iCs/>
          <w:sz w:val="24"/>
          <w:lang w:val="el-GR"/>
        </w:rPr>
        <w:t xml:space="preserve"> και </w:t>
      </w:r>
      <w:proofErr w:type="spellStart"/>
      <w:r w:rsidRPr="00222E6B">
        <w:rPr>
          <w:iCs/>
          <w:sz w:val="24"/>
          <w:lang w:val="el-GR"/>
        </w:rPr>
        <w:t>Clemente</w:t>
      </w:r>
      <w:proofErr w:type="spellEnd"/>
      <w:r w:rsidRPr="00222E6B">
        <w:rPr>
          <w:sz w:val="24"/>
          <w:lang w:val="el-GR"/>
        </w:rPr>
        <w:t xml:space="preserve">, ECLI:EU:C:2008:579· απόφαση του Γενικού Δικαστηρίου, της 19ης Μαρτίου 2010, στην υπόθεση T-42/06, </w:t>
      </w:r>
      <w:proofErr w:type="spellStart"/>
      <w:r w:rsidRPr="00222E6B">
        <w:rPr>
          <w:iCs/>
          <w:sz w:val="24"/>
          <w:lang w:val="el-GR"/>
        </w:rPr>
        <w:t>Gollnisch</w:t>
      </w:r>
      <w:proofErr w:type="spellEnd"/>
      <w:r w:rsidRPr="00222E6B">
        <w:rPr>
          <w:sz w:val="24"/>
          <w:lang w:val="el-GR"/>
        </w:rPr>
        <w:t xml:space="preserve"> κατά </w:t>
      </w:r>
      <w:r w:rsidRPr="00222E6B">
        <w:rPr>
          <w:iCs/>
          <w:sz w:val="24"/>
          <w:lang w:val="el-GR"/>
        </w:rPr>
        <w:t>Κοινοβουλίου</w:t>
      </w:r>
      <w:r w:rsidRPr="00222E6B">
        <w:rPr>
          <w:sz w:val="24"/>
          <w:lang w:val="el-GR"/>
        </w:rPr>
        <w:t xml:space="preserve">, ECLI:EU:T:2010:102· απόφαση του Δικαστηρίου, της 6ης Σεπτεμβρίου 2011, στην υπόθεση C-163/163, </w:t>
      </w:r>
      <w:proofErr w:type="spellStart"/>
      <w:r w:rsidRPr="00222E6B">
        <w:rPr>
          <w:iCs/>
          <w:sz w:val="24"/>
          <w:lang w:val="el-GR"/>
        </w:rPr>
        <w:t>Patriciello</w:t>
      </w:r>
      <w:proofErr w:type="spellEnd"/>
      <w:r w:rsidRPr="00222E6B">
        <w:rPr>
          <w:sz w:val="24"/>
          <w:lang w:val="el-GR"/>
        </w:rPr>
        <w:t xml:space="preserve">, ECLI:EU:C:2011:543· απόφαση του Γενικού Δικαστηρίου, της 17ης Ιανουαρίου 2013, στις </w:t>
      </w:r>
      <w:proofErr w:type="spellStart"/>
      <w:r w:rsidRPr="00222E6B">
        <w:rPr>
          <w:sz w:val="24"/>
          <w:lang w:val="el-GR"/>
        </w:rPr>
        <w:t>συνεκδικασθείσες</w:t>
      </w:r>
      <w:proofErr w:type="spellEnd"/>
      <w:r w:rsidRPr="00222E6B">
        <w:rPr>
          <w:sz w:val="24"/>
          <w:lang w:val="el-GR"/>
        </w:rPr>
        <w:t xml:space="preserve"> υποθέσεις T-346/11 και T-347/11, </w:t>
      </w:r>
      <w:proofErr w:type="spellStart"/>
      <w:r w:rsidRPr="00222E6B">
        <w:rPr>
          <w:iCs/>
          <w:sz w:val="24"/>
          <w:lang w:val="el-GR"/>
        </w:rPr>
        <w:t>Gollnisch</w:t>
      </w:r>
      <w:proofErr w:type="spellEnd"/>
      <w:r w:rsidRPr="00222E6B">
        <w:rPr>
          <w:sz w:val="24"/>
          <w:lang w:val="el-GR"/>
        </w:rPr>
        <w:t xml:space="preserve"> κατά </w:t>
      </w:r>
      <w:r w:rsidRPr="00222E6B">
        <w:rPr>
          <w:iCs/>
          <w:sz w:val="24"/>
          <w:lang w:val="el-GR"/>
        </w:rPr>
        <w:t>Κοινοβουλίου</w:t>
      </w:r>
      <w:r w:rsidRPr="00222E6B">
        <w:rPr>
          <w:sz w:val="24"/>
          <w:lang w:val="el-GR"/>
        </w:rPr>
        <w:t xml:space="preserve">, ECLI:EU:T:2013:23· απόφαση του Δικαστηρίου, της 19ης Δεκεμβρίου 2019, στην υπόθεση </w:t>
      </w:r>
      <w:proofErr w:type="spellStart"/>
      <w:r w:rsidRPr="00222E6B">
        <w:rPr>
          <w:iCs/>
          <w:sz w:val="24"/>
          <w:lang w:val="el-GR"/>
        </w:rPr>
        <w:t>Junqueras</w:t>
      </w:r>
      <w:proofErr w:type="spellEnd"/>
      <w:r w:rsidRPr="00222E6B">
        <w:rPr>
          <w:iCs/>
          <w:sz w:val="24"/>
          <w:lang w:val="el-GR"/>
        </w:rPr>
        <w:t xml:space="preserve"> </w:t>
      </w:r>
      <w:proofErr w:type="spellStart"/>
      <w:r w:rsidRPr="00222E6B">
        <w:rPr>
          <w:iCs/>
          <w:sz w:val="24"/>
          <w:lang w:val="el-GR"/>
        </w:rPr>
        <w:t>Vies</w:t>
      </w:r>
      <w:proofErr w:type="spellEnd"/>
      <w:r w:rsidRPr="00222E6B">
        <w:rPr>
          <w:sz w:val="24"/>
          <w:lang w:val="el-GR"/>
        </w:rPr>
        <w:t>, C-502/19, ECLI:EU:C:2019:1115.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7/2024"/>
    <w:docVar w:name="dvlangue" w:val="EL"/>
    <w:docVar w:name="dvnumam" w:val="0"/>
    <w:docVar w:name="dvpe" w:val="755.043"/>
    <w:docVar w:name="dvrapporteur" w:val="Εισηγητής: "/>
    <w:docVar w:name="dvtitre" w:val="Απόφαση του Ευρωπαϊκού Κοινοβουλίου σχετικά με το αίτημα για την άρση της ασυλίας του Ιωάννη Λαγού(2023/2092(IMM))"/>
  </w:docVars>
  <w:rsids>
    <w:rsidRoot w:val="00003028"/>
    <w:rsid w:val="00002272"/>
    <w:rsid w:val="00003028"/>
    <w:rsid w:val="00064002"/>
    <w:rsid w:val="000677B9"/>
    <w:rsid w:val="000831BA"/>
    <w:rsid w:val="000A42CC"/>
    <w:rsid w:val="000D7D4A"/>
    <w:rsid w:val="000E7DD9"/>
    <w:rsid w:val="0010095E"/>
    <w:rsid w:val="00125B37"/>
    <w:rsid w:val="00187494"/>
    <w:rsid w:val="001F32AE"/>
    <w:rsid w:val="00222E6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73A3"/>
    <w:rsid w:val="006F74FA"/>
    <w:rsid w:val="00731ADD"/>
    <w:rsid w:val="00734777"/>
    <w:rsid w:val="00747932"/>
    <w:rsid w:val="00751A4A"/>
    <w:rsid w:val="00756632"/>
    <w:rsid w:val="00762C74"/>
    <w:rsid w:val="00786EC0"/>
    <w:rsid w:val="007D1690"/>
    <w:rsid w:val="007E22AD"/>
    <w:rsid w:val="008157F0"/>
    <w:rsid w:val="00817416"/>
    <w:rsid w:val="00842779"/>
    <w:rsid w:val="00865F67"/>
    <w:rsid w:val="00881A7B"/>
    <w:rsid w:val="008840E5"/>
    <w:rsid w:val="00887B3E"/>
    <w:rsid w:val="008C2AC6"/>
    <w:rsid w:val="008D11D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3846"/>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7CD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2D7BBD"/>
  <w15:chartTrackingRefBased/>
  <w15:docId w15:val="{6AD3E441-0F19-4620-9A52-7B71F745F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F7CD5"/>
    <w:pPr>
      <w:spacing w:after="240"/>
      <w:ind w:left="567" w:hanging="567"/>
    </w:pPr>
  </w:style>
  <w:style w:type="paragraph" w:customStyle="1" w:styleId="EPComma">
    <w:name w:val="EPComma"/>
    <w:basedOn w:val="Normal"/>
    <w:rsid w:val="00EF7CD5"/>
    <w:pPr>
      <w:spacing w:before="480" w:after="240"/>
    </w:pPr>
  </w:style>
  <w:style w:type="paragraph" w:styleId="Header">
    <w:name w:val="header"/>
    <w:basedOn w:val="Normal"/>
    <w:link w:val="HeaderChar"/>
    <w:rsid w:val="008D11D3"/>
    <w:pPr>
      <w:tabs>
        <w:tab w:val="center" w:pos="4513"/>
        <w:tab w:val="right" w:pos="9026"/>
      </w:tabs>
    </w:pPr>
  </w:style>
  <w:style w:type="character" w:customStyle="1" w:styleId="HeaderChar">
    <w:name w:val="Header Char"/>
    <w:basedOn w:val="DefaultParagraphFont"/>
    <w:link w:val="Header"/>
    <w:rsid w:val="008D11D3"/>
    <w:rPr>
      <w:sz w:val="24"/>
      <w:lang w:val="el-GR"/>
    </w:rPr>
  </w:style>
  <w:style w:type="paragraph" w:styleId="BalloonText">
    <w:name w:val="Balloon Text"/>
    <w:basedOn w:val="Normal"/>
    <w:link w:val="BalloonTextChar"/>
    <w:rsid w:val="006A73A3"/>
    <w:rPr>
      <w:rFonts w:ascii="Segoe UI" w:hAnsi="Segoe UI" w:cs="Segoe UI"/>
      <w:sz w:val="18"/>
      <w:szCs w:val="18"/>
    </w:rPr>
  </w:style>
  <w:style w:type="character" w:customStyle="1" w:styleId="BalloonTextChar">
    <w:name w:val="Balloon Text Char"/>
    <w:basedOn w:val="DefaultParagraphFont"/>
    <w:link w:val="BalloonText"/>
    <w:rsid w:val="006A73A3"/>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212E0-7F96-41B6-9305-C8C2732E4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763</Words>
  <Characters>4306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2024-02-06T12:07:00Z</dcterms:created>
  <dcterms:modified xsi:type="dcterms:W3CDTF">2024-02-06T12:07:00Z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A9-0027/2024</vt:lpwstr>
  </property>
  <property fmtid="{D5CDD505-2E9C-101B-9397-08002B2CF9AE}" pid="4" name="&lt;Type&gt;">
    <vt:lpwstr>RR</vt:lpwstr>
  </property>
</Properties>
</file>