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7230" w:rsidTr="0010095E">
        <w:trPr>
          <w:trHeight w:hRule="exact" w:val="1418"/>
        </w:trPr>
        <w:tc>
          <w:tcPr>
            <w:tcW w:w="6804" w:type="dxa"/>
            <w:shd w:val="clear" w:color="auto" w:fill="auto"/>
            <w:vAlign w:val="center"/>
          </w:tcPr>
          <w:p w:rsidR="00751A4A" w:rsidRPr="00637230" w:rsidRDefault="00732DE6" w:rsidP="0010095E">
            <w:pPr>
              <w:pStyle w:val="EPName"/>
            </w:pPr>
            <w:bookmarkStart w:id="0" w:name="_GoBack"/>
            <w:bookmarkEnd w:id="0"/>
            <w:r w:rsidRPr="00637230">
              <w:t>Eiropas Parlaments</w:t>
            </w:r>
          </w:p>
          <w:p w:rsidR="00751A4A" w:rsidRPr="00637230" w:rsidRDefault="00817416" w:rsidP="00756632">
            <w:pPr>
              <w:pStyle w:val="EPTerm"/>
              <w:rPr>
                <w:rStyle w:val="HideTWBExt"/>
                <w:noProof w:val="0"/>
                <w:vanish w:val="0"/>
                <w:color w:val="auto"/>
              </w:rPr>
            </w:pPr>
            <w:r w:rsidRPr="00637230">
              <w:t>2019-2024</w:t>
            </w:r>
          </w:p>
        </w:tc>
        <w:tc>
          <w:tcPr>
            <w:tcW w:w="2268" w:type="dxa"/>
            <w:shd w:val="clear" w:color="auto" w:fill="auto"/>
          </w:tcPr>
          <w:p w:rsidR="00751A4A" w:rsidRPr="00637230" w:rsidRDefault="00187494" w:rsidP="0010095E">
            <w:pPr>
              <w:pStyle w:val="EPLogo"/>
            </w:pPr>
            <w:r w:rsidRPr="006372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7230" w:rsidRDefault="00D058B8" w:rsidP="004C5D52">
      <w:pPr>
        <w:pStyle w:val="LineTop"/>
      </w:pPr>
    </w:p>
    <w:p w:rsidR="00680577" w:rsidRPr="00637230" w:rsidRDefault="00732DE6" w:rsidP="00680577">
      <w:pPr>
        <w:pStyle w:val="EPBodyTA1"/>
      </w:pPr>
      <w:r w:rsidRPr="00637230">
        <w:t>PIEŅEMTIE TEKSTI</w:t>
      </w:r>
    </w:p>
    <w:p w:rsidR="00D058B8" w:rsidRPr="00637230" w:rsidRDefault="00D058B8" w:rsidP="00D058B8">
      <w:pPr>
        <w:pStyle w:val="LineBottom"/>
      </w:pPr>
    </w:p>
    <w:p w:rsidR="00732DE6" w:rsidRPr="00637230" w:rsidRDefault="00732DE6" w:rsidP="00732DE6">
      <w:pPr>
        <w:pStyle w:val="ATHeading1"/>
      </w:pPr>
      <w:bookmarkStart w:id="1" w:name="TANumber"/>
      <w:r w:rsidRPr="00637230">
        <w:t>P9_TA(2024)00</w:t>
      </w:r>
      <w:bookmarkEnd w:id="1"/>
      <w:r w:rsidR="00637230" w:rsidRPr="00637230">
        <w:t>54</w:t>
      </w:r>
    </w:p>
    <w:p w:rsidR="00732DE6" w:rsidRPr="00637230" w:rsidRDefault="005228AE" w:rsidP="00732DE6">
      <w:pPr>
        <w:pStyle w:val="ATHeading2"/>
      </w:pPr>
      <w:r w:rsidRPr="00637230">
        <w:t xml:space="preserve">Pieprasījums atcelt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imunitāti</w:t>
      </w:r>
    </w:p>
    <w:p w:rsidR="00732DE6" w:rsidRPr="00637230" w:rsidRDefault="00732DE6" w:rsidP="00732DE6">
      <w:pPr>
        <w:rPr>
          <w:i/>
          <w:vanish/>
        </w:rPr>
      </w:pPr>
      <w:r w:rsidRPr="00637230">
        <w:rPr>
          <w:i/>
        </w:rPr>
        <w:fldChar w:fldCharType="begin"/>
      </w:r>
      <w:r w:rsidRPr="00637230">
        <w:rPr>
          <w:i/>
        </w:rPr>
        <w:instrText xml:space="preserve"> TC"(</w:instrText>
      </w:r>
      <w:bookmarkStart w:id="2" w:name="DocNumber"/>
      <w:r w:rsidRPr="00637230">
        <w:rPr>
          <w:i/>
        </w:rPr>
        <w:instrText>A9-0027/2024</w:instrText>
      </w:r>
      <w:bookmarkEnd w:id="2"/>
      <w:r w:rsidRPr="00637230">
        <w:rPr>
          <w:i/>
        </w:rPr>
        <w:instrText xml:space="preserve"> - Referents: </w:instrText>
      </w:r>
      <w:proofErr w:type="spellStart"/>
      <w:r w:rsidRPr="00637230">
        <w:rPr>
          <w:i/>
        </w:rPr>
        <w:instrText>Sergey</w:instrText>
      </w:r>
      <w:proofErr w:type="spellEnd"/>
      <w:r w:rsidRPr="00637230">
        <w:rPr>
          <w:i/>
        </w:rPr>
        <w:instrText xml:space="preserve"> </w:instrText>
      </w:r>
      <w:proofErr w:type="spellStart"/>
      <w:r w:rsidRPr="00637230">
        <w:rPr>
          <w:i/>
        </w:rPr>
        <w:instrText>Lagodinsky</w:instrText>
      </w:r>
      <w:proofErr w:type="spellEnd"/>
      <w:r w:rsidRPr="00637230">
        <w:rPr>
          <w:i/>
        </w:rPr>
        <w:instrText xml:space="preserve">)"\l3 \n&gt; \* MERGEFORMAT </w:instrText>
      </w:r>
      <w:r w:rsidRPr="00637230">
        <w:rPr>
          <w:i/>
        </w:rPr>
        <w:fldChar w:fldCharType="end"/>
      </w:r>
    </w:p>
    <w:p w:rsidR="00732DE6" w:rsidRPr="00637230" w:rsidRDefault="00732DE6" w:rsidP="00732DE6">
      <w:pPr>
        <w:rPr>
          <w:vanish/>
        </w:rPr>
      </w:pPr>
      <w:bookmarkStart w:id="3" w:name="Commission"/>
      <w:r w:rsidRPr="00637230">
        <w:rPr>
          <w:vanish/>
        </w:rPr>
        <w:t>Juridiskā komiteja</w:t>
      </w:r>
      <w:bookmarkEnd w:id="3"/>
    </w:p>
    <w:p w:rsidR="00732DE6" w:rsidRPr="00637230" w:rsidRDefault="00732DE6" w:rsidP="00732DE6">
      <w:pPr>
        <w:rPr>
          <w:vanish/>
        </w:rPr>
      </w:pPr>
      <w:bookmarkStart w:id="4" w:name="PE"/>
      <w:r w:rsidRPr="00637230">
        <w:rPr>
          <w:vanish/>
        </w:rPr>
        <w:t>PE755.043</w:t>
      </w:r>
      <w:bookmarkEnd w:id="4"/>
    </w:p>
    <w:p w:rsidR="00826642" w:rsidRPr="00637230" w:rsidRDefault="00732DE6" w:rsidP="005228AE">
      <w:pPr>
        <w:pStyle w:val="ATHeading3"/>
      </w:pPr>
      <w:bookmarkStart w:id="5" w:name="Sujet"/>
      <w:r w:rsidRPr="00637230">
        <w:t xml:space="preserve">Eiropas Parlamenta 2024. gada </w:t>
      </w:r>
      <w:r w:rsidR="005228AE" w:rsidRPr="00637230">
        <w:t>6</w:t>
      </w:r>
      <w:r w:rsidRPr="00637230">
        <w:t xml:space="preserve">. </w:t>
      </w:r>
      <w:r w:rsidR="005228AE" w:rsidRPr="00637230">
        <w:t>februāra</w:t>
      </w:r>
      <w:r w:rsidRPr="00637230">
        <w:t xml:space="preserve"> lēmums par pieprasījumu atcelt</w:t>
      </w:r>
      <w:r w:rsidRPr="00637230">
        <w:rPr>
          <w:i/>
        </w:rPr>
        <w:t xml:space="preserve">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imunitāti</w:t>
      </w:r>
      <w:bookmarkEnd w:id="5"/>
      <w:r w:rsidRPr="00637230">
        <w:t xml:space="preserve"> </w:t>
      </w:r>
      <w:bookmarkStart w:id="6" w:name="References"/>
      <w:r w:rsidRPr="00637230">
        <w:t>(2023/2092(IMM))</w:t>
      </w:r>
      <w:bookmarkStart w:id="7" w:name="TextBodyBegin"/>
      <w:bookmarkEnd w:id="6"/>
      <w:bookmarkEnd w:id="7"/>
    </w:p>
    <w:p w:rsidR="00826642" w:rsidRPr="00637230" w:rsidRDefault="00826642" w:rsidP="00826642">
      <w:pPr>
        <w:pStyle w:val="EPComma"/>
        <w:rPr>
          <w:i/>
        </w:rPr>
      </w:pPr>
      <w:r w:rsidRPr="00637230">
        <w:rPr>
          <w:i/>
        </w:rPr>
        <w:t>Eiropas Parlaments,</w:t>
      </w:r>
    </w:p>
    <w:p w:rsidR="00826642" w:rsidRPr="00637230" w:rsidRDefault="00826642" w:rsidP="00826642">
      <w:pPr>
        <w:pStyle w:val="NormalHanging12a"/>
      </w:pPr>
      <w:r w:rsidRPr="00637230">
        <w:t>–</w:t>
      </w:r>
      <w:r w:rsidRPr="00637230">
        <w:tab/>
        <w:t xml:space="preserve">ņemot vērā Atēnu pirmās instances tiesas prokurora vietnieka pieprasījumu atcelt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imunitāti, kas nosūtīts ar Grieķijas Augstākās tiesas prokurora vietnieka 2023. gada 31. maija vēstuli saistībā ar iespējamu kriminālvajāšanu (Re. ABM: RB 2022/13-EG: 104-23/3) un paziņots plenārsēdē 2023. gada 14. jūnijā,</w:t>
      </w:r>
    </w:p>
    <w:p w:rsidR="00826642" w:rsidRPr="00637230" w:rsidRDefault="00826642" w:rsidP="00826642">
      <w:pPr>
        <w:pStyle w:val="NormalHanging12a"/>
      </w:pPr>
      <w:r w:rsidRPr="00637230">
        <w:t>–</w:t>
      </w:r>
      <w:r w:rsidRPr="00637230">
        <w:tab/>
        <w:t xml:space="preserve">pēc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uzklausīšanas saskaņā ar Reglamenta 9. panta 6. punktu,</w:t>
      </w:r>
    </w:p>
    <w:p w:rsidR="00826642" w:rsidRPr="00637230" w:rsidRDefault="00826642" w:rsidP="00826642">
      <w:pPr>
        <w:pStyle w:val="NormalHanging12a"/>
      </w:pPr>
      <w:r w:rsidRPr="00637230">
        <w:t>–</w:t>
      </w:r>
      <w:r w:rsidRPr="00637230">
        <w:tab/>
        <w:t>ņemot vērā 7. protokola par privilēģijām un imunitāti Eiropas Savienībā 8. pantu, kā arī 1976. gada 20. septembra Akta par Eiropas Parlamenta deputātu ievēlēšanu tiešās vispārējās vēlēšanās 6. panta 2. punktu,</w:t>
      </w:r>
    </w:p>
    <w:p w:rsidR="00826642" w:rsidRPr="00637230" w:rsidRDefault="00826642" w:rsidP="00826642">
      <w:pPr>
        <w:pStyle w:val="NormalHanging12a"/>
      </w:pPr>
      <w:r w:rsidRPr="00637230">
        <w:t>–</w:t>
      </w:r>
      <w:r w:rsidRPr="00637230">
        <w:tab/>
        <w:t>ņemot vērā Eiropas Savienības Tiesas 2008. gada 21. oktobra, 2010. gada 19. marta, 2011. gada 6. septembra, 2013. gada 17. janvāra un 2019. gada 19. decembra spriedumu</w:t>
      </w:r>
      <w:r w:rsidRPr="00637230">
        <w:rPr>
          <w:rStyle w:val="FootnoteReference"/>
          <w:color w:val="000000"/>
        </w:rPr>
        <w:footnoteReference w:id="1"/>
      </w:r>
      <w:r w:rsidRPr="00637230">
        <w:t>,</w:t>
      </w:r>
    </w:p>
    <w:p w:rsidR="00826642" w:rsidRPr="00637230" w:rsidRDefault="00826642" w:rsidP="00826642">
      <w:pPr>
        <w:pStyle w:val="NormalHanging12a"/>
      </w:pPr>
      <w:r w:rsidRPr="00637230">
        <w:t>–</w:t>
      </w:r>
      <w:r w:rsidRPr="00637230">
        <w:tab/>
        <w:t>ņemot vērā Reglamenta 5. panta 2. punktu, 6. panta 1. punktu un 9. pantu,</w:t>
      </w:r>
    </w:p>
    <w:p w:rsidR="00826642" w:rsidRPr="00637230" w:rsidRDefault="00826642" w:rsidP="00826642">
      <w:pPr>
        <w:pStyle w:val="NormalHanging12a"/>
      </w:pPr>
      <w:r w:rsidRPr="00637230">
        <w:t>–</w:t>
      </w:r>
      <w:r w:rsidRPr="00637230">
        <w:tab/>
        <w:t>ņemot vērā Juridiskās komitejas ziņojumu (A9</w:t>
      </w:r>
      <w:r w:rsidRPr="00637230">
        <w:noBreakHyphen/>
        <w:t>0027/2024),</w:t>
      </w:r>
    </w:p>
    <w:p w:rsidR="00826642" w:rsidRPr="00637230" w:rsidRDefault="00826642" w:rsidP="00826642">
      <w:pPr>
        <w:pStyle w:val="NormalHanging12a"/>
      </w:pPr>
      <w:r w:rsidRPr="00637230">
        <w:t>A.</w:t>
      </w:r>
      <w:r w:rsidRPr="00637230">
        <w:tab/>
        <w:t xml:space="preserve">tā kā Atēnu Pirmās instances tiesas prokurora vietnieks ir iesniedzis pieprasījumu atcelt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parlamentāro imunitāti, lai uzsāktu kriminālprocesu pret viņu, </w:t>
      </w:r>
      <w:r w:rsidRPr="00637230">
        <w:lastRenderedPageBreak/>
        <w:t>pamatojoties uz paziņojumu, ko viņš ievietojis internetā;</w:t>
      </w:r>
    </w:p>
    <w:p w:rsidR="00826642" w:rsidRPr="00637230" w:rsidRDefault="00826642" w:rsidP="00826642">
      <w:pPr>
        <w:pStyle w:val="NormalHanging12a"/>
      </w:pPr>
      <w:r w:rsidRPr="00637230">
        <w:t>B.</w:t>
      </w:r>
      <w:r w:rsidRPr="00637230">
        <w:tab/>
        <w:t xml:space="preserve">tā kā 2022. gada 1. martā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publicēja vēstījumu savas partijas tīmekļa vietnē, kas, iespējams, ir publiska kūdīšana uz vardarbību vai naidu pret personu grupu, kas identificēta, pamatojoties uz nacionālo izcelsmi, reliģiju vai seksuālo orientāciju, pārkāpjot 1. pantu Grieķijas Likumā Nr. 927/1979, kas grozīts ar Grieķijas Likumu Nr. 4285/2014 un Nr. 4491/2017;</w:t>
      </w:r>
    </w:p>
    <w:p w:rsidR="00826642" w:rsidRPr="00637230" w:rsidRDefault="00826642" w:rsidP="00826642">
      <w:pPr>
        <w:pStyle w:val="NormalHanging12a"/>
      </w:pPr>
      <w:r w:rsidRPr="00637230">
        <w:t>C.</w:t>
      </w:r>
      <w:r w:rsidRPr="00637230">
        <w:tab/>
        <w:t xml:space="preserve">tā kā 2022. gada 2. martā Grieķijas Helsinku vienošanās novērošanas centrs informācijas un nepieciešamās rīcības nolūkā paziņoja Atēnu Pirmās instances tiesai par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iepriekšējā dienā publicēto vēstījumu;</w:t>
      </w:r>
    </w:p>
    <w:p w:rsidR="00826642" w:rsidRPr="00637230" w:rsidRDefault="00826642" w:rsidP="00826642">
      <w:pPr>
        <w:pStyle w:val="NormalHanging12a"/>
      </w:pPr>
      <w:r w:rsidRPr="00637230">
        <w:t>D.</w:t>
      </w:r>
      <w:r w:rsidRPr="00637230">
        <w:tab/>
        <w:t xml:space="preserve">tā kā 2022. gada 1. martā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piedalījās Eiropas Parlamenta plenārsēdes balsojumā par rezolūcijas priekšlikumu „Krievijas agresija pret Ukrainu” un tā kā tajā pašā dienā pēc balsojuma viņš savas partijas tīmekļa vietnē publicēja paziņojumu „Es nenodošu savus principus un uzskatus un neatteikšos no tiem”, paskaidrojot sava balsojuma iemeslus;</w:t>
      </w:r>
    </w:p>
    <w:p w:rsidR="00826642" w:rsidRPr="00637230" w:rsidRDefault="00826642" w:rsidP="00826642">
      <w:pPr>
        <w:pStyle w:val="NormalHanging12a"/>
      </w:pPr>
      <w:r w:rsidRPr="00637230">
        <w:t>E.</w:t>
      </w:r>
      <w:r w:rsidRPr="00637230">
        <w:tab/>
        <w:t xml:space="preserve">tā kā saistībā ar šo veikto paziņojumu pastāv aizdomas, ka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ir publiski kūdījis uz vardarbību vai naidu pret personu grupu, kas identificēta, pamatojoties uz nacionālo izcelsmi, reliģiju vai seksuālo orientāciju, pārkāpjot 1. pantu Grieķijas Likumā Nr. 927/1979, kas grozīts ar Grieķijas Likumu Nr. 4285/2014 un Nr. 4491/2017;</w:t>
      </w:r>
    </w:p>
    <w:p w:rsidR="00826642" w:rsidRPr="00637230" w:rsidRDefault="00826642" w:rsidP="00826642">
      <w:pPr>
        <w:pStyle w:val="NormalHanging12a"/>
      </w:pPr>
      <w:r w:rsidRPr="00637230">
        <w:t>F.</w:t>
      </w:r>
      <w:r w:rsidRPr="00637230">
        <w:tab/>
        <w:t>tā kā deputāta imunitāte nav viņa personīgā privilēģija, bet gan visa Parlamenta un tā deputātu neatkarības garantija;</w:t>
      </w:r>
    </w:p>
    <w:p w:rsidR="00826642" w:rsidRPr="00637230" w:rsidRDefault="00826642" w:rsidP="00826642">
      <w:pPr>
        <w:pStyle w:val="NormalHanging12a"/>
      </w:pPr>
      <w:r w:rsidRPr="00637230">
        <w:t>G.</w:t>
      </w:r>
      <w:r w:rsidRPr="00637230">
        <w:tab/>
        <w:t>tā kā, no vienas puses, Parlaments nevar uzņemties tiesas spriešanas funkcijas un, no otras puses, attiecīgais deputāts imunitātes atcelšanas procedūras kontekstā nevar tikt uzskatīts par „apsūdzēto”;</w:t>
      </w:r>
    </w:p>
    <w:p w:rsidR="00826642" w:rsidRPr="00637230" w:rsidRDefault="00826642" w:rsidP="00826642">
      <w:pPr>
        <w:pStyle w:val="NormalHanging12a"/>
      </w:pPr>
      <w:r w:rsidRPr="00637230">
        <w:t>H.</w:t>
      </w:r>
      <w:r w:rsidRPr="00637230">
        <w:tab/>
        <w:t>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w:t>
      </w:r>
    </w:p>
    <w:p w:rsidR="00826642" w:rsidRPr="00637230" w:rsidRDefault="00826642" w:rsidP="00826642">
      <w:pPr>
        <w:pStyle w:val="NormalHanging12a"/>
      </w:pPr>
      <w:r w:rsidRPr="00637230">
        <w:t>I.</w:t>
      </w:r>
      <w:r w:rsidRPr="00637230">
        <w:tab/>
        <w:t>tā kā izteikums, ko kāds deputāts izdara ārpus Eiropas Parlamenta, var būt uzskatāms par viedokli, kas ir pausts, pildot savus pienākumus šā Protokola 8. panta nozīmē, ja tajā ir ietverts subjektīvs novērtējums, kam ir tieša un acīmredzama saikne ar attiecīgā deputāta pienākumu pildīšanu Eiropas Parlamentā; tā kā tādēļ tas, vai minētie izteikumi ir uzskatāmi par viedokli vai ne, ir jānoskaidro, ņemot vērā attiecīgā izteikuma būtību un saturu, nevis vietu, kurā tas ir bijis sniegts;</w:t>
      </w:r>
    </w:p>
    <w:p w:rsidR="00826642" w:rsidRPr="00637230" w:rsidRDefault="00826642" w:rsidP="00826642">
      <w:pPr>
        <w:pStyle w:val="NormalHanging12a"/>
      </w:pPr>
      <w:r w:rsidRPr="00637230">
        <w:t>J.</w:t>
      </w:r>
      <w:r w:rsidRPr="00637230">
        <w:tab/>
        <w:t>tā kā mūsdienās politiskās debates, kurās Eiropas Parlamenta deputāti piedalās, īstenojot savas pilnvaras, arvien biežāk notiek arī ārpus Parlamenta telpām, tostarp internetā;</w:t>
      </w:r>
    </w:p>
    <w:p w:rsidR="00826642" w:rsidRPr="00637230" w:rsidRDefault="00826642" w:rsidP="00826642">
      <w:pPr>
        <w:pStyle w:val="NormalHanging12a"/>
      </w:pPr>
      <w:r w:rsidRPr="00637230">
        <w:t>K.</w:t>
      </w:r>
      <w:r w:rsidRPr="00637230">
        <w:tab/>
        <w:t xml:space="preserve">tā kā, ņemot vērā iepriekš minēto,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publicēto paziņojumu nepārprotami paudis kā Eiropas Parlamenta deputāts un tā kā var uzskatīt, ka pastāv tieša un acīmredzama saikne starp apsveramo paziņojumu un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parlamentāro mandātu,</w:t>
      </w:r>
    </w:p>
    <w:p w:rsidR="00826642" w:rsidRPr="00637230" w:rsidRDefault="00826642" w:rsidP="00826642">
      <w:pPr>
        <w:pStyle w:val="NormalHanging12a"/>
      </w:pPr>
      <w:r w:rsidRPr="00637230">
        <w:t>1.</w:t>
      </w:r>
      <w:r w:rsidRPr="00637230">
        <w:tab/>
        <w:t xml:space="preserve">nolemj neatcelt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 xml:space="preserve"> imunitāti;</w:t>
      </w:r>
    </w:p>
    <w:p w:rsidR="00826642" w:rsidRPr="00637230" w:rsidRDefault="00826642" w:rsidP="005228AE">
      <w:pPr>
        <w:pStyle w:val="NormalHanging12a"/>
      </w:pPr>
      <w:r w:rsidRPr="00637230">
        <w:lastRenderedPageBreak/>
        <w:t>2.</w:t>
      </w:r>
      <w:r w:rsidRPr="00637230">
        <w:tab/>
        <w:t xml:space="preserve">uzdod priekšsēdētājai šo lēmumu un atbildīgās komitejas ziņojumu nekavējoties nosūtīt Grieķijas Republikas kompetentajai iestādei un </w:t>
      </w:r>
      <w:proofErr w:type="spellStart"/>
      <w:r w:rsidRPr="00637230">
        <w:rPr>
          <w:i/>
        </w:rPr>
        <w:t>Ioannis</w:t>
      </w:r>
      <w:proofErr w:type="spellEnd"/>
      <w:r w:rsidRPr="00637230">
        <w:rPr>
          <w:i/>
        </w:rPr>
        <w:t xml:space="preserve"> </w:t>
      </w:r>
      <w:proofErr w:type="spellStart"/>
      <w:r w:rsidRPr="00637230">
        <w:rPr>
          <w:i/>
        </w:rPr>
        <w:t>Lagos</w:t>
      </w:r>
      <w:proofErr w:type="spellEnd"/>
      <w:r w:rsidRPr="00637230">
        <w:t>.</w:t>
      </w:r>
    </w:p>
    <w:p w:rsidR="005228AE" w:rsidRPr="00637230" w:rsidRDefault="005228AE" w:rsidP="00826642"/>
    <w:p w:rsidR="00E365E1" w:rsidRPr="00637230" w:rsidRDefault="00E365E1" w:rsidP="00732DE6"/>
    <w:sectPr w:rsidR="00E365E1" w:rsidRPr="00637230" w:rsidSect="00E21D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DE6" w:rsidRPr="00E21DD9" w:rsidRDefault="00732DE6">
      <w:r w:rsidRPr="00E21DD9">
        <w:separator/>
      </w:r>
    </w:p>
  </w:endnote>
  <w:endnote w:type="continuationSeparator" w:id="0">
    <w:p w:rsidR="00732DE6" w:rsidRPr="00E21DD9" w:rsidRDefault="00732DE6">
      <w:r w:rsidRPr="00E21D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DE6" w:rsidRPr="00E21DD9" w:rsidRDefault="00732DE6">
      <w:r w:rsidRPr="00E21DD9">
        <w:separator/>
      </w:r>
    </w:p>
  </w:footnote>
  <w:footnote w:type="continuationSeparator" w:id="0">
    <w:p w:rsidR="00732DE6" w:rsidRPr="00E21DD9" w:rsidRDefault="00732DE6">
      <w:r w:rsidRPr="00E21DD9">
        <w:continuationSeparator/>
      </w:r>
    </w:p>
  </w:footnote>
  <w:footnote w:id="1">
    <w:p w:rsidR="00826642" w:rsidRPr="00E21DD9" w:rsidRDefault="00826642" w:rsidP="00E21DD9">
      <w:pPr>
        <w:pStyle w:val="FootnoteText"/>
        <w:ind w:left="567" w:hanging="567"/>
        <w:rPr>
          <w:sz w:val="24"/>
          <w:lang w:val="lv-LV"/>
        </w:rPr>
      </w:pPr>
      <w:r w:rsidRPr="00E21DD9">
        <w:rPr>
          <w:rStyle w:val="FootnoteReference"/>
          <w:sz w:val="24"/>
          <w:lang w:val="lv-LV"/>
        </w:rPr>
        <w:footnoteRef/>
      </w:r>
      <w:r w:rsidR="00E21DD9" w:rsidRPr="00E21DD9">
        <w:rPr>
          <w:sz w:val="24"/>
          <w:lang w:val="lv-LV"/>
        </w:rPr>
        <w:t xml:space="preserve"> </w:t>
      </w:r>
      <w:r w:rsidR="00E21DD9" w:rsidRPr="00E21DD9">
        <w:rPr>
          <w:sz w:val="24"/>
          <w:lang w:val="lv-LV"/>
        </w:rPr>
        <w:tab/>
      </w:r>
      <w:r w:rsidRPr="00E21DD9">
        <w:rPr>
          <w:sz w:val="24"/>
          <w:lang w:val="lv-LV"/>
        </w:rPr>
        <w:t xml:space="preserve">Tiesas 2008. gada 21. oktobra spriedums, </w:t>
      </w:r>
      <w:proofErr w:type="spellStart"/>
      <w:r w:rsidRPr="00E21DD9">
        <w:rPr>
          <w:i/>
          <w:sz w:val="24"/>
          <w:lang w:val="lv-LV"/>
        </w:rPr>
        <w:t>Marra</w:t>
      </w:r>
      <w:proofErr w:type="spellEnd"/>
      <w:r w:rsidRPr="00E21DD9">
        <w:rPr>
          <w:i/>
          <w:sz w:val="24"/>
          <w:lang w:val="lv-LV"/>
        </w:rPr>
        <w:t>/</w:t>
      </w:r>
      <w:proofErr w:type="spellStart"/>
      <w:r w:rsidRPr="00E21DD9">
        <w:rPr>
          <w:i/>
          <w:sz w:val="24"/>
          <w:lang w:val="lv-LV"/>
        </w:rPr>
        <w:t>De</w:t>
      </w:r>
      <w:proofErr w:type="spellEnd"/>
      <w:r w:rsidRPr="00E21DD9">
        <w:rPr>
          <w:i/>
          <w:sz w:val="24"/>
          <w:lang w:val="lv-LV"/>
        </w:rPr>
        <w:t xml:space="preserve"> Gregorio</w:t>
      </w:r>
      <w:r w:rsidRPr="00E21DD9">
        <w:rPr>
          <w:sz w:val="24"/>
          <w:lang w:val="lv-LV"/>
        </w:rPr>
        <w:t xml:space="preserve"> un </w:t>
      </w:r>
      <w:proofErr w:type="spellStart"/>
      <w:r w:rsidRPr="00E21DD9">
        <w:rPr>
          <w:i/>
          <w:sz w:val="24"/>
          <w:lang w:val="lv-LV"/>
        </w:rPr>
        <w:t>Clemente</w:t>
      </w:r>
      <w:proofErr w:type="spellEnd"/>
      <w:r w:rsidRPr="00E21DD9">
        <w:rPr>
          <w:sz w:val="24"/>
          <w:lang w:val="lv-LV"/>
        </w:rPr>
        <w:t xml:space="preserve">, C-200/07 un C-201/07, ECLI:EU:C:2008:579; Tiesas 2010. gada 19. marta spriedums, </w:t>
      </w:r>
      <w:proofErr w:type="spellStart"/>
      <w:r w:rsidRPr="00E21DD9">
        <w:rPr>
          <w:i/>
          <w:sz w:val="24"/>
          <w:lang w:val="lv-LV"/>
        </w:rPr>
        <w:t>Gollnisch</w:t>
      </w:r>
      <w:proofErr w:type="spellEnd"/>
      <w:r w:rsidRPr="00E21DD9">
        <w:rPr>
          <w:sz w:val="24"/>
          <w:lang w:val="lv-LV"/>
        </w:rPr>
        <w:t>/Parlaments, T-42/06, ECLI:EU:T:2010:102; Tiesas 2011. gada 6. septembra spriedums,</w:t>
      </w:r>
      <w:r w:rsidRPr="00E21DD9">
        <w:rPr>
          <w:i/>
          <w:sz w:val="24"/>
          <w:lang w:val="lv-LV"/>
        </w:rPr>
        <w:t xml:space="preserve"> </w:t>
      </w:r>
      <w:proofErr w:type="spellStart"/>
      <w:r w:rsidRPr="00E21DD9">
        <w:rPr>
          <w:i/>
          <w:sz w:val="24"/>
          <w:lang w:val="lv-LV"/>
        </w:rPr>
        <w:t>Patriciello</w:t>
      </w:r>
      <w:proofErr w:type="spellEnd"/>
      <w:r w:rsidRPr="00E21DD9">
        <w:rPr>
          <w:sz w:val="24"/>
          <w:lang w:val="lv-LV"/>
        </w:rPr>
        <w:t xml:space="preserve">, C-163/10, ECLI: EU:C:2011:543; Vispārējās tiesas 2013. gada 17. janvāra spriedums, </w:t>
      </w:r>
      <w:proofErr w:type="spellStart"/>
      <w:r w:rsidRPr="00E21DD9">
        <w:rPr>
          <w:i/>
          <w:sz w:val="24"/>
          <w:lang w:val="lv-LV"/>
        </w:rPr>
        <w:t>Gollnisch</w:t>
      </w:r>
      <w:proofErr w:type="spellEnd"/>
      <w:r w:rsidRPr="00E21DD9">
        <w:rPr>
          <w:sz w:val="24"/>
          <w:lang w:val="lv-LV"/>
        </w:rPr>
        <w:t xml:space="preserve">/Parlaments, T-346/11 un T-347/11, ECLI:EU:T:2013:23; Tiesas 2019. gada 19. decembra spriedums, </w:t>
      </w:r>
      <w:proofErr w:type="spellStart"/>
      <w:r w:rsidRPr="00E21DD9">
        <w:rPr>
          <w:i/>
          <w:sz w:val="24"/>
          <w:lang w:val="lv-LV"/>
        </w:rPr>
        <w:t>Junqueras</w:t>
      </w:r>
      <w:proofErr w:type="spellEnd"/>
      <w:r w:rsidRPr="00E21DD9">
        <w:rPr>
          <w:i/>
          <w:sz w:val="24"/>
          <w:lang w:val="lv-LV"/>
        </w:rPr>
        <w:t xml:space="preserve"> Vies</w:t>
      </w:r>
      <w:r w:rsidRPr="00E21DD9">
        <w:rPr>
          <w:sz w:val="24"/>
          <w:lang w:val="lv-LV"/>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1D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LV"/>
    <w:docVar w:name="dvnumam" w:val="0"/>
    <w:docVar w:name="dvpe" w:val="755.043"/>
    <w:docVar w:name="dvrapporteur" w:val="Referents: "/>
    <w:docVar w:name="dvtitre" w:val="Eiropas Parlamenta 2024. gada XX. XXX lēmums par pieprasījumu atcelt Ioannis Lagos imunitāti(2023/2092(IMM))"/>
  </w:docVars>
  <w:rsids>
    <w:rsidRoot w:val="00732DE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8AE"/>
    <w:rsid w:val="00545827"/>
    <w:rsid w:val="00560270"/>
    <w:rsid w:val="005C2568"/>
    <w:rsid w:val="006037C0"/>
    <w:rsid w:val="00637230"/>
    <w:rsid w:val="006631B6"/>
    <w:rsid w:val="00680577"/>
    <w:rsid w:val="006F74FA"/>
    <w:rsid w:val="00731ADD"/>
    <w:rsid w:val="00732DE6"/>
    <w:rsid w:val="00734777"/>
    <w:rsid w:val="00747932"/>
    <w:rsid w:val="00751A4A"/>
    <w:rsid w:val="00756632"/>
    <w:rsid w:val="00762C74"/>
    <w:rsid w:val="00786EC0"/>
    <w:rsid w:val="007D1690"/>
    <w:rsid w:val="007E22AD"/>
    <w:rsid w:val="00817416"/>
    <w:rsid w:val="0082664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8B9"/>
    <w:rsid w:val="00BE6ADC"/>
    <w:rsid w:val="00C05BFE"/>
    <w:rsid w:val="00C23CD4"/>
    <w:rsid w:val="00C61C0C"/>
    <w:rsid w:val="00C941CB"/>
    <w:rsid w:val="00CC2357"/>
    <w:rsid w:val="00CF071A"/>
    <w:rsid w:val="00D058B8"/>
    <w:rsid w:val="00D56C11"/>
    <w:rsid w:val="00D834A0"/>
    <w:rsid w:val="00D872DF"/>
    <w:rsid w:val="00D91E21"/>
    <w:rsid w:val="00DA7FCD"/>
    <w:rsid w:val="00E21DD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15467A"/>
  <w15:chartTrackingRefBased/>
  <w15:docId w15:val="{202E1E1C-2B8E-4A79-AF10-D90B7825A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26642"/>
    <w:rPr>
      <w:b/>
    </w:rPr>
  </w:style>
  <w:style w:type="paragraph" w:customStyle="1" w:styleId="NormalHanging12a">
    <w:name w:val="NormalHanging12a"/>
    <w:basedOn w:val="Normal"/>
    <w:rsid w:val="00826642"/>
    <w:pPr>
      <w:spacing w:after="240"/>
      <w:ind w:left="567" w:hanging="567"/>
    </w:pPr>
  </w:style>
  <w:style w:type="paragraph" w:customStyle="1" w:styleId="EPComma">
    <w:name w:val="EPComma"/>
    <w:basedOn w:val="Normal"/>
    <w:rsid w:val="00826642"/>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8A4C-D8FB-4FA0-85FA-D581F8184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2024-02-06T12:17:00Z</dcterms:created>
  <dcterms:modified xsi:type="dcterms:W3CDTF">2024-02-06T12:17:00Z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A9-0027/2024</vt:lpwstr>
  </property>
  <property fmtid="{D5CDD505-2E9C-101B-9397-08002B2CF9AE}" pid="4" name="&lt;Type&gt;">
    <vt:lpwstr>RR</vt:lpwstr>
  </property>
</Properties>
</file>