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42CC" w:rsidTr="0010095E">
        <w:trPr>
          <w:trHeight w:hRule="exact" w:val="1418"/>
        </w:trPr>
        <w:tc>
          <w:tcPr>
            <w:tcW w:w="6804" w:type="dxa"/>
            <w:shd w:val="clear" w:color="auto" w:fill="auto"/>
            <w:vAlign w:val="center"/>
          </w:tcPr>
          <w:p w:rsidR="00751A4A" w:rsidRPr="00EE42CC" w:rsidRDefault="00DB67BE" w:rsidP="0010095E">
            <w:pPr>
              <w:pStyle w:val="EPName"/>
            </w:pPr>
            <w:r w:rsidRPr="00EE42CC">
              <w:t>Europa-Parlamentet</w:t>
            </w:r>
          </w:p>
          <w:p w:rsidR="00751A4A" w:rsidRPr="00EE42CC" w:rsidRDefault="00817416" w:rsidP="00756632">
            <w:pPr>
              <w:pStyle w:val="EPTerm"/>
              <w:rPr>
                <w:rStyle w:val="HideTWBExt"/>
                <w:noProof w:val="0"/>
                <w:vanish w:val="0"/>
                <w:color w:val="auto"/>
              </w:rPr>
            </w:pPr>
            <w:r w:rsidRPr="00EE42CC">
              <w:t>2019-2024</w:t>
            </w:r>
          </w:p>
        </w:tc>
        <w:tc>
          <w:tcPr>
            <w:tcW w:w="2268" w:type="dxa"/>
            <w:shd w:val="clear" w:color="auto" w:fill="auto"/>
          </w:tcPr>
          <w:p w:rsidR="00751A4A" w:rsidRPr="00EE42CC" w:rsidRDefault="00187494" w:rsidP="0010095E">
            <w:pPr>
              <w:pStyle w:val="EPLogo"/>
            </w:pPr>
            <w:r w:rsidRPr="00EE42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42CC" w:rsidRDefault="00D058B8" w:rsidP="004C5D52">
      <w:pPr>
        <w:pStyle w:val="LineTop"/>
      </w:pPr>
    </w:p>
    <w:p w:rsidR="00680577" w:rsidRPr="00EE42CC" w:rsidRDefault="00DB67BE" w:rsidP="00680577">
      <w:pPr>
        <w:pStyle w:val="EPBodyTA1"/>
      </w:pPr>
      <w:r w:rsidRPr="00EE42CC">
        <w:t>VEDTAGNE TEKSTER</w:t>
      </w:r>
    </w:p>
    <w:p w:rsidR="00D058B8" w:rsidRPr="00EE42CC" w:rsidRDefault="00D058B8" w:rsidP="00D058B8">
      <w:pPr>
        <w:pStyle w:val="LineBottom"/>
      </w:pPr>
    </w:p>
    <w:p w:rsidR="00DB67BE" w:rsidRPr="00714714" w:rsidRDefault="00DB67BE" w:rsidP="00DB67BE">
      <w:pPr>
        <w:pStyle w:val="ATHeading1"/>
      </w:pPr>
      <w:bookmarkStart w:id="0" w:name="TANumber"/>
      <w:r w:rsidRPr="00714714">
        <w:t>P9_TA(2024)00</w:t>
      </w:r>
      <w:r w:rsidR="0073364F">
        <w:t>55</w:t>
      </w:r>
      <w:bookmarkStart w:id="1" w:name="_GoBack"/>
      <w:bookmarkEnd w:id="0"/>
      <w:bookmarkEnd w:id="1"/>
    </w:p>
    <w:p w:rsidR="00DB67BE" w:rsidRPr="00714714" w:rsidRDefault="00A97BCB" w:rsidP="00DB67BE">
      <w:pPr>
        <w:pStyle w:val="ATHeading2"/>
      </w:pPr>
      <w:bookmarkStart w:id="2" w:name="title"/>
      <w:r w:rsidRPr="00714714">
        <w:t>Anmodning om o</w:t>
      </w:r>
      <w:r w:rsidR="00DB67BE" w:rsidRPr="00714714">
        <w:t xml:space="preserve">phævelse af Georgios </w:t>
      </w:r>
      <w:proofErr w:type="spellStart"/>
      <w:r w:rsidR="00DB67BE" w:rsidRPr="00714714">
        <w:t>Kyrtsos</w:t>
      </w:r>
      <w:proofErr w:type="spellEnd"/>
      <w:r w:rsidR="00DB67BE" w:rsidRPr="00714714">
        <w:t>' immunitet</w:t>
      </w:r>
      <w:bookmarkEnd w:id="2"/>
    </w:p>
    <w:p w:rsidR="00DB67BE" w:rsidRPr="00EE42CC" w:rsidRDefault="00DB67BE" w:rsidP="00DB67BE">
      <w:pPr>
        <w:rPr>
          <w:i/>
          <w:vanish/>
        </w:rPr>
      </w:pPr>
      <w:r w:rsidRPr="00EE42CC">
        <w:rPr>
          <w:i/>
        </w:rPr>
        <w:fldChar w:fldCharType="begin"/>
      </w:r>
      <w:r w:rsidRPr="00EE42CC">
        <w:rPr>
          <w:i/>
        </w:rPr>
        <w:instrText xml:space="preserve"> TC"(</w:instrText>
      </w:r>
      <w:bookmarkStart w:id="3" w:name="DocNumber"/>
      <w:r w:rsidRPr="00EE42CC">
        <w:rPr>
          <w:i/>
        </w:rPr>
        <w:instrText>A9-0028/2024</w:instrText>
      </w:r>
      <w:bookmarkEnd w:id="3"/>
      <w:r w:rsidRPr="00EE42CC">
        <w:rPr>
          <w:i/>
        </w:rPr>
        <w:instrText xml:space="preserve"> - Ordfører: Angel </w:instrText>
      </w:r>
      <w:proofErr w:type="spellStart"/>
      <w:r w:rsidRPr="00EE42CC">
        <w:rPr>
          <w:i/>
        </w:rPr>
        <w:instrText>Dzhambazki</w:instrText>
      </w:r>
      <w:proofErr w:type="spellEnd"/>
      <w:r w:rsidRPr="00EE42CC">
        <w:rPr>
          <w:i/>
        </w:rPr>
        <w:instrText xml:space="preserve">)"\l3 \n&gt; \* MERGEFORMAT </w:instrText>
      </w:r>
      <w:r w:rsidRPr="00EE42CC">
        <w:rPr>
          <w:i/>
        </w:rPr>
        <w:fldChar w:fldCharType="end"/>
      </w:r>
    </w:p>
    <w:p w:rsidR="00DB67BE" w:rsidRPr="00714714" w:rsidRDefault="00DB67BE" w:rsidP="00DB67BE">
      <w:pPr>
        <w:rPr>
          <w:vanish/>
        </w:rPr>
      </w:pPr>
      <w:bookmarkStart w:id="4" w:name="Commission"/>
      <w:r w:rsidRPr="006B37A3">
        <w:rPr>
          <w:vanish/>
        </w:rPr>
        <w:t>Retsudvalget</w:t>
      </w:r>
      <w:bookmarkEnd w:id="4"/>
    </w:p>
    <w:p w:rsidR="00DB67BE" w:rsidRPr="00714714" w:rsidRDefault="00DB67BE" w:rsidP="00DB67BE">
      <w:pPr>
        <w:rPr>
          <w:vanish/>
        </w:rPr>
      </w:pPr>
      <w:bookmarkStart w:id="5" w:name="PE"/>
      <w:r w:rsidRPr="00714714">
        <w:rPr>
          <w:vanish/>
        </w:rPr>
        <w:t>PE756.043</w:t>
      </w:r>
      <w:bookmarkEnd w:id="5"/>
    </w:p>
    <w:p w:rsidR="00DB67BE" w:rsidRPr="00714714" w:rsidRDefault="00DB67BE" w:rsidP="00DB67BE">
      <w:pPr>
        <w:pStyle w:val="ATHeading3"/>
      </w:pPr>
      <w:bookmarkStart w:id="6" w:name="Sujet"/>
      <w:r w:rsidRPr="00714714">
        <w:t xml:space="preserve">Europa-Parlamentets afgørelse af </w:t>
      </w:r>
      <w:r w:rsidR="00A97BCB" w:rsidRPr="00714714">
        <w:t>6</w:t>
      </w:r>
      <w:r w:rsidRPr="00714714">
        <w:t xml:space="preserve">. februar 2024 om anmodning om ophævelse af Georgios </w:t>
      </w:r>
      <w:proofErr w:type="spellStart"/>
      <w:r w:rsidRPr="00714714">
        <w:t>Kyrtsos</w:t>
      </w:r>
      <w:proofErr w:type="spellEnd"/>
      <w:r w:rsidRPr="00714714">
        <w:t>' immunitet</w:t>
      </w:r>
      <w:bookmarkEnd w:id="6"/>
      <w:r w:rsidRPr="00714714">
        <w:t xml:space="preserve"> </w:t>
      </w:r>
      <w:bookmarkStart w:id="7" w:name="References"/>
      <w:r w:rsidRPr="00714714">
        <w:t>(2023/2185(IMM))</w:t>
      </w:r>
      <w:bookmarkEnd w:id="7"/>
    </w:p>
    <w:p w:rsidR="00AB08C7" w:rsidRPr="00714714" w:rsidRDefault="00AB08C7" w:rsidP="00AB08C7">
      <w:pPr>
        <w:pStyle w:val="EPComma"/>
      </w:pPr>
      <w:bookmarkStart w:id="8" w:name="TextBodyBegin"/>
      <w:bookmarkEnd w:id="8"/>
      <w:r w:rsidRPr="00EE42CC">
        <w:rPr>
          <w:i/>
          <w:iCs/>
        </w:rPr>
        <w:t>Europa-Parlamentet</w:t>
      </w:r>
      <w:r w:rsidRPr="006B37A3">
        <w:t>,</w:t>
      </w:r>
    </w:p>
    <w:p w:rsidR="00AB08C7" w:rsidRPr="00714714" w:rsidRDefault="00AB08C7" w:rsidP="00AB08C7">
      <w:pPr>
        <w:pStyle w:val="NormalHanging12a"/>
      </w:pPr>
      <w:r w:rsidRPr="00714714">
        <w:t>–</w:t>
      </w:r>
      <w:r w:rsidRPr="00714714">
        <w:tab/>
        <w:t xml:space="preserve">der henviser til anmodning om ophævelse af Georgios </w:t>
      </w:r>
      <w:proofErr w:type="spellStart"/>
      <w:r w:rsidRPr="00714714">
        <w:t>Kyrtsos</w:t>
      </w:r>
      <w:proofErr w:type="spellEnd"/>
      <w:r w:rsidRPr="00714714">
        <w:t xml:space="preserve">' immunitet fra anklageren ved retten i første instans i Athen i forbindelse med en straffesag, som er fremsendt af vicestatsadvokaten ved Grækenlands højesteret ved skrivelse af 27. </w:t>
      </w:r>
      <w:r w:rsidR="00A97BCB" w:rsidRPr="00714714">
        <w:t xml:space="preserve">juni </w:t>
      </w:r>
      <w:r w:rsidRPr="00714714">
        <w:t>2023, og hvorom der blev givet meddelelse på plenarmødet den 10. juli 2023,</w:t>
      </w:r>
    </w:p>
    <w:p w:rsidR="00AB08C7" w:rsidRPr="00714714" w:rsidRDefault="00AB08C7" w:rsidP="00AB08C7">
      <w:pPr>
        <w:pStyle w:val="NormalHanging12a"/>
      </w:pPr>
      <w:r w:rsidRPr="00714714">
        <w:t>–</w:t>
      </w:r>
      <w:r w:rsidRPr="00714714">
        <w:tab/>
        <w:t xml:space="preserve">der har hørt Georgios </w:t>
      </w:r>
      <w:proofErr w:type="spellStart"/>
      <w:r w:rsidRPr="00714714">
        <w:t>Kyrtsos</w:t>
      </w:r>
      <w:proofErr w:type="spellEnd"/>
      <w:r w:rsidRPr="00714714">
        <w:t>, jf. forretningsordenens artikel 9, stk. 6,</w:t>
      </w:r>
    </w:p>
    <w:p w:rsidR="00AB08C7" w:rsidRPr="00714714" w:rsidRDefault="00AB08C7" w:rsidP="00AB08C7">
      <w:pPr>
        <w:pStyle w:val="NormalHanging12a"/>
      </w:pPr>
      <w:r w:rsidRPr="00714714">
        <w:t>–</w:t>
      </w:r>
      <w:r w:rsidRPr="00714714">
        <w:tab/>
        <w:t>der henviser til artikel 8 og 9 i protokol nr. 7 vedrørende Den Europæiske Unions privilegier og immuniteter samt artikel 6, stk. 2, i akten af 20. september 1976 om almindelige direkte valg af medlemmerne af Europa-Parlamentet,</w:t>
      </w:r>
    </w:p>
    <w:p w:rsidR="00AB08C7" w:rsidRPr="006B37A3" w:rsidRDefault="00AB08C7" w:rsidP="00AB08C7">
      <w:pPr>
        <w:pStyle w:val="NormalHanging12a"/>
      </w:pPr>
      <w:r w:rsidRPr="00714714">
        <w:t>–</w:t>
      </w:r>
      <w:r w:rsidRPr="00714714">
        <w:tab/>
        <w:t>der henviser til de domme, som Den Europæiske Unions Domstol har afsagt den 21. oktober 2008, 19. marts 2010, 6. september 2011, 17. januar 2013 og 19. december 2019</w:t>
      </w:r>
      <w:r w:rsidRPr="00EE42CC">
        <w:rPr>
          <w:rStyle w:val="FootnoteReference"/>
          <w:color w:val="000000"/>
        </w:rPr>
        <w:footnoteReference w:id="1"/>
      </w:r>
      <w:r w:rsidRPr="00EE42CC">
        <w:t>,</w:t>
      </w:r>
    </w:p>
    <w:p w:rsidR="00AB08C7" w:rsidRPr="00714714" w:rsidRDefault="00AB08C7" w:rsidP="00AB08C7">
      <w:pPr>
        <w:pStyle w:val="NormalHanging12a"/>
      </w:pPr>
      <w:r w:rsidRPr="00714714">
        <w:t>–</w:t>
      </w:r>
      <w:r w:rsidRPr="00714714">
        <w:tab/>
        <w:t>der henviser til artikel 62 i Den Hellenske Republiks forfatning,</w:t>
      </w:r>
    </w:p>
    <w:p w:rsidR="00AB08C7" w:rsidRPr="00714714" w:rsidRDefault="00AB08C7" w:rsidP="00AB08C7">
      <w:pPr>
        <w:pStyle w:val="NormalHanging12a"/>
      </w:pPr>
      <w:r w:rsidRPr="00714714">
        <w:t>–</w:t>
      </w:r>
      <w:r w:rsidRPr="00714714">
        <w:tab/>
        <w:t>der henviser til forretningsordenens artikel 5, stk. 2, artikel 6, stk. 1, og artikel 9,</w:t>
      </w:r>
    </w:p>
    <w:p w:rsidR="00AB08C7" w:rsidRPr="00714714" w:rsidRDefault="00AB08C7" w:rsidP="00AB08C7">
      <w:pPr>
        <w:pStyle w:val="NormalHanging12a"/>
      </w:pPr>
      <w:r w:rsidRPr="00714714">
        <w:t>–</w:t>
      </w:r>
      <w:r w:rsidRPr="00714714">
        <w:tab/>
        <w:t>der henviser til betænkning fra Retsudvalget (A9</w:t>
      </w:r>
      <w:r w:rsidRPr="00714714">
        <w:noBreakHyphen/>
        <w:t>0028/2024),</w:t>
      </w:r>
    </w:p>
    <w:p w:rsidR="00AB08C7" w:rsidRPr="00714714" w:rsidRDefault="00AB08C7" w:rsidP="00AB08C7">
      <w:pPr>
        <w:pStyle w:val="NormalHanging12a"/>
      </w:pPr>
      <w:r w:rsidRPr="00714714">
        <w:t>A.</w:t>
      </w:r>
      <w:r w:rsidRPr="00714714">
        <w:tab/>
        <w:t xml:space="preserve">der henviser til, at anklageren ved retten i første instans i Athen har anmodet om ophævelse af immuniteten for Georgios </w:t>
      </w:r>
      <w:proofErr w:type="spellStart"/>
      <w:r w:rsidRPr="00714714">
        <w:t>Kyrtsos</w:t>
      </w:r>
      <w:proofErr w:type="spellEnd"/>
      <w:r w:rsidRPr="00714714">
        <w:t xml:space="preserve">, medlem af Europa-Parlamentet valgt </w:t>
      </w:r>
      <w:r w:rsidRPr="00714714">
        <w:lastRenderedPageBreak/>
        <w:t>for Grækenland, i forbindelse med en straffesag, der skal indledes mod ham vedrørende manglende betaling af visse skyldige beløb til den græske stat;</w:t>
      </w:r>
    </w:p>
    <w:p w:rsidR="00AB08C7" w:rsidRPr="00714714" w:rsidRDefault="00AB08C7" w:rsidP="00AB08C7">
      <w:pPr>
        <w:pStyle w:val="NormalHanging12a"/>
      </w:pPr>
      <w:r w:rsidRPr="00714714">
        <w:t>B.</w:t>
      </w:r>
      <w:r w:rsidRPr="00714714">
        <w:tab/>
        <w:t xml:space="preserve">der henviser til, at Georgios </w:t>
      </w:r>
      <w:proofErr w:type="spellStart"/>
      <w:r w:rsidRPr="00714714">
        <w:t>Kyrtsos</w:t>
      </w:r>
      <w:proofErr w:type="spellEnd"/>
      <w:r w:rsidRPr="00714714">
        <w:t xml:space="preserve"> i sin egenskab af viceadministrerende direktør for selskabet KMP </w:t>
      </w:r>
      <w:proofErr w:type="spellStart"/>
      <w:r w:rsidRPr="00714714">
        <w:t>Ekdotiki</w:t>
      </w:r>
      <w:proofErr w:type="spellEnd"/>
      <w:r w:rsidRPr="00714714">
        <w:t xml:space="preserve"> </w:t>
      </w:r>
      <w:proofErr w:type="spellStart"/>
      <w:r w:rsidRPr="00714714">
        <w:t>Anonimi</w:t>
      </w:r>
      <w:proofErr w:type="spellEnd"/>
      <w:r w:rsidRPr="00714714">
        <w:t xml:space="preserve"> </w:t>
      </w:r>
      <w:proofErr w:type="spellStart"/>
      <w:r w:rsidRPr="00714714">
        <w:t>Etaireia</w:t>
      </w:r>
      <w:proofErr w:type="spellEnd"/>
      <w:r w:rsidRPr="00714714">
        <w:t xml:space="preserve"> beskyldes for ikke at have betalt et bestemt beløb til den græske stat;</w:t>
      </w:r>
    </w:p>
    <w:p w:rsidR="00AB08C7" w:rsidRPr="00714714" w:rsidRDefault="00AB08C7" w:rsidP="00AB08C7">
      <w:pPr>
        <w:pStyle w:val="NormalHanging12a"/>
      </w:pPr>
      <w:r w:rsidRPr="00714714">
        <w:t>C.</w:t>
      </w:r>
      <w:r w:rsidRPr="00714714">
        <w:tab/>
        <w:t xml:space="preserve">der henviser til, at den handling, Georgios </w:t>
      </w:r>
      <w:proofErr w:type="spellStart"/>
      <w:r w:rsidRPr="00714714">
        <w:t>Kyrtsos</w:t>
      </w:r>
      <w:proofErr w:type="spellEnd"/>
      <w:r w:rsidRPr="00714714">
        <w:t xml:space="preserve"> angiveligt har begået, udgør en strafbar handling i form af manglende betaling af gæld til staten i henhold til artikel 25, stk. 1, litra b), i den græske lov nr. 1882/90, som erstattet af artikel 23, stk. 1, i den græske lov nr. 2523/97, som ændret ved artikel 18, stk. 2, og artikel 28, stk. 2-4, i den græske lov nr. 2948/01, som suppleret ved artikel 34 i den græske lov nr. 3016/02, ved artikel 34, stk. 1, i den græske lov nr. 3220/04 og ved artikel 3, stk. 1, i den græske lov nr. 3943/11, som erstattet af artikel 20 i den græske lov nr. 4321/15, som ændret ved artikel 71, stk. 2, i den græske lov nr. 4174/13, der blev tilføjet ved artikel 8 i den græske lov nr. 4337/15, og som suppleret med artikel 469 i den græske lov nr. 4619/19;</w:t>
      </w:r>
    </w:p>
    <w:p w:rsidR="00AB08C7" w:rsidRPr="00714714" w:rsidRDefault="00AB08C7" w:rsidP="00AB08C7">
      <w:pPr>
        <w:pStyle w:val="NormalHanging12a"/>
      </w:pPr>
      <w:r w:rsidRPr="00714714">
        <w:t>D.</w:t>
      </w:r>
      <w:r w:rsidRPr="00714714">
        <w:tab/>
        <w:t xml:space="preserve">der henviser til, at formålet med parlamentarisk immunitet er at beskytte Parlamentet og dets medlemmer mod retsforfølgning i relation til aktiviteter, der udføres under udøvelsen af det parlamentariske hverv, og som ikke kan adskilles fra dette hverv; der henviser til, at den påståede strafbare handling tydeligvis ikke har nogen direkte forbindelse med Georgios </w:t>
      </w:r>
      <w:proofErr w:type="spellStart"/>
      <w:r w:rsidRPr="00714714">
        <w:t>Kyrtsos</w:t>
      </w:r>
      <w:proofErr w:type="spellEnd"/>
      <w:r w:rsidRPr="00714714">
        <w:t>' aktiviteter som medlem af Europa-Parlamentet, men i stedet vedrører hans stilling som leder af hans avisselskab;</w:t>
      </w:r>
    </w:p>
    <w:p w:rsidR="00AB08C7" w:rsidRPr="00714714" w:rsidRDefault="00AB08C7" w:rsidP="00AB08C7">
      <w:pPr>
        <w:pStyle w:val="NormalHanging12a"/>
      </w:pPr>
      <w:r w:rsidRPr="00714714">
        <w:t>E.</w:t>
      </w:r>
      <w:r w:rsidRPr="00714714">
        <w:tab/>
        <w:t xml:space="preserve">der henviser til, at den påståede strafbare handling heller ikke udgør meningstilkendegivelser eller stemmeafgivelser under udøvelsen af Georgios </w:t>
      </w:r>
      <w:proofErr w:type="spellStart"/>
      <w:r w:rsidRPr="00714714">
        <w:t>Kyrtsos</w:t>
      </w:r>
      <w:proofErr w:type="spellEnd"/>
      <w:r w:rsidRPr="00714714">
        <w:t>' hverv som medlem af Europa-Parlamentet som omhandlet i artikel 8 i protokol nr. 7 vedrørende Den Europæiske Unions privilegier og immuniteter;</w:t>
      </w:r>
    </w:p>
    <w:p w:rsidR="00AB08C7" w:rsidRPr="00714714" w:rsidRDefault="00AB08C7" w:rsidP="00AB08C7">
      <w:pPr>
        <w:pStyle w:val="NormalHanging12a"/>
      </w:pPr>
      <w:r w:rsidRPr="00714714">
        <w:t>F.</w:t>
      </w:r>
      <w:r w:rsidRPr="00714714">
        <w:tab/>
        <w:t>der henviser til, at medlemmerne af Europa-Parlamentet i henhold til artikel 9 i protokol nr. 7 vedrørende Den Europæiske Unions privilegier og immuniteter på deres eget lands område nyder de immuniteter, der tilstås medlemmerne af deres lands lovgivende forsamling, og på en anden medlemsstats område fritagelse for enhver form for tilbageholdelse og retsforfølgning; der henviser til, at immuniteten ikke kan påberåbes af et medlem, som gribes på fersk gerning, og ikke kan hindre Europa-Parlamentets ret til at ophæve et af dets medlemmers immunitet;</w:t>
      </w:r>
    </w:p>
    <w:p w:rsidR="00AB08C7" w:rsidRPr="00714714" w:rsidRDefault="00AB08C7" w:rsidP="00AB08C7">
      <w:pPr>
        <w:pStyle w:val="NormalHanging12a"/>
      </w:pPr>
      <w:r w:rsidRPr="00714714">
        <w:t>G.</w:t>
      </w:r>
      <w:r w:rsidRPr="00714714">
        <w:tab/>
        <w:t>der henviser til, at det fastslås i artikel 62 i Den Hellenske Republiks forfatning, at et parlamentsmedlem under sit mandat ikke kan retsforfølges, fastholdes eller fængsles eller på anden måde berøves sin frihed uden parlamentets samtykke;</w:t>
      </w:r>
    </w:p>
    <w:p w:rsidR="00AB08C7" w:rsidRPr="00714714" w:rsidRDefault="00AB08C7" w:rsidP="00AB08C7">
      <w:pPr>
        <w:pStyle w:val="NormalHanging12a"/>
      </w:pPr>
      <w:r w:rsidRPr="00714714">
        <w:t>H.</w:t>
      </w:r>
      <w:r w:rsidRPr="00714714">
        <w:tab/>
        <w:t xml:space="preserve">der henviser til, at Parlamentet i den foreliggende sag ikke har fundet noget bevis på </w:t>
      </w:r>
      <w:proofErr w:type="spellStart"/>
      <w:r w:rsidRPr="00714714">
        <w:t>fumus</w:t>
      </w:r>
      <w:proofErr w:type="spellEnd"/>
      <w:r w:rsidRPr="00714714">
        <w:t xml:space="preserve"> </w:t>
      </w:r>
      <w:proofErr w:type="spellStart"/>
      <w:r w:rsidRPr="00714714">
        <w:t>persecutionis</w:t>
      </w:r>
      <w:proofErr w:type="spellEnd"/>
      <w:r w:rsidRPr="00714714">
        <w:t>, dvs. faktiske omstændigheder, der tyder på, at den pågældende retssag er blevet indledt med det formål at skade medlemmets politiske virksomhed som medlem af Europa-Parlamentet;</w:t>
      </w:r>
    </w:p>
    <w:p w:rsidR="00AB08C7" w:rsidRPr="00EE42CC" w:rsidRDefault="00AB08C7" w:rsidP="00AB08C7">
      <w:pPr>
        <w:pStyle w:val="NormalHanging12a"/>
      </w:pPr>
      <w:r w:rsidRPr="00714714">
        <w:t>I.</w:t>
      </w:r>
      <w:r w:rsidRPr="00714714">
        <w:tab/>
        <w:t xml:space="preserve">der henviser til, at det alene tilkommer Parlamentet at beslutte, om immuniteten skal ophæves i en given sag; der henviser til, at Parlamentet kan tage et rimeligt hensyn til medlemmets holdning, når der skal tages stilling til, om den pågældendes immunitet </w:t>
      </w:r>
      <w:r w:rsidRPr="00714714">
        <w:lastRenderedPageBreak/>
        <w:t>skal ophæves eller ej</w:t>
      </w:r>
      <w:r w:rsidRPr="00EE42CC">
        <w:rPr>
          <w:spacing w:val="-4"/>
          <w:vertAlign w:val="superscript"/>
        </w:rPr>
        <w:footnoteReference w:id="2"/>
      </w:r>
      <w:r w:rsidRPr="00EE42CC">
        <w:t xml:space="preserve">; der henviser til, at Georgios </w:t>
      </w:r>
      <w:proofErr w:type="spellStart"/>
      <w:r w:rsidRPr="00EE42CC">
        <w:t>Kyrtsos</w:t>
      </w:r>
      <w:proofErr w:type="spellEnd"/>
      <w:r w:rsidRPr="00EE42CC">
        <w:t xml:space="preserve"> under høringen af ham tilkendegav, at han ikke havde nogen indvendinger mod en ophævelse af hans parlamentariske immunitet;</w:t>
      </w:r>
    </w:p>
    <w:p w:rsidR="00AB08C7" w:rsidRPr="00EE42CC" w:rsidRDefault="00AB08C7" w:rsidP="00AB08C7">
      <w:pPr>
        <w:pStyle w:val="NormalHanging12a"/>
      </w:pPr>
      <w:r w:rsidRPr="00714714">
        <w:t>J.</w:t>
      </w:r>
      <w:r w:rsidRPr="00714714">
        <w:tab/>
        <w:t>der henviser til, at Parlamentet på den ene side ikke kan sidestilles med en domstol, og at medlemmet på den anden side i forbindelse med en procedure om ophævelse af immunitet ikke kan betragtes som en "anklaget"</w:t>
      </w:r>
      <w:r w:rsidRPr="00EE42CC">
        <w:rPr>
          <w:vertAlign w:val="superscript"/>
        </w:rPr>
        <w:footnoteReference w:id="3"/>
      </w:r>
      <w:r w:rsidRPr="00EE42CC">
        <w:t>;</w:t>
      </w:r>
    </w:p>
    <w:p w:rsidR="00AB08C7" w:rsidRPr="00714714" w:rsidRDefault="00AB08C7" w:rsidP="00AB08C7">
      <w:pPr>
        <w:pStyle w:val="NormalHanging12a"/>
      </w:pPr>
      <w:r w:rsidRPr="00714714">
        <w:t>1.</w:t>
      </w:r>
      <w:r w:rsidRPr="00714714">
        <w:tab/>
        <w:t xml:space="preserve">vedtager at ophæve Georgios </w:t>
      </w:r>
      <w:proofErr w:type="spellStart"/>
      <w:r w:rsidRPr="00714714">
        <w:t>Kyrtsos</w:t>
      </w:r>
      <w:proofErr w:type="spellEnd"/>
      <w:r w:rsidRPr="00714714">
        <w:t>' immunitet;</w:t>
      </w:r>
    </w:p>
    <w:p w:rsidR="00AB08C7" w:rsidRPr="00714714" w:rsidRDefault="00AB08C7" w:rsidP="00AB08C7">
      <w:pPr>
        <w:pStyle w:val="NormalHanging12a"/>
      </w:pPr>
      <w:r w:rsidRPr="00714714">
        <w:t>2.</w:t>
      </w:r>
      <w:r w:rsidRPr="00714714">
        <w:tab/>
        <w:t xml:space="preserve">pålægger sin formand straks at sende denne afgørelse og det kompetente udvalgs betænkning til de græske myndigheder og Georgios </w:t>
      </w:r>
      <w:proofErr w:type="spellStart"/>
      <w:r w:rsidRPr="00714714">
        <w:t>Kyrtsos</w:t>
      </w:r>
      <w:proofErr w:type="spellEnd"/>
      <w:r w:rsidRPr="00714714">
        <w:t>.</w:t>
      </w:r>
    </w:p>
    <w:sectPr w:rsidR="00AB08C7" w:rsidRPr="00714714" w:rsidSect="002409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7BE" w:rsidRPr="00240966" w:rsidRDefault="00DB67BE">
      <w:r w:rsidRPr="00240966">
        <w:separator/>
      </w:r>
    </w:p>
  </w:endnote>
  <w:endnote w:type="continuationSeparator" w:id="0">
    <w:p w:rsidR="00DB67BE" w:rsidRPr="00240966" w:rsidRDefault="00DB67BE">
      <w:r w:rsidRPr="002409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9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9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9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7BE" w:rsidRPr="00240966" w:rsidRDefault="00DB67BE">
      <w:r w:rsidRPr="00240966">
        <w:separator/>
      </w:r>
    </w:p>
  </w:footnote>
  <w:footnote w:type="continuationSeparator" w:id="0">
    <w:p w:rsidR="00DB67BE" w:rsidRPr="00240966" w:rsidRDefault="00DB67BE">
      <w:r w:rsidRPr="00240966">
        <w:continuationSeparator/>
      </w:r>
    </w:p>
  </w:footnote>
  <w:footnote w:id="1">
    <w:p w:rsidR="00AB08C7" w:rsidRPr="00240966" w:rsidRDefault="00AB08C7" w:rsidP="00240966">
      <w:pPr>
        <w:pStyle w:val="FootnoteText"/>
        <w:ind w:left="567" w:hanging="567"/>
        <w:rPr>
          <w:sz w:val="24"/>
          <w:lang w:val="da-DK"/>
        </w:rPr>
      </w:pPr>
      <w:r w:rsidRPr="00240966">
        <w:rPr>
          <w:rStyle w:val="FootnoteReference"/>
          <w:sz w:val="24"/>
          <w:lang w:val="da-DK"/>
        </w:rPr>
        <w:footnoteRef/>
      </w:r>
      <w:r w:rsidR="00240966" w:rsidRPr="00240966">
        <w:rPr>
          <w:sz w:val="24"/>
          <w:lang w:val="da-DK"/>
        </w:rPr>
        <w:t xml:space="preserve"> </w:t>
      </w:r>
      <w:r w:rsidR="00240966" w:rsidRPr="00240966">
        <w:rPr>
          <w:sz w:val="24"/>
          <w:lang w:val="da-DK"/>
        </w:rPr>
        <w:tab/>
      </w:r>
      <w:r w:rsidRPr="00240966">
        <w:rPr>
          <w:sz w:val="24"/>
          <w:lang w:val="da-DK"/>
        </w:rPr>
        <w:t xml:space="preserve">Domstolens dom af 21. oktober 2008, </w:t>
      </w:r>
      <w:proofErr w:type="spellStart"/>
      <w:r w:rsidRPr="00240966">
        <w:rPr>
          <w:sz w:val="24"/>
          <w:lang w:val="da-DK"/>
        </w:rPr>
        <w:t>Marra</w:t>
      </w:r>
      <w:proofErr w:type="spellEnd"/>
      <w:r w:rsidRPr="00240966">
        <w:rPr>
          <w:sz w:val="24"/>
          <w:lang w:val="da-DK"/>
        </w:rPr>
        <w:t xml:space="preserve"> mod De </w:t>
      </w:r>
      <w:proofErr w:type="spellStart"/>
      <w:r w:rsidRPr="00240966">
        <w:rPr>
          <w:sz w:val="24"/>
          <w:lang w:val="da-DK"/>
        </w:rPr>
        <w:t>Gregorio</w:t>
      </w:r>
      <w:proofErr w:type="spellEnd"/>
      <w:r w:rsidRPr="00240966">
        <w:rPr>
          <w:sz w:val="24"/>
          <w:lang w:val="da-DK"/>
        </w:rPr>
        <w:t xml:space="preserve"> og </w:t>
      </w:r>
      <w:proofErr w:type="spellStart"/>
      <w:r w:rsidRPr="00240966">
        <w:rPr>
          <w:sz w:val="24"/>
          <w:lang w:val="da-DK"/>
        </w:rPr>
        <w:t>Clemente</w:t>
      </w:r>
      <w:proofErr w:type="spellEnd"/>
      <w:r w:rsidRPr="00240966">
        <w:rPr>
          <w:sz w:val="24"/>
          <w:lang w:val="da-DK"/>
        </w:rPr>
        <w:t xml:space="preserve">, C-200/07 og C-201/07, ECLI:EU:C:2008:579; Rettens dom af 19. marts 2010, </w:t>
      </w:r>
      <w:proofErr w:type="spellStart"/>
      <w:r w:rsidRPr="00240966">
        <w:rPr>
          <w:sz w:val="24"/>
          <w:lang w:val="da-DK"/>
        </w:rPr>
        <w:t>Gollnisch</w:t>
      </w:r>
      <w:proofErr w:type="spellEnd"/>
      <w:r w:rsidRPr="00240966">
        <w:rPr>
          <w:sz w:val="24"/>
          <w:lang w:val="da-DK"/>
        </w:rPr>
        <w:t xml:space="preserve"> mod Parlamentet, T-42/06, ECLI:EU:T:2010:102; Domstolens dom af 6. september 2011, </w:t>
      </w:r>
      <w:proofErr w:type="spellStart"/>
      <w:r w:rsidRPr="00240966">
        <w:rPr>
          <w:sz w:val="24"/>
          <w:lang w:val="da-DK"/>
        </w:rPr>
        <w:t>Patriciello</w:t>
      </w:r>
      <w:proofErr w:type="spellEnd"/>
      <w:r w:rsidRPr="00240966">
        <w:rPr>
          <w:sz w:val="24"/>
          <w:lang w:val="da-DK"/>
        </w:rPr>
        <w:t xml:space="preserve">, C-163/10, ECLI:EU:C:2011:543; Rettens dom af 17. januar 2013, </w:t>
      </w:r>
      <w:proofErr w:type="spellStart"/>
      <w:r w:rsidRPr="00240966">
        <w:rPr>
          <w:sz w:val="24"/>
          <w:lang w:val="da-DK"/>
        </w:rPr>
        <w:t>Gollnisch</w:t>
      </w:r>
      <w:proofErr w:type="spellEnd"/>
      <w:r w:rsidRPr="00240966">
        <w:rPr>
          <w:sz w:val="24"/>
          <w:lang w:val="da-DK"/>
        </w:rPr>
        <w:t xml:space="preserve"> mod Parlamentet, T-346/11 og T-347/11, ECLI:EU:T:2013:23; Domstolens dom af 19. december 2019, </w:t>
      </w:r>
      <w:proofErr w:type="spellStart"/>
      <w:r w:rsidRPr="00240966">
        <w:rPr>
          <w:sz w:val="24"/>
          <w:lang w:val="da-DK"/>
        </w:rPr>
        <w:t>Junqueras</w:t>
      </w:r>
      <w:proofErr w:type="spellEnd"/>
      <w:r w:rsidRPr="00240966">
        <w:rPr>
          <w:sz w:val="24"/>
          <w:lang w:val="da-DK"/>
        </w:rPr>
        <w:t xml:space="preserve"> Vies, C-502/19, ECLI:EU:C:2019:1115.</w:t>
      </w:r>
    </w:p>
  </w:footnote>
  <w:footnote w:id="2">
    <w:p w:rsidR="00AB08C7" w:rsidRPr="00240966" w:rsidRDefault="00AB08C7" w:rsidP="00240966">
      <w:pPr>
        <w:pStyle w:val="FootnoteText"/>
        <w:ind w:left="567" w:hanging="567"/>
        <w:rPr>
          <w:sz w:val="24"/>
          <w:lang w:val="da-DK"/>
        </w:rPr>
      </w:pPr>
      <w:r w:rsidRPr="00240966">
        <w:rPr>
          <w:rStyle w:val="FootnoteReference"/>
          <w:sz w:val="24"/>
          <w:lang w:val="da-DK"/>
        </w:rPr>
        <w:footnoteRef/>
      </w:r>
      <w:r w:rsidR="00240966" w:rsidRPr="00240966">
        <w:rPr>
          <w:sz w:val="24"/>
          <w:lang w:val="da-DK"/>
        </w:rPr>
        <w:t xml:space="preserve"> </w:t>
      </w:r>
      <w:r w:rsidR="00240966" w:rsidRPr="00240966">
        <w:rPr>
          <w:sz w:val="24"/>
          <w:lang w:val="da-DK"/>
        </w:rPr>
        <w:tab/>
      </w:r>
      <w:r w:rsidRPr="00240966">
        <w:rPr>
          <w:sz w:val="24"/>
          <w:lang w:val="da-DK"/>
        </w:rPr>
        <w:t xml:space="preserve">Rettens dom af 15. oktober 2008, </w:t>
      </w:r>
      <w:proofErr w:type="spellStart"/>
      <w:r w:rsidRPr="00240966">
        <w:rPr>
          <w:sz w:val="24"/>
          <w:lang w:val="da-DK"/>
        </w:rPr>
        <w:t>Mote</w:t>
      </w:r>
      <w:proofErr w:type="spellEnd"/>
      <w:r w:rsidRPr="00240966">
        <w:rPr>
          <w:sz w:val="24"/>
          <w:lang w:val="da-DK"/>
        </w:rPr>
        <w:t xml:space="preserve"> mod Parlamentet, T-345/05, ECLI:EU:T:2008:440, præmis 28.</w:t>
      </w:r>
    </w:p>
  </w:footnote>
  <w:footnote w:id="3">
    <w:p w:rsidR="00AB08C7" w:rsidRPr="00240966" w:rsidRDefault="00AB08C7" w:rsidP="00240966">
      <w:pPr>
        <w:pStyle w:val="FootnoteText"/>
        <w:ind w:left="567" w:hanging="567"/>
        <w:rPr>
          <w:sz w:val="24"/>
          <w:lang w:val="da-DK"/>
        </w:rPr>
      </w:pPr>
      <w:r w:rsidRPr="00240966">
        <w:rPr>
          <w:rStyle w:val="FootnoteReference"/>
          <w:sz w:val="24"/>
          <w:lang w:val="da-DK"/>
        </w:rPr>
        <w:footnoteRef/>
      </w:r>
      <w:r w:rsidR="00240966" w:rsidRPr="00240966">
        <w:rPr>
          <w:sz w:val="24"/>
          <w:lang w:val="da-DK"/>
        </w:rPr>
        <w:t xml:space="preserve"> </w:t>
      </w:r>
      <w:r w:rsidR="00240966" w:rsidRPr="00240966">
        <w:rPr>
          <w:sz w:val="24"/>
          <w:lang w:val="da-DK"/>
        </w:rPr>
        <w:tab/>
      </w:r>
      <w:r w:rsidRPr="00240966">
        <w:rPr>
          <w:sz w:val="24"/>
          <w:lang w:val="da-DK"/>
        </w:rPr>
        <w:t xml:space="preserve">Rettens dom af 30. april 2019, </w:t>
      </w:r>
      <w:proofErr w:type="spellStart"/>
      <w:r w:rsidRPr="00240966">
        <w:rPr>
          <w:sz w:val="24"/>
          <w:lang w:val="da-DK"/>
        </w:rPr>
        <w:t>Briois</w:t>
      </w:r>
      <w:proofErr w:type="spellEnd"/>
      <w:r w:rsidRPr="00240966">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9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9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9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DA"/>
    <w:docVar w:name="dvnumam" w:val="0"/>
    <w:docVar w:name="dvpe" w:val="756.043"/>
    <w:docVar w:name="dvrapporteur" w:val="Ordfører: "/>
    <w:docVar w:name="dvtitre" w:val="Europa-Parlamentets afgørelse af xx. februar 2024 om anmodning om ophævelse af Georgios Kyrtsos' immunitet(2023/2185(IMM))"/>
  </w:docVars>
  <w:rsids>
    <w:rsidRoot w:val="00DB67BE"/>
    <w:rsid w:val="00002272"/>
    <w:rsid w:val="00064002"/>
    <w:rsid w:val="000677B9"/>
    <w:rsid w:val="000831BA"/>
    <w:rsid w:val="000A42CC"/>
    <w:rsid w:val="000E7DD9"/>
    <w:rsid w:val="0010095E"/>
    <w:rsid w:val="00125B37"/>
    <w:rsid w:val="00187494"/>
    <w:rsid w:val="001F32AE"/>
    <w:rsid w:val="0024096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FF8"/>
    <w:rsid w:val="005C2568"/>
    <w:rsid w:val="006037C0"/>
    <w:rsid w:val="006631B6"/>
    <w:rsid w:val="00680577"/>
    <w:rsid w:val="006B37A3"/>
    <w:rsid w:val="006F74FA"/>
    <w:rsid w:val="00714714"/>
    <w:rsid w:val="00731ADD"/>
    <w:rsid w:val="0073364F"/>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BCB"/>
    <w:rsid w:val="00AB0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7BE"/>
    <w:rsid w:val="00E365E1"/>
    <w:rsid w:val="00E820A4"/>
    <w:rsid w:val="00EB006A"/>
    <w:rsid w:val="00EB4772"/>
    <w:rsid w:val="00ED169E"/>
    <w:rsid w:val="00ED4235"/>
    <w:rsid w:val="00EE42C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C6A4B"/>
  <w15:chartTrackingRefBased/>
  <w15:docId w15:val="{A8630210-4B39-4091-A8B3-A7B19E52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B08C7"/>
    <w:pPr>
      <w:spacing w:after="240"/>
      <w:ind w:left="567" w:hanging="567"/>
    </w:pPr>
  </w:style>
  <w:style w:type="paragraph" w:customStyle="1" w:styleId="EPComma">
    <w:name w:val="EPComma"/>
    <w:basedOn w:val="Normal"/>
    <w:rsid w:val="00AB08C7"/>
    <w:pPr>
      <w:spacing w:before="480" w:after="240"/>
    </w:pPr>
  </w:style>
  <w:style w:type="paragraph" w:styleId="BalloonText">
    <w:name w:val="Balloon Text"/>
    <w:basedOn w:val="Normal"/>
    <w:link w:val="BalloonTextChar"/>
    <w:rsid w:val="00EE42CC"/>
    <w:rPr>
      <w:rFonts w:ascii="Segoe UI" w:hAnsi="Segoe UI" w:cs="Segoe UI"/>
      <w:sz w:val="18"/>
      <w:szCs w:val="18"/>
    </w:rPr>
  </w:style>
  <w:style w:type="character" w:customStyle="1" w:styleId="BalloonTextChar">
    <w:name w:val="Balloon Text Char"/>
    <w:basedOn w:val="DefaultParagraphFont"/>
    <w:link w:val="BalloonText"/>
    <w:rsid w:val="00EE42C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E3130-6E0E-4185-9235-78342762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2024-02-06T11:31:00Z</dcterms:created>
  <dcterms:modified xsi:type="dcterms:W3CDTF">2024-02-06T11:31:00Z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A9-0028/2024</vt:lpwstr>
  </property>
  <property fmtid="{D5CDD505-2E9C-101B-9397-08002B2CF9AE}" pid="4" name="&lt;Type&gt;">
    <vt:lpwstr>RR</vt:lpwstr>
  </property>
</Properties>
</file>