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05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0506" w:rsidRDefault="00002B15" w:rsidP="0010095E">
            <w:pPr>
              <w:pStyle w:val="EPName"/>
            </w:pPr>
            <w:r w:rsidRPr="008D0506">
              <w:t>Europos Parlamentas</w:t>
            </w:r>
          </w:p>
          <w:p w:rsidR="00751A4A" w:rsidRPr="008D05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050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0506" w:rsidRDefault="00187494" w:rsidP="0010095E">
            <w:pPr>
              <w:pStyle w:val="EPLogo"/>
            </w:pPr>
            <w:r w:rsidRPr="008D0506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0506" w:rsidRDefault="00D058B8" w:rsidP="004C5D52">
      <w:pPr>
        <w:pStyle w:val="LineTop"/>
      </w:pPr>
    </w:p>
    <w:p w:rsidR="00680577" w:rsidRPr="008D0506" w:rsidRDefault="00002B15" w:rsidP="00680577">
      <w:pPr>
        <w:pStyle w:val="EPBodyTA1"/>
      </w:pPr>
      <w:r w:rsidRPr="008D0506">
        <w:t>PRIIMTI TEKSTAI</w:t>
      </w:r>
    </w:p>
    <w:p w:rsidR="00D058B8" w:rsidRPr="008D0506" w:rsidRDefault="00D058B8" w:rsidP="00D058B8">
      <w:pPr>
        <w:pStyle w:val="LineBottom"/>
      </w:pPr>
    </w:p>
    <w:p w:rsidR="00002B15" w:rsidRPr="008D0506" w:rsidRDefault="00002B15" w:rsidP="00002B15">
      <w:pPr>
        <w:pStyle w:val="ATHeading1"/>
      </w:pPr>
      <w:bookmarkStart w:id="0" w:name="TANumber"/>
      <w:r w:rsidRPr="008D0506">
        <w:t>P9_TA(2024)00</w:t>
      </w:r>
      <w:r w:rsidR="00B007CA">
        <w:t>55</w:t>
      </w:r>
      <w:bookmarkStart w:id="1" w:name="_GoBack"/>
      <w:bookmarkEnd w:id="0"/>
      <w:bookmarkEnd w:id="1"/>
    </w:p>
    <w:p w:rsidR="00002B15" w:rsidRPr="008D0506" w:rsidRDefault="00002B15" w:rsidP="00002B15">
      <w:pPr>
        <w:pStyle w:val="ATHeading2"/>
      </w:pPr>
      <w:bookmarkStart w:id="2" w:name="title"/>
      <w:r w:rsidRPr="008D0506">
        <w:t xml:space="preserve">Prašymas atšaukti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 xml:space="preserve"> (Georgios </w:t>
      </w:r>
      <w:proofErr w:type="spellStart"/>
      <w:r w:rsidRPr="008D0506">
        <w:t>Kyrtsos</w:t>
      </w:r>
      <w:proofErr w:type="spellEnd"/>
      <w:r w:rsidRPr="008D0506">
        <w:t>) imunitetą</w:t>
      </w:r>
      <w:bookmarkEnd w:id="2"/>
    </w:p>
    <w:p w:rsidR="00002B15" w:rsidRPr="008D0506" w:rsidRDefault="00002B15" w:rsidP="00002B15">
      <w:pPr>
        <w:rPr>
          <w:i/>
          <w:vanish/>
        </w:rPr>
      </w:pPr>
      <w:r w:rsidRPr="008D0506">
        <w:rPr>
          <w:i/>
        </w:rPr>
        <w:fldChar w:fldCharType="begin"/>
      </w:r>
      <w:r w:rsidRPr="008D0506">
        <w:rPr>
          <w:i/>
        </w:rPr>
        <w:instrText xml:space="preserve"> TC"(</w:instrText>
      </w:r>
      <w:bookmarkStart w:id="3" w:name="DocNumber"/>
      <w:r w:rsidRPr="008D0506">
        <w:rPr>
          <w:i/>
        </w:rPr>
        <w:instrText>A9-0028/2024</w:instrText>
      </w:r>
      <w:bookmarkEnd w:id="3"/>
      <w:r w:rsidRPr="008D0506">
        <w:rPr>
          <w:i/>
        </w:rPr>
        <w:instrText xml:space="preserve"> - Pranešėjas: </w:instrText>
      </w:r>
      <w:proofErr w:type="spellStart"/>
      <w:r w:rsidRPr="008D0506">
        <w:rPr>
          <w:i/>
        </w:rPr>
        <w:instrText>Angel</w:instrText>
      </w:r>
      <w:proofErr w:type="spellEnd"/>
      <w:r w:rsidRPr="008D0506">
        <w:rPr>
          <w:i/>
        </w:rPr>
        <w:instrText xml:space="preserve"> </w:instrText>
      </w:r>
      <w:proofErr w:type="spellStart"/>
      <w:r w:rsidRPr="008D0506">
        <w:rPr>
          <w:i/>
        </w:rPr>
        <w:instrText>Dzhambazki</w:instrText>
      </w:r>
      <w:proofErr w:type="spellEnd"/>
      <w:r w:rsidRPr="008D0506">
        <w:rPr>
          <w:i/>
        </w:rPr>
        <w:instrText xml:space="preserve">)"\l3 \n&gt; \* MERGEFORMAT </w:instrText>
      </w:r>
      <w:r w:rsidRPr="008D0506">
        <w:rPr>
          <w:i/>
        </w:rPr>
        <w:fldChar w:fldCharType="end"/>
      </w:r>
    </w:p>
    <w:p w:rsidR="00002B15" w:rsidRPr="008D0506" w:rsidRDefault="00002B15" w:rsidP="00002B15">
      <w:pPr>
        <w:rPr>
          <w:vanish/>
        </w:rPr>
      </w:pPr>
      <w:bookmarkStart w:id="4" w:name="Commission"/>
      <w:r w:rsidRPr="008D0506">
        <w:rPr>
          <w:vanish/>
        </w:rPr>
        <w:t>Teisės reikalų komitetas</w:t>
      </w:r>
      <w:bookmarkEnd w:id="4"/>
    </w:p>
    <w:p w:rsidR="00002B15" w:rsidRPr="008D0506" w:rsidRDefault="00002B15" w:rsidP="00002B15">
      <w:pPr>
        <w:rPr>
          <w:vanish/>
        </w:rPr>
      </w:pPr>
      <w:bookmarkStart w:id="5" w:name="PE"/>
      <w:r w:rsidRPr="008D0506">
        <w:rPr>
          <w:vanish/>
        </w:rPr>
        <w:t>PE756.043</w:t>
      </w:r>
      <w:bookmarkEnd w:id="5"/>
    </w:p>
    <w:p w:rsidR="00002B15" w:rsidRPr="008D0506" w:rsidRDefault="00F15B1E" w:rsidP="00F15B1E">
      <w:pPr>
        <w:pStyle w:val="ATHeading3"/>
      </w:pPr>
      <w:bookmarkStart w:id="6" w:name="Sujet"/>
      <w:r>
        <w:t xml:space="preserve">2024 m. vasario 6 d. </w:t>
      </w:r>
      <w:r w:rsidR="00002B15" w:rsidRPr="008D0506">
        <w:t xml:space="preserve">Europos Parlamento sprendimas dėl prašymo atšaukti </w:t>
      </w:r>
      <w:proofErr w:type="spellStart"/>
      <w:r w:rsidR="00002B15" w:rsidRPr="008D0506">
        <w:t>Georgioso</w:t>
      </w:r>
      <w:proofErr w:type="spellEnd"/>
      <w:r w:rsidR="00002B15" w:rsidRPr="008D0506">
        <w:t xml:space="preserve"> </w:t>
      </w:r>
      <w:proofErr w:type="spellStart"/>
      <w:r w:rsidR="00002B15" w:rsidRPr="008D0506">
        <w:t>Kyrtsoso</w:t>
      </w:r>
      <w:proofErr w:type="spellEnd"/>
      <w:r w:rsidR="00002B15" w:rsidRPr="008D0506">
        <w:t xml:space="preserve"> (Georgios </w:t>
      </w:r>
      <w:proofErr w:type="spellStart"/>
      <w:r w:rsidR="00002B15" w:rsidRPr="008D0506">
        <w:t>Kyrtsos</w:t>
      </w:r>
      <w:proofErr w:type="spellEnd"/>
      <w:r w:rsidR="00002B15" w:rsidRPr="008D0506">
        <w:t>) imunitetą</w:t>
      </w:r>
      <w:bookmarkEnd w:id="6"/>
      <w:r w:rsidR="00002B15" w:rsidRPr="008D0506">
        <w:t xml:space="preserve"> </w:t>
      </w:r>
      <w:bookmarkStart w:id="7" w:name="References"/>
      <w:r w:rsidR="00002B15" w:rsidRPr="008D0506">
        <w:t>(2023/2185(IMM))</w:t>
      </w:r>
      <w:bookmarkEnd w:id="7"/>
    </w:p>
    <w:p w:rsidR="00DA788E" w:rsidRPr="008D0506" w:rsidRDefault="00DA788E" w:rsidP="00DA788E">
      <w:pPr>
        <w:pStyle w:val="EPComma"/>
      </w:pPr>
      <w:bookmarkStart w:id="8" w:name="TextBodyBegin"/>
      <w:bookmarkEnd w:id="8"/>
      <w:r w:rsidRPr="008D0506">
        <w:rPr>
          <w:i/>
        </w:rPr>
        <w:t>Europos Parlamentas</w:t>
      </w:r>
      <w:r w:rsidRPr="008D0506">
        <w:t>,</w:t>
      </w:r>
    </w:p>
    <w:p w:rsidR="00DA788E" w:rsidRPr="008D0506" w:rsidRDefault="00DA788E" w:rsidP="00DA788E">
      <w:pPr>
        <w:pStyle w:val="NormalHanging12a"/>
      </w:pPr>
      <w:r w:rsidRPr="008D0506">
        <w:t>–</w:t>
      </w:r>
      <w:r w:rsidRPr="008D0506">
        <w:tab/>
        <w:t xml:space="preserve">atsižvelgdamas į Graikijos Aukščiausiojo Teismo prokuroro pavaduotojo 2023 m. birželio 27 d. laišku perduotą Atėnų pirmosios instancijos teismo prokuroro prašymą atšaukti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 xml:space="preserve"> imunitetą ryšium su baudžiamuoju procesu, kuris buvo paskelbtas 2023 m. liepos 10 d. plenariniame posėdyje,</w:t>
      </w:r>
    </w:p>
    <w:p w:rsidR="00DA788E" w:rsidRPr="008D0506" w:rsidRDefault="00DA788E" w:rsidP="00DA788E">
      <w:pPr>
        <w:pStyle w:val="NormalHanging12a"/>
      </w:pPr>
      <w:r w:rsidRPr="008D0506">
        <w:t>–</w:t>
      </w:r>
      <w:r w:rsidRPr="008D0506">
        <w:tab/>
        <w:t xml:space="preserve">išklausęs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 xml:space="preserve"> paaiškinimų, kaip nurodyta Darbo tvarkos taisyklių 9 straipsnio 6 dalyje,</w:t>
      </w:r>
    </w:p>
    <w:p w:rsidR="00DA788E" w:rsidRPr="008D0506" w:rsidRDefault="00DA788E" w:rsidP="00DA788E">
      <w:pPr>
        <w:pStyle w:val="NormalHanging12a"/>
      </w:pPr>
      <w:r w:rsidRPr="008D0506">
        <w:t>–</w:t>
      </w:r>
      <w:r w:rsidRPr="008D0506">
        <w:tab/>
        <w:t>atsižvelgdamas į Protokolo Nr. 7 dėl Europos Sąjungos privilegijų ir imunitetų 8 ir 9 straipsnius ir į 1976 m. rugsėjo 20 d. Akto dėl Europos Parlamento narių rinkimų remiantis tiesiogine visuotine rinkimų teise 6 straipsnio 2 dalį,</w:t>
      </w:r>
    </w:p>
    <w:p w:rsidR="00DA788E" w:rsidRPr="008D0506" w:rsidRDefault="00DA788E" w:rsidP="00DA788E">
      <w:pPr>
        <w:pStyle w:val="NormalHanging12a"/>
      </w:pPr>
      <w:r w:rsidRPr="008D0506">
        <w:t>–</w:t>
      </w:r>
      <w:r w:rsidRPr="008D0506">
        <w:tab/>
        <w:t>atsižvelgdamas į Europos Sąjungos Teisingumo Teismo 2008 m. spalio 21 d., 2010 m. kovo 19 d., 2011 m. rugsėjo 6 d., 2013 m. sausio 17 d. ir 2019 m. gruodžio 19 d. sprendimus</w:t>
      </w:r>
      <w:r w:rsidRPr="008D0506">
        <w:rPr>
          <w:rStyle w:val="FootnoteReference"/>
          <w:color w:val="000000"/>
        </w:rPr>
        <w:footnoteReference w:id="1"/>
      </w:r>
      <w:r w:rsidRPr="008D0506">
        <w:t>,</w:t>
      </w:r>
    </w:p>
    <w:p w:rsidR="00DA788E" w:rsidRPr="008D0506" w:rsidRDefault="00DA788E" w:rsidP="00DA788E">
      <w:pPr>
        <w:pStyle w:val="NormalHanging12a"/>
      </w:pPr>
      <w:r w:rsidRPr="008D0506">
        <w:t>–</w:t>
      </w:r>
      <w:r w:rsidRPr="008D0506">
        <w:tab/>
        <w:t>atsižvelgdamas į Graikijos Respublikos Konstitucijos 62 straipsnį,</w:t>
      </w:r>
    </w:p>
    <w:p w:rsidR="00DA788E" w:rsidRPr="008D0506" w:rsidRDefault="00DA788E" w:rsidP="00DA788E">
      <w:pPr>
        <w:pStyle w:val="NormalHanging12a"/>
      </w:pPr>
      <w:r w:rsidRPr="008D0506">
        <w:t>–</w:t>
      </w:r>
      <w:r w:rsidRPr="008D0506">
        <w:tab/>
        <w:t>atsižvelgdamas į Darbo tvarkos taisyklių 5 straipsnio 2 dalį, 6 straipsnio 1 dalį ir 9 straipsnį,</w:t>
      </w:r>
    </w:p>
    <w:p w:rsidR="00DA788E" w:rsidRPr="008D0506" w:rsidRDefault="00DA788E" w:rsidP="00DA788E">
      <w:pPr>
        <w:pStyle w:val="NormalHanging12a"/>
      </w:pPr>
      <w:r w:rsidRPr="008D0506">
        <w:lastRenderedPageBreak/>
        <w:t>–</w:t>
      </w:r>
      <w:r w:rsidRPr="008D0506">
        <w:tab/>
        <w:t>atsižvelgdamas į Teisės reikalų komiteto pranešimą (A9-0028/2024),</w:t>
      </w:r>
    </w:p>
    <w:p w:rsidR="00DA788E" w:rsidRPr="008D0506" w:rsidRDefault="00DA788E" w:rsidP="00DA788E">
      <w:pPr>
        <w:pStyle w:val="NormalHanging12a"/>
      </w:pPr>
      <w:r w:rsidRPr="008D0506">
        <w:t>A.</w:t>
      </w:r>
      <w:r w:rsidRPr="008D0506">
        <w:tab/>
        <w:t xml:space="preserve">kadangi Atėnų pirmosios instancijos teismo prokuroras paprašė atšaukti Graikijoje išrinkto Europos Parlamento nario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 xml:space="preserve"> imunitetą ryšium su baudžiamuoju procesu, kuris turi būti pradėtas jo atžvilgiu dėl nesumokėtos tam tikros sumos, kurią jis yra skolingas Graikijos valstybei;</w:t>
      </w:r>
    </w:p>
    <w:p w:rsidR="00DA788E" w:rsidRPr="008D0506" w:rsidRDefault="00DA788E" w:rsidP="00DA788E">
      <w:pPr>
        <w:pStyle w:val="NormalHanging12a"/>
      </w:pPr>
      <w:r w:rsidRPr="008D0506">
        <w:t>B.</w:t>
      </w:r>
      <w:r w:rsidRPr="008D0506">
        <w:tab/>
        <w:t xml:space="preserve">kadangi Georgios </w:t>
      </w:r>
      <w:proofErr w:type="spellStart"/>
      <w:r w:rsidRPr="008D0506">
        <w:t>Kyrtsos</w:t>
      </w:r>
      <w:proofErr w:type="spellEnd"/>
      <w:r w:rsidRPr="008D0506">
        <w:t xml:space="preserve">, kaip bendrovės „KMP </w:t>
      </w:r>
      <w:proofErr w:type="spellStart"/>
      <w:r w:rsidRPr="008D0506">
        <w:t>Ekdotiki</w:t>
      </w:r>
      <w:proofErr w:type="spellEnd"/>
      <w:r w:rsidRPr="008D0506">
        <w:t xml:space="preserve"> </w:t>
      </w:r>
      <w:proofErr w:type="spellStart"/>
      <w:r w:rsidRPr="008D0506">
        <w:t>Anonimi</w:t>
      </w:r>
      <w:proofErr w:type="spellEnd"/>
      <w:r w:rsidRPr="008D0506">
        <w:t xml:space="preserve"> </w:t>
      </w:r>
      <w:proofErr w:type="spellStart"/>
      <w:r w:rsidRPr="008D0506">
        <w:t>Etaireia</w:t>
      </w:r>
      <w:proofErr w:type="spellEnd"/>
      <w:r w:rsidRPr="008D0506">
        <w:t>“ vykdomojo direktoriaus pavaduotojas, yra kaltinamas tuo, kad nesumokėjo tam tikros sumos, kurią jis yra skolingas Graikijos valstybei;</w:t>
      </w:r>
    </w:p>
    <w:p w:rsidR="00DA788E" w:rsidRPr="008D0506" w:rsidRDefault="00DA788E" w:rsidP="00DA788E">
      <w:pPr>
        <w:pStyle w:val="NormalHanging12a"/>
      </w:pPr>
      <w:r w:rsidRPr="008D0506">
        <w:t>C.</w:t>
      </w:r>
      <w:r w:rsidRPr="008D0506">
        <w:tab/>
        <w:t xml:space="preserve">kadangi veika, kurią, kaip įtariama, įvykdė Georgios </w:t>
      </w:r>
      <w:proofErr w:type="spellStart"/>
      <w:r w:rsidRPr="008D0506">
        <w:t>Kyrtsos</w:t>
      </w:r>
      <w:proofErr w:type="spellEnd"/>
      <w:r w:rsidRPr="008D0506">
        <w:t>, yra skolos valstybei nesumokėjimas pagal Graikijos įstatymo Nr. 1882/90 25 straipsnio 1 dalies b punktą, pakeistą Graikijos įstatymo Nr. 2523/97 23 straipsnio 1 dalimi, iš dalies pakeistą Graikijos įstatymo Nr. 2948/01 18 straipsnio 2 dalimi ir 28 straipsnio 2–4 dalimis, papildytą Graikijos įstatymo Nr. 3016/02 34 straipsniu, Graikijos įstatymo Nr. 3220/04 34 straipsnio 1 dalimi ir Graikijos įstatymo Nr. 3943/11 3 straipsnio 1 dalimi, pakeistą Graikijos įstatymo Nr. 4321/15 20 straipsniu, iš dalies pakeistą Graikijos įstatymo Nr. 4174/13 71 straipsnio 2 dalimi (kuri buvo papildyta Graikijos įstatymo Nr. 4337/15 8 straipsniu) ir papildytą Graikijos įstatymo Nr. 4619/19 469 straipsniu;</w:t>
      </w:r>
    </w:p>
    <w:p w:rsidR="00DA788E" w:rsidRPr="008D0506" w:rsidRDefault="00DA788E" w:rsidP="00DA788E">
      <w:pPr>
        <w:pStyle w:val="NormalHanging12a"/>
      </w:pPr>
      <w:r w:rsidRPr="008D0506">
        <w:t>D.</w:t>
      </w:r>
      <w:r w:rsidRPr="008D0506">
        <w:tab/>
        <w:t xml:space="preserve">kadangi Parlamento nario imuniteto paskirtis – apsaugoti Parlamentą ir jo narius nuo patraukimo atsakomybėn už veiksmus, kurie yra padaryti vykdant Parlamento nario įgaliojimus ir kurių negalima atskirti nuo tų įgaliojimų; kadangi galima nusikalstama veika akivaizdžiai neturi tiesioginio ryšio su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>, kaip Europos Parlamento nario, veikla, o yra susijusi su jo, kaip spaudos bendrovės vadovo, pareigomis;</w:t>
      </w:r>
    </w:p>
    <w:p w:rsidR="00DA788E" w:rsidRPr="008D0506" w:rsidRDefault="00DA788E" w:rsidP="00DA788E">
      <w:pPr>
        <w:pStyle w:val="NormalHanging12a"/>
      </w:pPr>
      <w:r w:rsidRPr="008D0506">
        <w:t>E.</w:t>
      </w:r>
      <w:r w:rsidRPr="008D0506">
        <w:tab/>
        <w:t xml:space="preserve">kadangi galima nusikalstama veika nėra susijusi su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 xml:space="preserve"> pareikšta nuomone ar balsavimu einant Europos Parlamento nario pareigas, kaip apibrėžta Protokolo Nr. 7 dėl Europos Sąjungos privilegijų ir imunitetų 8 straipsnyje;</w:t>
      </w:r>
    </w:p>
    <w:p w:rsidR="00DA788E" w:rsidRPr="008D0506" w:rsidRDefault="00DA788E" w:rsidP="00DA788E">
      <w:pPr>
        <w:pStyle w:val="NormalHanging12a"/>
      </w:pPr>
      <w:r w:rsidRPr="008D0506">
        <w:t>F.</w:t>
      </w:r>
      <w:r w:rsidRPr="008D0506">
        <w:tab/>
        <w:t>kadangi pagal Protokolo Nr. 7 dėl Europos Sąjungos privilegijų ir imunitetų 9 straipsnį Europos Parlamento nariai savo valstybės narės teritorijoje naudojasi imunitetais, kurie toje valstybėje narėje yra suteikiami parlamento nariams, o visų kitų valstybių narių teritorijose – imunitetu nuo bet kokios sulaikymo priemonės ir patraukimo atsakomybėn; kadangi imunitetu negali naudotis narys, užkluptas darantis nusikaltimą, taip pat joks imunitetas negali sukliudyti Europos Parlamentui pasinaudoti savo teise atšaukti vieno iš narių imunitetą;</w:t>
      </w:r>
    </w:p>
    <w:p w:rsidR="00DA788E" w:rsidRPr="008D0506" w:rsidRDefault="00DA788E" w:rsidP="00DA788E">
      <w:pPr>
        <w:pStyle w:val="NormalHanging12a"/>
      </w:pPr>
      <w:r w:rsidRPr="008D0506">
        <w:t>G.</w:t>
      </w:r>
      <w:r w:rsidRPr="008D0506">
        <w:tab/>
        <w:t>kadangi pagal Graikijos Respublikos Konstitucijos 62 straipsnį parlamento nariai savo kadencijos metu negali būti traukiami baudžiamojon atsakomybėn, suimami, kalinami ar kitaip negali būti ribojama jų laisvė, negavus išankstinio parlamento sutikimo;</w:t>
      </w:r>
    </w:p>
    <w:p w:rsidR="00DA788E" w:rsidRPr="008D0506" w:rsidRDefault="00DA788E" w:rsidP="00DA788E">
      <w:pPr>
        <w:pStyle w:val="NormalHanging12a"/>
      </w:pPr>
      <w:r w:rsidRPr="008D0506">
        <w:t>H.</w:t>
      </w:r>
      <w:r w:rsidRPr="008D0506">
        <w:tab/>
        <w:t xml:space="preserve">kadangi šiuo atveju Parlamentas nenustatė jokių </w:t>
      </w:r>
      <w:proofErr w:type="spellStart"/>
      <w:r w:rsidRPr="008D0506">
        <w:rPr>
          <w:i/>
        </w:rPr>
        <w:t>fumus</w:t>
      </w:r>
      <w:proofErr w:type="spellEnd"/>
      <w:r w:rsidRPr="008D0506">
        <w:rPr>
          <w:i/>
        </w:rPr>
        <w:t xml:space="preserve"> </w:t>
      </w:r>
      <w:proofErr w:type="spellStart"/>
      <w:r w:rsidRPr="008D0506">
        <w:rPr>
          <w:i/>
        </w:rPr>
        <w:t>persecutionis</w:t>
      </w:r>
      <w:proofErr w:type="spellEnd"/>
      <w:r w:rsidRPr="008D0506">
        <w:rPr>
          <w:i/>
        </w:rPr>
        <w:t xml:space="preserve"> </w:t>
      </w:r>
      <w:r w:rsidRPr="008D0506">
        <w:t>įrodymų, t. y. faktų, kurie patvirtintų, kad atitinkamas ikiteisminis tyrimas pradėtas siekiant pakenkti Parlamento nario, taigi ir Europos Parlamento, politinei veiklai;</w:t>
      </w:r>
    </w:p>
    <w:p w:rsidR="00DA788E" w:rsidRPr="008D0506" w:rsidRDefault="00DA788E" w:rsidP="00DA788E">
      <w:pPr>
        <w:pStyle w:val="NormalHanging12a"/>
      </w:pPr>
      <w:r w:rsidRPr="008D0506">
        <w:t>I.</w:t>
      </w:r>
      <w:r w:rsidRPr="008D0506">
        <w:tab/>
        <w:t xml:space="preserve">kadangi tik Parlamentas gali nuspręsti, ar konkrečiu atveju atšaukti imunitetą, ar ne; kadangi Parlamentas gali pagrįstai atsižvelgti į Parlamento nario poziciją, kad galėtų </w:t>
      </w:r>
      <w:r w:rsidRPr="008D0506">
        <w:lastRenderedPageBreak/>
        <w:t>priimti sprendimą, ar atšaukti jo imunitetą, ar jo neatšaukti</w:t>
      </w:r>
      <w:r w:rsidRPr="008D0506">
        <w:rPr>
          <w:spacing w:val="-4"/>
          <w:vertAlign w:val="superscript"/>
        </w:rPr>
        <w:footnoteReference w:id="2"/>
      </w:r>
      <w:r w:rsidRPr="008D0506">
        <w:t xml:space="preserve">; kadangi klausymo metu Georgios </w:t>
      </w:r>
      <w:proofErr w:type="spellStart"/>
      <w:r w:rsidRPr="008D0506">
        <w:t>Kyrtsos</w:t>
      </w:r>
      <w:proofErr w:type="spellEnd"/>
      <w:r w:rsidRPr="008D0506">
        <w:t xml:space="preserve"> pareiškė, jog neprieštarauja tam, kad būtų atšauktas jo, kaip Parlamento nario, imunitetas;</w:t>
      </w:r>
    </w:p>
    <w:p w:rsidR="00DA788E" w:rsidRPr="008D0506" w:rsidRDefault="00DA788E" w:rsidP="00DA788E">
      <w:pPr>
        <w:pStyle w:val="NormalHanging12a"/>
      </w:pPr>
      <w:r w:rsidRPr="008D0506">
        <w:t>J.</w:t>
      </w:r>
      <w:r w:rsidRPr="008D0506">
        <w:tab/>
        <w:t>kadangi, pirma, Parlamentas negali būti prilyginamas teismui ir, antra, vykstant imuniteto atšaukimo procedūrai Parlamento narys negali būti laikomas „kaltinamuoju“</w:t>
      </w:r>
      <w:r w:rsidRPr="008D0506">
        <w:rPr>
          <w:vertAlign w:val="superscript"/>
        </w:rPr>
        <w:footnoteReference w:id="3"/>
      </w:r>
      <w:r w:rsidRPr="008D0506">
        <w:t>;</w:t>
      </w:r>
    </w:p>
    <w:p w:rsidR="00DA788E" w:rsidRPr="008D0506" w:rsidRDefault="00DA788E" w:rsidP="00DA788E">
      <w:pPr>
        <w:pStyle w:val="NormalHanging12a"/>
      </w:pPr>
      <w:r w:rsidRPr="008D0506">
        <w:t>1.</w:t>
      </w:r>
      <w:r w:rsidRPr="008D0506">
        <w:tab/>
        <w:t xml:space="preserve">nusprendžia atšaukti </w:t>
      </w:r>
      <w:proofErr w:type="spellStart"/>
      <w:r w:rsidRPr="008D0506">
        <w:t>Georgioso</w:t>
      </w:r>
      <w:proofErr w:type="spellEnd"/>
      <w:r w:rsidRPr="008D0506">
        <w:t xml:space="preserve"> </w:t>
      </w:r>
      <w:proofErr w:type="spellStart"/>
      <w:r w:rsidRPr="008D0506">
        <w:t>Kyrtsoso</w:t>
      </w:r>
      <w:proofErr w:type="spellEnd"/>
      <w:r w:rsidRPr="008D0506">
        <w:t xml:space="preserve"> imunitetą;</w:t>
      </w:r>
    </w:p>
    <w:p w:rsidR="00E365E1" w:rsidRPr="008D0506" w:rsidRDefault="00DA788E" w:rsidP="00F15B1E">
      <w:pPr>
        <w:pStyle w:val="NormalHanging12a"/>
      </w:pPr>
      <w:r w:rsidRPr="008D0506">
        <w:t>2.</w:t>
      </w:r>
      <w:r w:rsidRPr="008D0506">
        <w:tab/>
        <w:t xml:space="preserve">paveda Pirmininkei nedelsiant perduoti šį sprendimą ir atsakingo komiteto pranešimą Graikijos institucijoms ir </w:t>
      </w:r>
      <w:proofErr w:type="spellStart"/>
      <w:r w:rsidRPr="008D0506">
        <w:t>Georgiosui</w:t>
      </w:r>
      <w:proofErr w:type="spellEnd"/>
      <w:r w:rsidRPr="008D0506">
        <w:t xml:space="preserve"> </w:t>
      </w:r>
      <w:proofErr w:type="spellStart"/>
      <w:r w:rsidRPr="008D0506">
        <w:t>Kyrtsosui</w:t>
      </w:r>
      <w:proofErr w:type="spellEnd"/>
      <w:r w:rsidRPr="008D0506">
        <w:t>.</w:t>
      </w:r>
      <w:bookmarkStart w:id="9" w:name="TextBodyEnd"/>
      <w:bookmarkEnd w:id="9"/>
    </w:p>
    <w:sectPr w:rsidR="00E365E1" w:rsidRPr="008D0506" w:rsidSect="008D05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B15" w:rsidRPr="008D0506" w:rsidRDefault="00002B15">
      <w:r w:rsidRPr="008D0506">
        <w:separator/>
      </w:r>
    </w:p>
  </w:endnote>
  <w:endnote w:type="continuationSeparator" w:id="0">
    <w:p w:rsidR="00002B15" w:rsidRPr="008D0506" w:rsidRDefault="00002B15">
      <w:r w:rsidRPr="008D05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5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5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5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B15" w:rsidRPr="008D0506" w:rsidRDefault="00002B15">
      <w:r w:rsidRPr="008D0506">
        <w:separator/>
      </w:r>
    </w:p>
  </w:footnote>
  <w:footnote w:type="continuationSeparator" w:id="0">
    <w:p w:rsidR="00002B15" w:rsidRPr="008D0506" w:rsidRDefault="00002B15">
      <w:r w:rsidRPr="008D0506">
        <w:continuationSeparator/>
      </w:r>
    </w:p>
  </w:footnote>
  <w:footnote w:id="1">
    <w:p w:rsidR="00DA788E" w:rsidRPr="008D0506" w:rsidRDefault="00DA788E" w:rsidP="008D0506">
      <w:pPr>
        <w:pStyle w:val="FootnoteText"/>
        <w:ind w:left="567" w:hanging="567"/>
        <w:rPr>
          <w:sz w:val="24"/>
          <w:lang w:val="lt-LT"/>
        </w:rPr>
      </w:pPr>
      <w:r w:rsidRPr="008D0506">
        <w:rPr>
          <w:rStyle w:val="FootnoteReference"/>
          <w:sz w:val="24"/>
          <w:lang w:val="lt-LT"/>
        </w:rPr>
        <w:footnoteRef/>
      </w:r>
      <w:r w:rsidR="008D0506" w:rsidRPr="008D0506">
        <w:rPr>
          <w:sz w:val="24"/>
          <w:lang w:val="lt-LT"/>
        </w:rPr>
        <w:t xml:space="preserve"> </w:t>
      </w:r>
      <w:r w:rsidR="008D0506" w:rsidRPr="008D0506">
        <w:rPr>
          <w:sz w:val="24"/>
          <w:lang w:val="lt-LT"/>
        </w:rPr>
        <w:tab/>
      </w:r>
      <w:r w:rsidRPr="008D0506">
        <w:rPr>
          <w:sz w:val="24"/>
          <w:lang w:val="lt-LT"/>
        </w:rPr>
        <w:t xml:space="preserve">2008 m. spalio 21 d. Teisingumo Teismo sprendimas </w:t>
      </w:r>
      <w:proofErr w:type="spellStart"/>
      <w:r w:rsidRPr="008D0506">
        <w:rPr>
          <w:i/>
          <w:sz w:val="24"/>
          <w:lang w:val="lt-LT"/>
        </w:rPr>
        <w:t>Marra</w:t>
      </w:r>
      <w:proofErr w:type="spellEnd"/>
      <w:r w:rsidRPr="008D0506">
        <w:rPr>
          <w:i/>
          <w:sz w:val="24"/>
          <w:lang w:val="lt-LT"/>
        </w:rPr>
        <w:t xml:space="preserve"> / De </w:t>
      </w:r>
      <w:proofErr w:type="spellStart"/>
      <w:r w:rsidRPr="008D0506">
        <w:rPr>
          <w:i/>
          <w:sz w:val="24"/>
          <w:lang w:val="lt-LT"/>
        </w:rPr>
        <w:t>Gregorio</w:t>
      </w:r>
      <w:proofErr w:type="spellEnd"/>
      <w:r w:rsidRPr="008D0506">
        <w:rPr>
          <w:i/>
          <w:sz w:val="24"/>
          <w:lang w:val="lt-LT"/>
        </w:rPr>
        <w:t xml:space="preserve"> ir </w:t>
      </w:r>
      <w:proofErr w:type="spellStart"/>
      <w:r w:rsidRPr="008D0506">
        <w:rPr>
          <w:i/>
          <w:sz w:val="24"/>
          <w:lang w:val="lt-LT"/>
        </w:rPr>
        <w:t>Clemente</w:t>
      </w:r>
      <w:proofErr w:type="spellEnd"/>
      <w:r w:rsidRPr="008D0506">
        <w:rPr>
          <w:sz w:val="24"/>
          <w:lang w:val="lt-LT"/>
        </w:rPr>
        <w:t xml:space="preserve">, C-200/07 ir C-201/07, ECLI:EU:C:2008:579; 2010 m. kovo 19 d. Bendrojo Teismo sprendimas </w:t>
      </w:r>
      <w:proofErr w:type="spellStart"/>
      <w:r w:rsidRPr="008D0506">
        <w:rPr>
          <w:i/>
          <w:sz w:val="24"/>
          <w:lang w:val="lt-LT"/>
        </w:rPr>
        <w:t>Gollnisch</w:t>
      </w:r>
      <w:proofErr w:type="spellEnd"/>
      <w:r w:rsidRPr="008D0506">
        <w:rPr>
          <w:i/>
          <w:sz w:val="24"/>
          <w:lang w:val="lt-LT"/>
        </w:rPr>
        <w:t xml:space="preserve"> / Parlamentas</w:t>
      </w:r>
      <w:r w:rsidRPr="008D0506">
        <w:rPr>
          <w:sz w:val="24"/>
          <w:lang w:val="lt-LT"/>
        </w:rPr>
        <w:t xml:space="preserve">, T-42/06, ECLI:EU:T:2010:102; 2011 m. rugsėjo 6 d. Teisingumo Teismo sprendimas </w:t>
      </w:r>
      <w:proofErr w:type="spellStart"/>
      <w:r w:rsidRPr="008D0506">
        <w:rPr>
          <w:i/>
          <w:sz w:val="24"/>
          <w:lang w:val="lt-LT"/>
        </w:rPr>
        <w:t>Patriciello</w:t>
      </w:r>
      <w:proofErr w:type="spellEnd"/>
      <w:r w:rsidRPr="008D0506">
        <w:rPr>
          <w:sz w:val="24"/>
          <w:lang w:val="lt-LT"/>
        </w:rPr>
        <w:t xml:space="preserve">, C-163/10, ECLI: EU:C:2011:543; 2013 m. sausio 17 d. Bendrojo Teismo sprendimas </w:t>
      </w:r>
      <w:proofErr w:type="spellStart"/>
      <w:r w:rsidRPr="008D0506">
        <w:rPr>
          <w:i/>
          <w:sz w:val="24"/>
          <w:lang w:val="lt-LT"/>
        </w:rPr>
        <w:t>Gollnisch</w:t>
      </w:r>
      <w:proofErr w:type="spellEnd"/>
      <w:r w:rsidRPr="008D0506">
        <w:rPr>
          <w:i/>
          <w:sz w:val="24"/>
          <w:lang w:val="lt-LT"/>
        </w:rPr>
        <w:t xml:space="preserve"> / Parlamentas</w:t>
      </w:r>
      <w:r w:rsidRPr="008D0506">
        <w:rPr>
          <w:sz w:val="24"/>
          <w:lang w:val="lt-LT"/>
        </w:rPr>
        <w:t xml:space="preserve">, T-346/11 ir T-347/11, ECLI:EU:T:2013:23; 2019 m. gruodžio 19 d. Teisingumo Teismo sprendimas </w:t>
      </w:r>
      <w:proofErr w:type="spellStart"/>
      <w:r w:rsidRPr="008D0506">
        <w:rPr>
          <w:i/>
          <w:sz w:val="24"/>
          <w:lang w:val="lt-LT"/>
        </w:rPr>
        <w:t>Junqueras</w:t>
      </w:r>
      <w:proofErr w:type="spellEnd"/>
      <w:r w:rsidRPr="008D0506">
        <w:rPr>
          <w:i/>
          <w:sz w:val="24"/>
          <w:lang w:val="lt-LT"/>
        </w:rPr>
        <w:t xml:space="preserve"> </w:t>
      </w:r>
      <w:proofErr w:type="spellStart"/>
      <w:r w:rsidRPr="008D0506">
        <w:rPr>
          <w:i/>
          <w:sz w:val="24"/>
          <w:lang w:val="lt-LT"/>
        </w:rPr>
        <w:t>Vies</w:t>
      </w:r>
      <w:proofErr w:type="spellEnd"/>
      <w:r w:rsidRPr="008D0506">
        <w:rPr>
          <w:sz w:val="24"/>
          <w:lang w:val="lt-LT"/>
        </w:rPr>
        <w:t>, C-502/19, ECLI:EU:C:2019:1115.</w:t>
      </w:r>
    </w:p>
  </w:footnote>
  <w:footnote w:id="2">
    <w:p w:rsidR="00DA788E" w:rsidRPr="008D0506" w:rsidRDefault="00DA788E" w:rsidP="008D0506">
      <w:pPr>
        <w:pStyle w:val="FootnoteText"/>
        <w:ind w:left="567" w:hanging="567"/>
        <w:rPr>
          <w:sz w:val="24"/>
          <w:lang w:val="lt-LT"/>
        </w:rPr>
      </w:pPr>
      <w:r w:rsidRPr="008D0506">
        <w:rPr>
          <w:rStyle w:val="FootnoteReference"/>
          <w:sz w:val="24"/>
          <w:lang w:val="lt-LT"/>
        </w:rPr>
        <w:footnoteRef/>
      </w:r>
      <w:r w:rsidR="008D0506" w:rsidRPr="008D0506">
        <w:rPr>
          <w:sz w:val="24"/>
          <w:lang w:val="lt-LT"/>
        </w:rPr>
        <w:t xml:space="preserve"> </w:t>
      </w:r>
      <w:r w:rsidR="008D0506" w:rsidRPr="008D0506">
        <w:rPr>
          <w:sz w:val="24"/>
          <w:lang w:val="lt-LT"/>
        </w:rPr>
        <w:tab/>
      </w:r>
      <w:r w:rsidRPr="008D0506">
        <w:rPr>
          <w:sz w:val="24"/>
          <w:lang w:val="lt-LT"/>
        </w:rPr>
        <w:t xml:space="preserve">2008 m. spalio 15 d. Bendrojo Teismo sprendimo </w:t>
      </w:r>
      <w:r w:rsidRPr="008D0506">
        <w:rPr>
          <w:i/>
          <w:sz w:val="24"/>
          <w:lang w:val="lt-LT"/>
        </w:rPr>
        <w:t>Mote / Parlamentas</w:t>
      </w:r>
      <w:r w:rsidRPr="008D0506">
        <w:rPr>
          <w:sz w:val="24"/>
          <w:lang w:val="lt-LT"/>
        </w:rPr>
        <w:t>, T-345/05, ECLI:EU:T:2008:440, 28 punktas.</w:t>
      </w:r>
    </w:p>
  </w:footnote>
  <w:footnote w:id="3">
    <w:p w:rsidR="00DA788E" w:rsidRPr="008D0506" w:rsidRDefault="00DA788E" w:rsidP="008D0506">
      <w:pPr>
        <w:pStyle w:val="FootnoteText"/>
        <w:ind w:left="567" w:hanging="567"/>
        <w:rPr>
          <w:sz w:val="24"/>
          <w:lang w:val="lt-LT"/>
        </w:rPr>
      </w:pPr>
      <w:r w:rsidRPr="008D0506">
        <w:rPr>
          <w:rStyle w:val="FootnoteReference"/>
          <w:sz w:val="24"/>
          <w:lang w:val="lt-LT"/>
        </w:rPr>
        <w:footnoteRef/>
      </w:r>
      <w:r w:rsidR="008D0506" w:rsidRPr="008D0506">
        <w:rPr>
          <w:sz w:val="24"/>
          <w:lang w:val="lt-LT"/>
        </w:rPr>
        <w:t xml:space="preserve"> </w:t>
      </w:r>
      <w:r w:rsidR="008D0506" w:rsidRPr="008D0506">
        <w:rPr>
          <w:sz w:val="24"/>
          <w:lang w:val="lt-LT"/>
        </w:rPr>
        <w:tab/>
      </w:r>
      <w:r w:rsidRPr="008D0506">
        <w:rPr>
          <w:sz w:val="24"/>
          <w:lang w:val="lt-LT"/>
        </w:rPr>
        <w:t xml:space="preserve">2019 m. balandžio 30 d. Bendrojo Teismo sprendimas </w:t>
      </w:r>
      <w:proofErr w:type="spellStart"/>
      <w:r w:rsidRPr="008D0506">
        <w:rPr>
          <w:i/>
          <w:sz w:val="24"/>
          <w:lang w:val="lt-LT"/>
        </w:rPr>
        <w:t>Briois</w:t>
      </w:r>
      <w:proofErr w:type="spellEnd"/>
      <w:r w:rsidRPr="008D0506">
        <w:rPr>
          <w:i/>
          <w:sz w:val="24"/>
          <w:lang w:val="lt-LT"/>
        </w:rPr>
        <w:t xml:space="preserve"> / Parlamentas</w:t>
      </w:r>
      <w:r w:rsidRPr="008D0506">
        <w:rPr>
          <w:sz w:val="24"/>
          <w:lang w:val="lt-L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5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5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5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LT"/>
    <w:docVar w:name="dvnumam" w:val="0"/>
    <w:docVar w:name="dvpe" w:val="756.043"/>
    <w:docVar w:name="dvrapporteur" w:val="Pranešėjas: "/>
    <w:docVar w:name="dvtitre" w:val="Europos Parlamento sprendimas dėl prašymo atšaukti Georgioso Kyrtsoso (Georgios Kyrtsos) imunitetą(2023/2185(IMM))"/>
  </w:docVars>
  <w:rsids>
    <w:rsidRoot w:val="00002B15"/>
    <w:rsid w:val="00002272"/>
    <w:rsid w:val="00002B1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50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7C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88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B1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494D0"/>
  <w15:chartTrackingRefBased/>
  <w15:docId w15:val="{05D717C2-4589-40DF-B26E-3C1045A1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A788E"/>
    <w:pPr>
      <w:spacing w:after="240"/>
      <w:ind w:left="567" w:hanging="567"/>
    </w:pPr>
  </w:style>
  <w:style w:type="paragraph" w:customStyle="1" w:styleId="EPComma">
    <w:name w:val="EPComma"/>
    <w:basedOn w:val="Normal"/>
    <w:rsid w:val="00DA788E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9A7C1-1304-4F5A-A253-C346077A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2024-02-05T15:31:00Z</dcterms:created>
  <dcterms:modified xsi:type="dcterms:W3CDTF">2024-02-06T09:43:00Z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