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23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23CD" w:rsidRDefault="00CA6966" w:rsidP="0010095E">
            <w:pPr>
              <w:pStyle w:val="EPName"/>
            </w:pPr>
            <w:bookmarkStart w:id="0" w:name="_GoBack"/>
            <w:bookmarkEnd w:id="0"/>
            <w:r w:rsidRPr="008123CD">
              <w:t>Eiropas Parlaments</w:t>
            </w:r>
          </w:p>
          <w:p w:rsidR="00751A4A" w:rsidRPr="008123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23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23CD" w:rsidRDefault="00187494" w:rsidP="0010095E">
            <w:pPr>
              <w:pStyle w:val="EPLogo"/>
            </w:pPr>
            <w:r w:rsidRPr="008123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23CD" w:rsidRDefault="00D058B8" w:rsidP="004C5D52">
      <w:pPr>
        <w:pStyle w:val="LineTop"/>
      </w:pPr>
    </w:p>
    <w:p w:rsidR="00680577" w:rsidRPr="008123CD" w:rsidRDefault="00CA6966" w:rsidP="00680577">
      <w:pPr>
        <w:pStyle w:val="EPBodyTA1"/>
      </w:pPr>
      <w:r w:rsidRPr="008123CD">
        <w:t>PIEŅEMTIE TEKSTI</w:t>
      </w:r>
    </w:p>
    <w:p w:rsidR="00D058B8" w:rsidRPr="008123CD" w:rsidRDefault="00D058B8" w:rsidP="00D058B8">
      <w:pPr>
        <w:pStyle w:val="LineBottom"/>
      </w:pPr>
    </w:p>
    <w:p w:rsidR="00CA6966" w:rsidRPr="008123CD" w:rsidRDefault="00CA6966" w:rsidP="00CA6966">
      <w:pPr>
        <w:pStyle w:val="ATHeading1"/>
      </w:pPr>
      <w:bookmarkStart w:id="1" w:name="TANumber"/>
      <w:r w:rsidRPr="008123CD">
        <w:t>P9_TA(2024)00</w:t>
      </w:r>
      <w:r w:rsidR="008123CD" w:rsidRPr="008123CD">
        <w:t>55</w:t>
      </w:r>
      <w:bookmarkEnd w:id="1"/>
    </w:p>
    <w:p w:rsidR="00CA6966" w:rsidRPr="008123CD" w:rsidRDefault="003E7660" w:rsidP="00CA6966">
      <w:pPr>
        <w:pStyle w:val="ATHeading2"/>
      </w:pPr>
      <w:bookmarkStart w:id="2" w:name="title"/>
      <w:r w:rsidRPr="008123CD">
        <w:t xml:space="preserve">Pieprasījums atcelt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imunitāti</w:t>
      </w:r>
      <w:bookmarkEnd w:id="2"/>
    </w:p>
    <w:p w:rsidR="00CA6966" w:rsidRPr="008123CD" w:rsidRDefault="00CA6966" w:rsidP="00CA6966">
      <w:pPr>
        <w:rPr>
          <w:i/>
          <w:vanish/>
        </w:rPr>
      </w:pPr>
      <w:r w:rsidRPr="008123CD">
        <w:rPr>
          <w:i/>
        </w:rPr>
        <w:fldChar w:fldCharType="begin"/>
      </w:r>
      <w:r w:rsidRPr="008123CD">
        <w:rPr>
          <w:i/>
        </w:rPr>
        <w:instrText xml:space="preserve"> TC"(</w:instrText>
      </w:r>
      <w:bookmarkStart w:id="3" w:name="DocNumber"/>
      <w:r w:rsidRPr="008123CD">
        <w:rPr>
          <w:i/>
        </w:rPr>
        <w:instrText>A9-0028/2024</w:instrText>
      </w:r>
      <w:bookmarkEnd w:id="3"/>
      <w:r w:rsidRPr="008123CD">
        <w:rPr>
          <w:i/>
        </w:rPr>
        <w:instrText xml:space="preserve"> - Referents: Angel Dzhambazki)"\l3 \n&gt; \* MERGEFORMAT </w:instrText>
      </w:r>
      <w:r w:rsidRPr="008123CD">
        <w:rPr>
          <w:i/>
        </w:rPr>
        <w:fldChar w:fldCharType="end"/>
      </w:r>
    </w:p>
    <w:p w:rsidR="00CA6966" w:rsidRPr="008123CD" w:rsidRDefault="00CA6966" w:rsidP="00CA6966">
      <w:pPr>
        <w:rPr>
          <w:vanish/>
        </w:rPr>
      </w:pPr>
      <w:bookmarkStart w:id="4" w:name="Commission"/>
      <w:r w:rsidRPr="008123CD">
        <w:rPr>
          <w:vanish/>
        </w:rPr>
        <w:t>Juridiskā komiteja</w:t>
      </w:r>
      <w:bookmarkEnd w:id="4"/>
    </w:p>
    <w:p w:rsidR="00CA6966" w:rsidRPr="008123CD" w:rsidRDefault="00CA6966" w:rsidP="00CA6966">
      <w:pPr>
        <w:rPr>
          <w:vanish/>
        </w:rPr>
      </w:pPr>
      <w:bookmarkStart w:id="5" w:name="PE"/>
      <w:r w:rsidRPr="008123CD">
        <w:rPr>
          <w:vanish/>
        </w:rPr>
        <w:t>PE756.043</w:t>
      </w:r>
      <w:bookmarkEnd w:id="5"/>
    </w:p>
    <w:p w:rsidR="00CA6966" w:rsidRPr="008123CD" w:rsidRDefault="00CA6966" w:rsidP="00CA6966">
      <w:pPr>
        <w:pStyle w:val="ATHeading3"/>
      </w:pPr>
      <w:bookmarkStart w:id="6" w:name="Sujet"/>
      <w:r w:rsidRPr="008123CD">
        <w:t xml:space="preserve">Eiropas Parlamenta 2024. gada </w:t>
      </w:r>
      <w:r w:rsidR="003E7660" w:rsidRPr="008123CD">
        <w:t>6. februāra</w:t>
      </w:r>
      <w:r w:rsidRPr="008123CD">
        <w:t xml:space="preserve"> lēmums par pieprasījumu atcelt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imunitāti</w:t>
      </w:r>
      <w:bookmarkEnd w:id="6"/>
      <w:r w:rsidRPr="008123CD">
        <w:t xml:space="preserve"> </w:t>
      </w:r>
      <w:bookmarkStart w:id="7" w:name="References"/>
      <w:r w:rsidRPr="008123CD">
        <w:t>(2023/2185(IMM))</w:t>
      </w:r>
      <w:bookmarkEnd w:id="7"/>
    </w:p>
    <w:p w:rsidR="00D955D6" w:rsidRPr="008123CD" w:rsidRDefault="00D955D6" w:rsidP="00D955D6">
      <w:pPr>
        <w:pStyle w:val="EPComma"/>
      </w:pPr>
      <w:bookmarkStart w:id="8" w:name="TextBodyBegin"/>
      <w:bookmarkEnd w:id="8"/>
      <w:r w:rsidRPr="008123CD">
        <w:rPr>
          <w:i/>
        </w:rPr>
        <w:t>Eiropas Parlaments</w:t>
      </w:r>
      <w:r w:rsidRPr="008123CD">
        <w:t>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 xml:space="preserve">ņemot vērā Atēnu pirmās instances tiesas prokurora pieprasījumu atcelt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imunitāti , kuru Grieķijas Augstākās tiesas prokurora vietnieks nosūtīja 2023. gada 27. jūnija vēstulē un par kuru tika paziņots 2023. gada 10. jūlija plenārsēdē, saistībā ar kriminālprocesu, kas pret viņu ierosināts,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 xml:space="preserve">pēc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uzklausīšanas saskaņā ar Reglamenta 9. panta 6. punktu,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>ņemot vērā Protokola Nr. 7 par privilēģijām un imunitāti Eiropas Savienībā 8. un 9. pantu, kā arī 1976. gada 20. septembra Akta par Eiropas Parlamenta deputātu ievēlēšanu tiešās vispārējās vēlēšanās 6. panta 2. punktu,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>ņemot vērā Eiropas Savienības Tiesas 2008. gada 21. oktobra, 2010. gada 19. marta, 2011. gada 6. septembra, 2013. gada 17. janvāra un 2019. gada 19. decembra spriedumu</w:t>
      </w:r>
      <w:r w:rsidRPr="008123CD">
        <w:rPr>
          <w:rStyle w:val="FootnoteReference"/>
          <w:color w:val="000000"/>
        </w:rPr>
        <w:footnoteReference w:id="1"/>
      </w:r>
      <w:r w:rsidRPr="008123CD">
        <w:t>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>ņemot vērā Grieķijas Republikas konstitūcijas 62. pantu,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>ņemot vērā Reglamenta 5. panta 2. punktu, 6. panta 1. punktu un 9. pantu,</w:t>
      </w:r>
    </w:p>
    <w:p w:rsidR="00D955D6" w:rsidRPr="008123CD" w:rsidRDefault="00D955D6" w:rsidP="00D955D6">
      <w:pPr>
        <w:pStyle w:val="NormalHanging12a"/>
      </w:pPr>
      <w:r w:rsidRPr="008123CD">
        <w:t>–</w:t>
      </w:r>
      <w:r w:rsidRPr="008123CD">
        <w:tab/>
        <w:t>ņemot vērā Juridiskās komitejas ziņojumu (A9-0028/2024),</w:t>
      </w:r>
    </w:p>
    <w:p w:rsidR="00D955D6" w:rsidRPr="008123CD" w:rsidRDefault="00D955D6" w:rsidP="00D955D6">
      <w:pPr>
        <w:pStyle w:val="NormalHanging12a"/>
      </w:pPr>
      <w:r w:rsidRPr="008123CD">
        <w:t>A.</w:t>
      </w:r>
      <w:r w:rsidRPr="008123CD">
        <w:tab/>
        <w:t xml:space="preserve">tā kā Atēnu Pirmās instances tiesas prokurors ir pieprasījis atcelt no Grieķijas ievēlētā Eiropas Parlamenta deputāta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imunitāti saistībā ar kriminālprocesu pret viņu par konkrētas summas nesamaksāšanu Grieķijas valstij;</w:t>
      </w:r>
    </w:p>
    <w:p w:rsidR="00D955D6" w:rsidRPr="008123CD" w:rsidRDefault="00D955D6" w:rsidP="00D955D6">
      <w:pPr>
        <w:pStyle w:val="NormalHanging12a"/>
      </w:pPr>
      <w:r w:rsidRPr="008123CD">
        <w:t>B.</w:t>
      </w:r>
      <w:r w:rsidRPr="008123CD">
        <w:tab/>
        <w:t xml:space="preserve">tā kā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, tiek apsūdzēts par to, ka, būdams uzņēmuma </w:t>
      </w:r>
      <w:r w:rsidRPr="008123CD">
        <w:rPr>
          <w:i/>
        </w:rPr>
        <w:t xml:space="preserve">KMP </w:t>
      </w:r>
      <w:proofErr w:type="spellStart"/>
      <w:r w:rsidRPr="008123CD">
        <w:rPr>
          <w:i/>
        </w:rPr>
        <w:t>Ekdotiki</w:t>
      </w:r>
      <w:proofErr w:type="spellEnd"/>
      <w:r w:rsidRPr="008123CD">
        <w:rPr>
          <w:i/>
        </w:rPr>
        <w:t xml:space="preserve"> </w:t>
      </w:r>
      <w:proofErr w:type="spellStart"/>
      <w:r w:rsidRPr="008123CD">
        <w:rPr>
          <w:i/>
        </w:rPr>
        <w:lastRenderedPageBreak/>
        <w:t>Anonimi</w:t>
      </w:r>
      <w:proofErr w:type="spellEnd"/>
      <w:r w:rsidRPr="008123CD">
        <w:rPr>
          <w:i/>
        </w:rPr>
        <w:t xml:space="preserve"> </w:t>
      </w:r>
      <w:proofErr w:type="spellStart"/>
      <w:r w:rsidRPr="008123CD">
        <w:rPr>
          <w:i/>
        </w:rPr>
        <w:t>Etaireia</w:t>
      </w:r>
      <w:proofErr w:type="spellEnd"/>
      <w:r w:rsidRPr="008123CD">
        <w:t xml:space="preserve"> [KMP </w:t>
      </w:r>
      <w:proofErr w:type="spellStart"/>
      <w:r w:rsidRPr="008123CD">
        <w:t>Publishing</w:t>
      </w:r>
      <w:proofErr w:type="spellEnd"/>
      <w:r w:rsidRPr="008123CD">
        <w:t xml:space="preserve"> </w:t>
      </w:r>
      <w:proofErr w:type="spellStart"/>
      <w:r w:rsidRPr="008123CD">
        <w:t>plc</w:t>
      </w:r>
      <w:proofErr w:type="spellEnd"/>
      <w:r w:rsidRPr="008123CD">
        <w:t>] izpilddirektora vietnieks, nav samaksājis noteiktu summu nesamaksāšanu Grieķijas valstij;</w:t>
      </w:r>
    </w:p>
    <w:p w:rsidR="00D955D6" w:rsidRPr="008123CD" w:rsidRDefault="00D955D6" w:rsidP="00D955D6">
      <w:pPr>
        <w:pStyle w:val="NormalHanging12a"/>
      </w:pPr>
      <w:r w:rsidRPr="008123CD">
        <w:t>C.</w:t>
      </w:r>
      <w:r w:rsidRPr="008123CD">
        <w:tab/>
        <w:t xml:space="preserve">tā kā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darbības, par kurām viņš tiek turēts aizdomās, ir uzskatāma par noziedzīgu nodarījumu, kas izpaužas kā parādu nemaksāšana valstij saskaņā ar Grieķijas Likuma Nr. 1882/90 25. panta 1. punkta b) apakšpunktu, kas aizstāts ar Grieķijas Likuma Nr. 2523/97 23. panta 1. punktu, kas grozīts ar Grieķijas Likuma Nr. 2948/01 18. panta 2. punktu un 28. panta 2.–4. punktu, kas papildināts ar Grieķijas Likuma Nr. 3016/02 34. pantu, Grieķijas Likuma Nr. 3220/04 34. panta 1. punktu un Grieķijas Likuma Nr. 3943/11 3. panta 1. Punktu, kas aizstāts ar 20. pantu Grieķijas Likumā Nr. 4321/15 un grozīts ar Grieķijas Likuma Nr. 4174/13 71. panta 2. punktu, ar ko papildināja Grieķijas Likuma Nr. 4337/15 8. pantu un ar Grieķijas Likuma Nr. 4619/19 469. pantu;</w:t>
      </w:r>
    </w:p>
    <w:p w:rsidR="00D955D6" w:rsidRPr="008123CD" w:rsidRDefault="00D955D6" w:rsidP="00D955D6">
      <w:pPr>
        <w:pStyle w:val="NormalHanging12a"/>
      </w:pPr>
      <w:r w:rsidRPr="008123CD">
        <w:t>D.</w:t>
      </w:r>
      <w:r w:rsidRPr="008123CD">
        <w:tab/>
        <w:t xml:space="preserve">tā kā parlamentārās imunitātes mērķis ir aizsargāt Parlamentu un tā deputātus pret tiesvedību, kas tiek ierosināta par darbībām, kuras ir veiktas, pildot parlamentāros pienākumus, un kuras atrauti no šiem pienākumiem skatīt nevar; tā kā inkriminētajam noziedzīgajam nodarījumam acīmredzami nav tiešas saiknes ar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kā Eiropas Parlamenta deputāta darbību, bet gan tas ir saistīts ar viņa kā laikrakstu izdošanas uzņēmuma vadītāja amatu;</w:t>
      </w:r>
    </w:p>
    <w:p w:rsidR="00D955D6" w:rsidRPr="008123CD" w:rsidRDefault="00D955D6" w:rsidP="00D955D6">
      <w:pPr>
        <w:pStyle w:val="NormalHanging12a"/>
      </w:pPr>
      <w:r w:rsidRPr="008123CD">
        <w:t>E.</w:t>
      </w:r>
      <w:r w:rsidRPr="008123CD">
        <w:tab/>
        <w:t xml:space="preserve">tā kā deputātam inkriminētais nodarījums neattiecas ne uz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pausto viedokli, ne uz viņa balsojumu laikā, kad viņš ir pildījis Eiropas Parlamenta deputāta pienākumus, kā noteikts Protokola (Nr. 7) par privilēģijām un imunitāti Eiropas Savienībā 8. pantā;</w:t>
      </w:r>
    </w:p>
    <w:p w:rsidR="00D955D6" w:rsidRPr="008123CD" w:rsidRDefault="00D955D6" w:rsidP="00D955D6">
      <w:pPr>
        <w:pStyle w:val="NormalHanging12a"/>
      </w:pPr>
      <w:r w:rsidRPr="008123CD">
        <w:t>F.</w:t>
      </w:r>
      <w:r w:rsidRPr="008123CD">
        <w:tab/>
        <w:t>tā kā saskaņā ar Protokola (Nr. 7) par privilēģijām un imunitāti Eiropas Savienībā 9. pantu Parlamenta locekļiem savā valstī ir imunitāte, ko piešķir attiecīgās valsts parlamenta locekļiem, un visās citās dalībvalstīs — imunitāte attiecībā uz aizturēšanu un tiesvedību; tā kā uz imunitāti nevar atsaukties, ja Eiropas Parlamenta locekli aiztur pārkāpuma izdarīšanas laikā, un tā neliedz Eiropas Parlamentam izmantot tiesības kādam no tā locekļiem atņemt imunitāti;</w:t>
      </w:r>
    </w:p>
    <w:p w:rsidR="00D955D6" w:rsidRPr="008123CD" w:rsidRDefault="00D955D6" w:rsidP="00D955D6">
      <w:pPr>
        <w:pStyle w:val="NormalHanging12a"/>
      </w:pPr>
      <w:r w:rsidRPr="008123CD">
        <w:t>G.</w:t>
      </w:r>
      <w:r w:rsidRPr="008123CD">
        <w:tab/>
        <w:t xml:space="preserve">tā kā Grieķijas Republikas konstitūcijas 62. pantā ir noteikts, ka parlamenta deputātus parlamentārā </w:t>
      </w:r>
      <w:proofErr w:type="spellStart"/>
      <w:r w:rsidRPr="008123CD">
        <w:t>sasaukuma</w:t>
      </w:r>
      <w:proofErr w:type="spellEnd"/>
      <w:r w:rsidRPr="008123CD">
        <w:t xml:space="preserve"> laikā nedrīkst nedz saukt pie atbildības, nedz aizturēt, nedz ieslodzīt, nedz kā citādi ierobežot viņu brīvību, ja nav iepriekš saņemta parlamenta atļauja;</w:t>
      </w:r>
    </w:p>
    <w:p w:rsidR="00D955D6" w:rsidRPr="008123CD" w:rsidRDefault="00D955D6" w:rsidP="00D955D6">
      <w:pPr>
        <w:pStyle w:val="NormalHanging12a"/>
      </w:pPr>
      <w:r w:rsidRPr="008123CD">
        <w:t>H.</w:t>
      </w:r>
      <w:r w:rsidRPr="008123CD">
        <w:tab/>
        <w:t xml:space="preserve">tā kā šajā gadījumā Parlaments nav guvis pierādījumus par </w:t>
      </w:r>
      <w:proofErr w:type="spellStart"/>
      <w:r w:rsidRPr="008123CD">
        <w:rPr>
          <w:i/>
        </w:rPr>
        <w:t>fumus</w:t>
      </w:r>
      <w:proofErr w:type="spellEnd"/>
      <w:r w:rsidRPr="008123CD">
        <w:rPr>
          <w:i/>
        </w:rPr>
        <w:t xml:space="preserve"> </w:t>
      </w:r>
      <w:proofErr w:type="spellStart"/>
      <w:r w:rsidRPr="008123CD">
        <w:rPr>
          <w:i/>
        </w:rPr>
        <w:t>persecutionis</w:t>
      </w:r>
      <w:proofErr w:type="spellEnd"/>
      <w:r w:rsidRPr="008123CD">
        <w:t>, t. i., ziņas par faktiem, kas norāda, ka attiecīgā tiesas izmeklēšana tika ierosināta ar nodomu kaitēt konkrētā deputāta politiskajai darbībai Eiropas Parlamenta deputāta statusā,</w:t>
      </w:r>
    </w:p>
    <w:p w:rsidR="00D955D6" w:rsidRPr="008123CD" w:rsidRDefault="00D955D6" w:rsidP="00D955D6">
      <w:pPr>
        <w:pStyle w:val="NormalHanging12a"/>
      </w:pPr>
      <w:r w:rsidRPr="008123CD">
        <w:t>I.</w:t>
      </w:r>
      <w:r w:rsidRPr="008123CD">
        <w:tab/>
        <w:t>tā kā vienīgi Parlaments var izlemt, vai attiecīgajā gadījumā atcelt deputāta imunitāti; tā kā Parlaments, pieņemot lēmumu par kāda deputāta imunitātes atcelšanu vai neatcelšanu, var zināmā mērā ņemt vērā attiecīgā deputāta/-es viedokli</w:t>
      </w:r>
      <w:r w:rsidRPr="008123CD">
        <w:rPr>
          <w:spacing w:val="-4"/>
          <w:vertAlign w:val="superscript"/>
        </w:rPr>
        <w:footnoteReference w:id="2"/>
      </w:r>
      <w:r w:rsidRPr="008123CD">
        <w:t xml:space="preserve">; tā kā uzklausīšanā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paziņoja, ka viņš neiebilst pret savas parlamentārās imunitātes atcelšanu;</w:t>
      </w:r>
    </w:p>
    <w:p w:rsidR="00D955D6" w:rsidRPr="008123CD" w:rsidRDefault="00D955D6" w:rsidP="00D955D6">
      <w:pPr>
        <w:pStyle w:val="NormalHanging12a"/>
      </w:pPr>
      <w:r w:rsidRPr="008123CD">
        <w:lastRenderedPageBreak/>
        <w:t>J.</w:t>
      </w:r>
      <w:r w:rsidRPr="008123CD">
        <w:tab/>
        <w:t>tā kā, no vienas puses, Parlaments nevar uzņemties tiesas spriešanas funkcijas un, no otras puses, attiecīgais deputāts imunitātes atcelšanas procedūras kontekstā nevar tikt uzskatīts par “apsūdzēto”</w:t>
      </w:r>
      <w:r w:rsidRPr="008123CD">
        <w:rPr>
          <w:vertAlign w:val="superscript"/>
        </w:rPr>
        <w:footnoteReference w:id="3"/>
      </w:r>
      <w:r w:rsidRPr="008123CD">
        <w:t>;</w:t>
      </w:r>
    </w:p>
    <w:p w:rsidR="00D955D6" w:rsidRPr="008123CD" w:rsidRDefault="00D955D6" w:rsidP="00D955D6">
      <w:pPr>
        <w:pStyle w:val="NormalHanging12a"/>
      </w:pPr>
      <w:r w:rsidRPr="008123CD">
        <w:t>1.</w:t>
      </w:r>
      <w:r w:rsidRPr="008123CD">
        <w:tab/>
        <w:t xml:space="preserve">nolemj atcelt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 xml:space="preserve"> imunitāti;</w:t>
      </w:r>
    </w:p>
    <w:p w:rsidR="00E365E1" w:rsidRPr="008123CD" w:rsidRDefault="00D955D6" w:rsidP="008123CD">
      <w:pPr>
        <w:ind w:left="567" w:hanging="567"/>
      </w:pPr>
      <w:r w:rsidRPr="008123CD">
        <w:t>2.</w:t>
      </w:r>
      <w:r w:rsidRPr="008123CD">
        <w:tab/>
        <w:t xml:space="preserve">uzdod priekšsēdētājai šo lēmumu un atbildīgās komitejas ziņojumu nekavējoties nosūtīt Grieķijas Republikas kompetentajām iestādēm un </w:t>
      </w:r>
      <w:r w:rsidRPr="008123CD">
        <w:rPr>
          <w:i/>
        </w:rPr>
        <w:t xml:space="preserve">Georgios </w:t>
      </w:r>
      <w:proofErr w:type="spellStart"/>
      <w:r w:rsidRPr="008123CD">
        <w:rPr>
          <w:i/>
        </w:rPr>
        <w:t>Kyrtsos</w:t>
      </w:r>
      <w:proofErr w:type="spellEnd"/>
      <w:r w:rsidRPr="008123CD">
        <w:t>.</w:t>
      </w:r>
      <w:bookmarkStart w:id="9" w:name="TextBodyEnd"/>
      <w:bookmarkEnd w:id="9"/>
    </w:p>
    <w:sectPr w:rsidR="00E365E1" w:rsidRPr="008123CD" w:rsidSect="004201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966" w:rsidRPr="004201D9" w:rsidRDefault="00CA6966">
      <w:r w:rsidRPr="004201D9">
        <w:separator/>
      </w:r>
    </w:p>
  </w:endnote>
  <w:endnote w:type="continuationSeparator" w:id="0">
    <w:p w:rsidR="00CA6966" w:rsidRPr="004201D9" w:rsidRDefault="00CA6966">
      <w:r w:rsidRPr="004201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966" w:rsidRPr="004201D9" w:rsidRDefault="00CA6966">
      <w:r w:rsidRPr="004201D9">
        <w:separator/>
      </w:r>
    </w:p>
  </w:footnote>
  <w:footnote w:type="continuationSeparator" w:id="0">
    <w:p w:rsidR="00CA6966" w:rsidRPr="004201D9" w:rsidRDefault="00CA6966">
      <w:r w:rsidRPr="004201D9">
        <w:continuationSeparator/>
      </w:r>
    </w:p>
  </w:footnote>
  <w:footnote w:id="1">
    <w:p w:rsidR="00D955D6" w:rsidRPr="004201D9" w:rsidRDefault="00D955D6" w:rsidP="004201D9">
      <w:pPr>
        <w:pStyle w:val="FootnoteText"/>
        <w:ind w:left="567" w:hanging="567"/>
        <w:rPr>
          <w:sz w:val="24"/>
          <w:lang w:val="lv-LV"/>
        </w:rPr>
      </w:pPr>
      <w:r w:rsidRPr="004201D9">
        <w:rPr>
          <w:rStyle w:val="FootnoteReference"/>
          <w:sz w:val="24"/>
          <w:lang w:val="lv-LV"/>
        </w:rPr>
        <w:footnoteRef/>
      </w:r>
      <w:r w:rsidR="004201D9" w:rsidRPr="004201D9">
        <w:rPr>
          <w:sz w:val="24"/>
          <w:lang w:val="lv-LV"/>
        </w:rPr>
        <w:t xml:space="preserve"> </w:t>
      </w:r>
      <w:r w:rsidR="004201D9" w:rsidRPr="004201D9">
        <w:rPr>
          <w:sz w:val="24"/>
          <w:lang w:val="lv-LV"/>
        </w:rPr>
        <w:tab/>
      </w:r>
      <w:r w:rsidRPr="004201D9">
        <w:rPr>
          <w:sz w:val="24"/>
          <w:lang w:val="lv-LV"/>
        </w:rPr>
        <w:t xml:space="preserve">Tiesas 2008. gada 21. oktobra spriedumi, </w:t>
      </w:r>
      <w:proofErr w:type="spellStart"/>
      <w:r w:rsidRPr="004201D9">
        <w:rPr>
          <w:i/>
          <w:sz w:val="24"/>
          <w:lang w:val="lv-LV"/>
        </w:rPr>
        <w:t>Marra</w:t>
      </w:r>
      <w:proofErr w:type="spellEnd"/>
      <w:r w:rsidRPr="004201D9">
        <w:rPr>
          <w:i/>
          <w:sz w:val="24"/>
          <w:lang w:val="lv-LV"/>
        </w:rPr>
        <w:t>/</w:t>
      </w:r>
      <w:proofErr w:type="spellStart"/>
      <w:r w:rsidRPr="004201D9">
        <w:rPr>
          <w:i/>
          <w:sz w:val="24"/>
          <w:lang w:val="lv-LV"/>
        </w:rPr>
        <w:t>De</w:t>
      </w:r>
      <w:proofErr w:type="spellEnd"/>
      <w:r w:rsidRPr="004201D9">
        <w:rPr>
          <w:i/>
          <w:sz w:val="24"/>
          <w:lang w:val="lv-LV"/>
        </w:rPr>
        <w:t xml:space="preserve"> Gregorio</w:t>
      </w:r>
      <w:r w:rsidRPr="004201D9">
        <w:rPr>
          <w:sz w:val="24"/>
          <w:lang w:val="lv-LV"/>
        </w:rPr>
        <w:t xml:space="preserve"> un </w:t>
      </w:r>
      <w:proofErr w:type="spellStart"/>
      <w:r w:rsidRPr="004201D9">
        <w:rPr>
          <w:i/>
          <w:sz w:val="24"/>
          <w:lang w:val="lv-LV"/>
        </w:rPr>
        <w:t>Clemente</w:t>
      </w:r>
      <w:proofErr w:type="spellEnd"/>
      <w:r w:rsidRPr="004201D9">
        <w:rPr>
          <w:sz w:val="24"/>
          <w:lang w:val="lv-LV"/>
        </w:rPr>
        <w:t xml:space="preserve">, C-200/07 un C-201/07, ECLI:EU:C:2008:579; Tiesas 2010. gada 19. marta spriedums, </w:t>
      </w:r>
      <w:proofErr w:type="spellStart"/>
      <w:r w:rsidRPr="004201D9">
        <w:rPr>
          <w:i/>
          <w:sz w:val="24"/>
          <w:lang w:val="lv-LV"/>
        </w:rPr>
        <w:t>Gollnisch</w:t>
      </w:r>
      <w:proofErr w:type="spellEnd"/>
      <w:r w:rsidRPr="004201D9">
        <w:rPr>
          <w:sz w:val="24"/>
          <w:lang w:val="lv-LV"/>
        </w:rPr>
        <w:t xml:space="preserve">/Parlaments, T-42/06, ECLI:EU:T:2010:102; Tiesas 2011. gada 6. septembra spriedums, </w:t>
      </w:r>
      <w:proofErr w:type="spellStart"/>
      <w:r w:rsidRPr="004201D9">
        <w:rPr>
          <w:i/>
          <w:sz w:val="24"/>
          <w:lang w:val="lv-LV"/>
        </w:rPr>
        <w:t>Patriciello</w:t>
      </w:r>
      <w:proofErr w:type="spellEnd"/>
      <w:r w:rsidRPr="004201D9">
        <w:rPr>
          <w:sz w:val="24"/>
          <w:lang w:val="lv-LV"/>
        </w:rPr>
        <w:t xml:space="preserve">, C-163/10, ECLI: EU:C:2011:543; Vispārējās tiesas 2013. gada 17. janvāra spriedums, </w:t>
      </w:r>
      <w:proofErr w:type="spellStart"/>
      <w:r w:rsidRPr="004201D9">
        <w:rPr>
          <w:i/>
          <w:sz w:val="24"/>
          <w:lang w:val="lv-LV"/>
        </w:rPr>
        <w:t>Gollnisch</w:t>
      </w:r>
      <w:proofErr w:type="spellEnd"/>
      <w:r w:rsidRPr="004201D9">
        <w:rPr>
          <w:sz w:val="24"/>
          <w:lang w:val="lv-LV"/>
        </w:rPr>
        <w:t xml:space="preserve">/Parlaments, T-346/11 un T-347/11, ECLI:EU:T:2013:23; Tiesas 2019. gada 19. decembra spriedums, </w:t>
      </w:r>
      <w:proofErr w:type="spellStart"/>
      <w:r w:rsidRPr="004201D9">
        <w:rPr>
          <w:i/>
          <w:sz w:val="24"/>
          <w:lang w:val="lv-LV"/>
        </w:rPr>
        <w:t>Junqueras</w:t>
      </w:r>
      <w:proofErr w:type="spellEnd"/>
      <w:r w:rsidRPr="004201D9">
        <w:rPr>
          <w:i/>
          <w:sz w:val="24"/>
          <w:lang w:val="lv-LV"/>
        </w:rPr>
        <w:t xml:space="preserve"> Vies</w:t>
      </w:r>
      <w:r w:rsidRPr="004201D9">
        <w:rPr>
          <w:sz w:val="24"/>
          <w:lang w:val="lv-LV"/>
        </w:rPr>
        <w:t>, C-502/19, ECLI:EU:C:2019:1115.</w:t>
      </w:r>
    </w:p>
  </w:footnote>
  <w:footnote w:id="2">
    <w:p w:rsidR="00D955D6" w:rsidRPr="004201D9" w:rsidRDefault="00D955D6" w:rsidP="004201D9">
      <w:pPr>
        <w:pStyle w:val="FootnoteText"/>
        <w:ind w:left="567" w:hanging="567"/>
        <w:rPr>
          <w:sz w:val="24"/>
          <w:lang w:val="lv-LV"/>
        </w:rPr>
      </w:pPr>
      <w:r w:rsidRPr="004201D9">
        <w:rPr>
          <w:rStyle w:val="FootnoteReference"/>
          <w:sz w:val="24"/>
          <w:lang w:val="lv-LV"/>
        </w:rPr>
        <w:footnoteRef/>
      </w:r>
      <w:r w:rsidR="004201D9" w:rsidRPr="004201D9">
        <w:rPr>
          <w:sz w:val="24"/>
          <w:lang w:val="lv-LV"/>
        </w:rPr>
        <w:t xml:space="preserve"> </w:t>
      </w:r>
      <w:r w:rsidR="004201D9" w:rsidRPr="004201D9">
        <w:rPr>
          <w:sz w:val="24"/>
          <w:lang w:val="lv-LV"/>
        </w:rPr>
        <w:tab/>
      </w:r>
      <w:r w:rsidRPr="004201D9">
        <w:rPr>
          <w:sz w:val="24"/>
          <w:lang w:val="lv-LV"/>
        </w:rPr>
        <w:t xml:space="preserve">Vispārējās tiesas 2008. gada 15. oktobra spriedums, </w:t>
      </w:r>
      <w:r w:rsidRPr="004201D9">
        <w:rPr>
          <w:i/>
          <w:sz w:val="24"/>
          <w:lang w:val="lv-LV"/>
        </w:rPr>
        <w:t>Mote</w:t>
      </w:r>
      <w:r w:rsidRPr="004201D9">
        <w:rPr>
          <w:sz w:val="24"/>
          <w:lang w:val="lv-LV"/>
        </w:rPr>
        <w:t>/Parlaments, T-345/05, ECLI:EU:T:2008:440;</w:t>
      </w:r>
    </w:p>
  </w:footnote>
  <w:footnote w:id="3">
    <w:p w:rsidR="00D955D6" w:rsidRPr="004201D9" w:rsidRDefault="00D955D6" w:rsidP="004201D9">
      <w:pPr>
        <w:pStyle w:val="FootnoteText"/>
        <w:ind w:left="567" w:hanging="567"/>
        <w:rPr>
          <w:sz w:val="24"/>
          <w:lang w:val="lv-LV"/>
        </w:rPr>
      </w:pPr>
      <w:r w:rsidRPr="004201D9">
        <w:rPr>
          <w:rStyle w:val="FootnoteReference"/>
          <w:sz w:val="24"/>
          <w:lang w:val="lv-LV"/>
        </w:rPr>
        <w:footnoteRef/>
      </w:r>
      <w:r w:rsidR="004201D9" w:rsidRPr="004201D9">
        <w:rPr>
          <w:sz w:val="24"/>
          <w:lang w:val="lv-LV"/>
        </w:rPr>
        <w:t xml:space="preserve"> </w:t>
      </w:r>
      <w:r w:rsidR="004201D9" w:rsidRPr="004201D9">
        <w:rPr>
          <w:sz w:val="24"/>
          <w:lang w:val="lv-LV"/>
        </w:rPr>
        <w:tab/>
      </w:r>
      <w:r w:rsidRPr="004201D9">
        <w:rPr>
          <w:sz w:val="24"/>
          <w:lang w:val="lv-LV"/>
        </w:rPr>
        <w:t xml:space="preserve">Vispārējās tiesas 2019. gada 30. aprīļa spriedums, </w:t>
      </w:r>
      <w:proofErr w:type="spellStart"/>
      <w:r w:rsidRPr="004201D9">
        <w:rPr>
          <w:i/>
          <w:sz w:val="24"/>
          <w:lang w:val="lv-LV"/>
        </w:rPr>
        <w:t>Briois</w:t>
      </w:r>
      <w:proofErr w:type="spellEnd"/>
      <w:r w:rsidRPr="004201D9">
        <w:rPr>
          <w:sz w:val="24"/>
          <w:lang w:val="lv-LV"/>
        </w:rPr>
        <w:t>/Parlaments,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01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LV"/>
    <w:docVar w:name="dvnumam" w:val="0"/>
    <w:docVar w:name="dvpe" w:val="756.043"/>
    <w:docVar w:name="dvrapporteur" w:val="Referents: "/>
    <w:docVar w:name="dvtitre" w:val="Eiropas Parlamenta 2024. gada XX. XXX lēmums par pieprasījumu atcelt Georgios Kyrtsos imunitāti(2023/2185(IMM))"/>
  </w:docVars>
  <w:rsids>
    <w:rsidRoot w:val="00CA69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660"/>
    <w:rsid w:val="00411CCE"/>
    <w:rsid w:val="0041666E"/>
    <w:rsid w:val="004201D9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3C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966"/>
    <w:rsid w:val="00CC2357"/>
    <w:rsid w:val="00CF071A"/>
    <w:rsid w:val="00D058B8"/>
    <w:rsid w:val="00D56C11"/>
    <w:rsid w:val="00D834A0"/>
    <w:rsid w:val="00D872DF"/>
    <w:rsid w:val="00D91E21"/>
    <w:rsid w:val="00D955D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909C4"/>
  <w15:chartTrackingRefBased/>
  <w15:docId w15:val="{89B2F66D-E2C3-45F0-8D67-9957D91F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955D6"/>
    <w:rPr>
      <w:b/>
    </w:rPr>
  </w:style>
  <w:style w:type="paragraph" w:customStyle="1" w:styleId="NormalHanging12a">
    <w:name w:val="NormalHanging12a"/>
    <w:basedOn w:val="Normal"/>
    <w:rsid w:val="00D955D6"/>
    <w:pPr>
      <w:spacing w:after="240"/>
      <w:ind w:left="567" w:hanging="567"/>
    </w:pPr>
  </w:style>
  <w:style w:type="paragraph" w:customStyle="1" w:styleId="EPComma">
    <w:name w:val="EPComma"/>
    <w:basedOn w:val="Normal"/>
    <w:rsid w:val="00D955D6"/>
    <w:pPr>
      <w:spacing w:before="480" w:after="240"/>
    </w:pPr>
  </w:style>
  <w:style w:type="paragraph" w:styleId="BalloonText">
    <w:name w:val="Balloon Text"/>
    <w:basedOn w:val="Normal"/>
    <w:link w:val="BalloonTextChar"/>
    <w:rsid w:val="003E76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7660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D3E42-194C-4D64-A011-EFF9DA15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4339</Characters>
  <Application>Microsoft Office Word</Application>
  <DocSecurity>0</DocSecurity>
  <Lines>81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2024-02-06T12:16:00Z</dcterms:created>
  <dcterms:modified xsi:type="dcterms:W3CDTF">2024-02-06T12:16:00Z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