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7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0792" w:rsidRDefault="005C2DCE" w:rsidP="0010095E">
            <w:pPr>
              <w:pStyle w:val="EPName"/>
            </w:pPr>
            <w:r w:rsidRPr="002B0792">
              <w:t>Parlament Ewropew</w:t>
            </w:r>
          </w:p>
          <w:p w:rsidR="00751A4A" w:rsidRPr="002B07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07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0792" w:rsidRDefault="00187494" w:rsidP="0010095E">
            <w:pPr>
              <w:pStyle w:val="EPLogo"/>
            </w:pPr>
            <w:r w:rsidRPr="002B07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0792" w:rsidRDefault="00D058B8" w:rsidP="004C5D52">
      <w:pPr>
        <w:pStyle w:val="LineTop"/>
      </w:pPr>
    </w:p>
    <w:p w:rsidR="00680577" w:rsidRPr="002B0792" w:rsidRDefault="005C2DCE" w:rsidP="00680577">
      <w:pPr>
        <w:pStyle w:val="EPBodyTA1"/>
      </w:pPr>
      <w:r w:rsidRPr="002B0792">
        <w:t>TESTI ADOTTATI</w:t>
      </w:r>
    </w:p>
    <w:p w:rsidR="00D058B8" w:rsidRPr="002B0792" w:rsidRDefault="00D058B8" w:rsidP="00D058B8">
      <w:pPr>
        <w:pStyle w:val="LineBottom"/>
      </w:pPr>
    </w:p>
    <w:p w:rsidR="005C2DCE" w:rsidRPr="002B0792" w:rsidRDefault="005C2DCE" w:rsidP="005C2DCE">
      <w:pPr>
        <w:pStyle w:val="ATHeading1"/>
      </w:pPr>
      <w:bookmarkStart w:id="0" w:name="TANumber"/>
      <w:r w:rsidRPr="002B0792">
        <w:t>P9_TA(2024)00</w:t>
      </w:r>
      <w:bookmarkEnd w:id="0"/>
      <w:r w:rsidR="00846DD1">
        <w:t>55</w:t>
      </w:r>
      <w:bookmarkStart w:id="1" w:name="_GoBack"/>
      <w:bookmarkEnd w:id="1"/>
    </w:p>
    <w:p w:rsidR="005C2DCE" w:rsidRPr="002B0792" w:rsidRDefault="005C2DCE" w:rsidP="005C2DCE">
      <w:pPr>
        <w:pStyle w:val="ATHeading2"/>
      </w:pPr>
      <w:bookmarkStart w:id="2" w:name="title"/>
      <w:r w:rsidRPr="00846DD1">
        <w:t>Talba għat-tneħħija tal-</w:t>
      </w:r>
      <w:proofErr w:type="spellStart"/>
      <w:r w:rsidRPr="00846DD1">
        <w:t>immunità</w:t>
      </w:r>
      <w:proofErr w:type="spellEnd"/>
      <w:r w:rsidRPr="00846DD1">
        <w:t xml:space="preserve"> ta’ </w:t>
      </w:r>
      <w:proofErr w:type="spellStart"/>
      <w:r w:rsidRPr="00846DD1">
        <w:t>Georgios</w:t>
      </w:r>
      <w:proofErr w:type="spellEnd"/>
      <w:r w:rsidRPr="00846DD1">
        <w:t xml:space="preserve"> </w:t>
      </w:r>
      <w:proofErr w:type="spellStart"/>
      <w:r w:rsidRPr="00846DD1">
        <w:t>Kyrtsos</w:t>
      </w:r>
      <w:bookmarkEnd w:id="2"/>
      <w:proofErr w:type="spellEnd"/>
    </w:p>
    <w:p w:rsidR="005C2DCE" w:rsidRPr="002B0792" w:rsidRDefault="005C2DCE" w:rsidP="005C2DCE">
      <w:pPr>
        <w:rPr>
          <w:i/>
          <w:vanish/>
        </w:rPr>
      </w:pPr>
      <w:r w:rsidRPr="002B0792">
        <w:rPr>
          <w:i/>
        </w:rPr>
        <w:fldChar w:fldCharType="begin"/>
      </w:r>
      <w:r w:rsidRPr="002B0792">
        <w:rPr>
          <w:i/>
        </w:rPr>
        <w:instrText xml:space="preserve"> TC"(</w:instrText>
      </w:r>
      <w:bookmarkStart w:id="3" w:name="DocNumber"/>
      <w:r w:rsidRPr="002B0792">
        <w:rPr>
          <w:i/>
        </w:rPr>
        <w:instrText>A9-0028/2024</w:instrText>
      </w:r>
      <w:bookmarkEnd w:id="3"/>
      <w:r w:rsidRPr="002B0792">
        <w:rPr>
          <w:i/>
        </w:rPr>
        <w:instrText xml:space="preserve"> - Rapporteur: Angel Dzhambazki)"\l3 \n&gt; \* MERGEFORMAT </w:instrText>
      </w:r>
      <w:r w:rsidRPr="002B0792">
        <w:rPr>
          <w:i/>
        </w:rPr>
        <w:fldChar w:fldCharType="end"/>
      </w:r>
    </w:p>
    <w:p w:rsidR="005C2DCE" w:rsidRPr="002B0792" w:rsidRDefault="005C2DCE" w:rsidP="005C2DCE">
      <w:pPr>
        <w:rPr>
          <w:vanish/>
        </w:rPr>
      </w:pPr>
      <w:bookmarkStart w:id="4" w:name="Commission"/>
      <w:r w:rsidRPr="002B0792">
        <w:rPr>
          <w:vanish/>
        </w:rPr>
        <w:t>Kumitat għall-Affarijiet Legali</w:t>
      </w:r>
      <w:bookmarkEnd w:id="4"/>
    </w:p>
    <w:p w:rsidR="005C2DCE" w:rsidRPr="002B0792" w:rsidRDefault="005C2DCE" w:rsidP="005C2DCE">
      <w:pPr>
        <w:rPr>
          <w:vanish/>
        </w:rPr>
      </w:pPr>
      <w:bookmarkStart w:id="5" w:name="PE"/>
      <w:r w:rsidRPr="002B0792">
        <w:rPr>
          <w:vanish/>
        </w:rPr>
        <w:t>PE756.043</w:t>
      </w:r>
      <w:bookmarkEnd w:id="5"/>
    </w:p>
    <w:p w:rsidR="005C2DCE" w:rsidRPr="002B0792" w:rsidRDefault="005C2DCE" w:rsidP="005C2DCE">
      <w:pPr>
        <w:pStyle w:val="ATHeading3"/>
      </w:pPr>
      <w:bookmarkStart w:id="6" w:name="Sujet"/>
      <w:r w:rsidRPr="002B0792">
        <w:t>Deċiżjoni tal-Parlament Ewropew tas-6 ta' Frar 2024 dwar it-talba għat-tneħħija tal-</w:t>
      </w:r>
      <w:proofErr w:type="spellStart"/>
      <w:r w:rsidRPr="002B0792">
        <w:t>immunità</w:t>
      </w:r>
      <w:proofErr w:type="spellEnd"/>
      <w:r w:rsidRPr="002B0792">
        <w:t xml:space="preserve">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bookmarkEnd w:id="6"/>
      <w:proofErr w:type="spellEnd"/>
      <w:r w:rsidRPr="002B0792">
        <w:t xml:space="preserve"> </w:t>
      </w:r>
      <w:bookmarkStart w:id="7" w:name="References"/>
      <w:r w:rsidRPr="002B0792">
        <w:t>(2023/2185(IMM))</w:t>
      </w:r>
      <w:bookmarkEnd w:id="7"/>
    </w:p>
    <w:p w:rsidR="009D5AEA" w:rsidRPr="002B0792" w:rsidRDefault="009D5AEA" w:rsidP="009D5AEA">
      <w:pPr>
        <w:pStyle w:val="EPComma"/>
      </w:pPr>
      <w:bookmarkStart w:id="8" w:name="TextBodyBegin"/>
      <w:bookmarkEnd w:id="8"/>
      <w:r w:rsidRPr="002B0792">
        <w:rPr>
          <w:i/>
        </w:rPr>
        <w:t>Il-Parlament Ewropew,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t-talba għat-tneħħija tal-</w:t>
      </w:r>
      <w:proofErr w:type="spellStart"/>
      <w:r w:rsidRPr="002B0792">
        <w:t>immunità</w:t>
      </w:r>
      <w:proofErr w:type="spellEnd"/>
      <w:r w:rsidRPr="002B0792">
        <w:t xml:space="preserve">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 mill-Prosekutur Pubbliku fil-Qorti tal-Prim’Istanza ta’ Ateni b’rabta mal-proċedimenti kriminali, trażmessa mill-Viċi Prosekutur tal-Qorti Suprema tal-Greċja permezz ta’ ittra datata s-27 ta’ Ġunju 2023 u mħabbra fil-plenarja fl-10 ta’ Lulju 2023,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sema’ lil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>, f’</w:t>
      </w:r>
      <w:proofErr w:type="spellStart"/>
      <w:r w:rsidRPr="002B0792">
        <w:t>konformità</w:t>
      </w:r>
      <w:proofErr w:type="spellEnd"/>
      <w:r w:rsidRPr="002B0792">
        <w:t xml:space="preserve"> mal-Artikolu 9(6) tar-Regoli ta’ Proċedura tiegħu,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l-Artikoli 8 u 9 tal-Protokoll Nru 7 dwar il-Privileġġi u l-</w:t>
      </w:r>
      <w:proofErr w:type="spellStart"/>
      <w:r w:rsidRPr="002B0792">
        <w:t>Immunitajiet</w:t>
      </w:r>
      <w:proofErr w:type="spellEnd"/>
      <w:r w:rsidRPr="002B0792">
        <w:t xml:space="preserve"> tal-Unjoni Ewropea kif ukoll l-Artikolu 6(2) tal-Att dwar l-elezzjoni tal-Membri tal-Parlament Ewropew b’suffraġju universali dirett, tal-20 ta’ Settembru 1976,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s-sentenzi mogħtija mill-Qorti tal-Ġustizzja tal-Unjoni Ewropea fil-21 ta’ Ottubru 2008, fid-19 ta’ Marzu 2010, fis-6 ta’ Settembru 2011, fis-17 ta’ Jannar 2013 u fid-19 ta’ Diċembru 2019</w:t>
      </w:r>
      <w:r w:rsidRPr="002B0792">
        <w:rPr>
          <w:rStyle w:val="FootnoteReference"/>
          <w:color w:val="000000"/>
        </w:rPr>
        <w:footnoteReference w:id="1"/>
      </w:r>
      <w:r w:rsidRPr="002B0792">
        <w:t>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l-Artikolu 62 tal-Kostituzzjoni tar-Repubblika </w:t>
      </w:r>
      <w:proofErr w:type="spellStart"/>
      <w:r w:rsidRPr="002B0792">
        <w:t>Ellenika</w:t>
      </w:r>
      <w:proofErr w:type="spellEnd"/>
      <w:r w:rsidRPr="002B0792">
        <w:t>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l-Artikolu 5(2), l-Artikolu 6(1) u l-Artikolu 9 tar-Regoli ta’ Proċedura tiegħu,</w:t>
      </w:r>
    </w:p>
    <w:p w:rsidR="009D5AEA" w:rsidRPr="002B0792" w:rsidRDefault="009D5AEA" w:rsidP="009D5AEA">
      <w:pPr>
        <w:pStyle w:val="NormalHanging12a"/>
      </w:pPr>
      <w:r w:rsidRPr="002B0792">
        <w:t>–</w:t>
      </w:r>
      <w:r w:rsidRPr="002B0792">
        <w:tab/>
        <w:t xml:space="preserve">wara li </w:t>
      </w:r>
      <w:proofErr w:type="spellStart"/>
      <w:r w:rsidRPr="002B0792">
        <w:t>kkunsidra</w:t>
      </w:r>
      <w:proofErr w:type="spellEnd"/>
      <w:r w:rsidRPr="002B0792">
        <w:t xml:space="preserve"> r-rapport tal-Kumitat għall-Affarijiet Legali (A9-0028/2024),</w:t>
      </w:r>
    </w:p>
    <w:p w:rsidR="009D5AEA" w:rsidRPr="002B0792" w:rsidRDefault="009D5AEA" w:rsidP="009D5AEA">
      <w:pPr>
        <w:pStyle w:val="NormalHanging12a"/>
      </w:pPr>
      <w:r w:rsidRPr="002B0792">
        <w:t>A.</w:t>
      </w:r>
      <w:r w:rsidRPr="002B0792">
        <w:tab/>
        <w:t>billi l-Prosekutur tal-Qorti tal-Prim’ Istanza ta’ Ateni talab it-tneħħija tal-</w:t>
      </w:r>
      <w:proofErr w:type="spellStart"/>
      <w:r w:rsidRPr="002B0792">
        <w:t>immunità</w:t>
      </w:r>
      <w:proofErr w:type="spellEnd"/>
      <w:r w:rsidRPr="002B0792">
        <w:t xml:space="preserve">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>, Membru tal-Parlament Ewropew elett għall-Greċja, b’rabta mal-</w:t>
      </w:r>
      <w:r w:rsidRPr="002B0792">
        <w:lastRenderedPageBreak/>
        <w:t>proċedimenti kriminali li għandhom jitressqu kontrih għan-nuqqas ta’ ħlas ta’ ċertu ammont dovut lill-Istat Grieg;</w:t>
      </w:r>
    </w:p>
    <w:p w:rsidR="009D5AEA" w:rsidRPr="002B0792" w:rsidRDefault="009D5AEA" w:rsidP="009D5AEA">
      <w:pPr>
        <w:pStyle w:val="NormalHanging12a"/>
      </w:pPr>
      <w:r w:rsidRPr="002B0792">
        <w:t>B.</w:t>
      </w:r>
      <w:r w:rsidRPr="002B0792">
        <w:tab/>
        <w:t xml:space="preserve">billi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, fil-kapaċità tiegħu bħala viċi direttur tal-kumpanija KMP </w:t>
      </w:r>
      <w:proofErr w:type="spellStart"/>
      <w:r w:rsidRPr="002B0792">
        <w:t>Ekdotiki</w:t>
      </w:r>
      <w:proofErr w:type="spellEnd"/>
      <w:r w:rsidRPr="002B0792">
        <w:t xml:space="preserve"> Anonimi </w:t>
      </w:r>
      <w:proofErr w:type="spellStart"/>
      <w:r w:rsidRPr="002B0792">
        <w:t>Etaireia</w:t>
      </w:r>
      <w:proofErr w:type="spellEnd"/>
      <w:r w:rsidRPr="002B0792">
        <w:t xml:space="preserve"> [KMP </w:t>
      </w:r>
      <w:proofErr w:type="spellStart"/>
      <w:r w:rsidRPr="002B0792">
        <w:t>Publishing</w:t>
      </w:r>
      <w:proofErr w:type="spellEnd"/>
      <w:r w:rsidRPr="002B0792">
        <w:t xml:space="preserve"> </w:t>
      </w:r>
      <w:proofErr w:type="spellStart"/>
      <w:r w:rsidRPr="002B0792">
        <w:t>plc</w:t>
      </w:r>
      <w:proofErr w:type="spellEnd"/>
      <w:r w:rsidRPr="002B0792">
        <w:t>], huwa akkużat li naqas milli jħallas ċertu ammont dovut lill-Istat Grieg;</w:t>
      </w:r>
    </w:p>
    <w:p w:rsidR="009D5AEA" w:rsidRPr="002B0792" w:rsidRDefault="009D5AEA" w:rsidP="009D5AEA">
      <w:pPr>
        <w:pStyle w:val="NormalHanging12a"/>
      </w:pPr>
      <w:r w:rsidRPr="002B0792">
        <w:t>C.</w:t>
      </w:r>
      <w:r w:rsidRPr="002B0792">
        <w:tab/>
        <w:t xml:space="preserve">billi l-att allegatament imwettaq minn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 jikkostitwixxi reat ta’ nuqqas ta’ ħlas ta’ djun lill-Istat skont l-Artikolu 25(1)(b) tal-Liġi Griega Nru 1882/90, kif sostitwit bl-Artikolu 23(1) tal-Liġi Griega 2523/97, kif emendata bl-Artikolu 18(2) u 28 (2–4) tal-Liġi Griega Nru 2948/01, kif </w:t>
      </w:r>
      <w:proofErr w:type="spellStart"/>
      <w:r w:rsidRPr="002B0792">
        <w:t>issupplimentata</w:t>
      </w:r>
      <w:proofErr w:type="spellEnd"/>
      <w:r w:rsidRPr="002B0792">
        <w:t xml:space="preserve"> bl-Artikolu 34 tal-Liġi Griega Nru 3016/02, bl-Artikolu 34(1) tal-Liġi Griega Nru 3220/04 u bl-Artikolu 3(1) tal-Liġi Griega Nru 3943/11, kif sostitwita bl-Artikolu 20 tal-Liġi Griega Nru 4321/15, kif emendata bl-Artikolu 71(2) tal-Liġi Griega Nru 4174/13, li ġiet miżjuda mal-Artikolu 8 tal-Liġi Griega Nru 4337/15 u kif </w:t>
      </w:r>
      <w:proofErr w:type="spellStart"/>
      <w:r w:rsidRPr="002B0792">
        <w:t>issupplimentata</w:t>
      </w:r>
      <w:proofErr w:type="spellEnd"/>
      <w:r w:rsidRPr="002B0792">
        <w:t xml:space="preserve"> bl-Artikolu 469 tal-Liġi Griega Nru 4619/19;</w:t>
      </w:r>
    </w:p>
    <w:p w:rsidR="009D5AEA" w:rsidRPr="002B0792" w:rsidRDefault="009D5AEA" w:rsidP="009D5AEA">
      <w:pPr>
        <w:pStyle w:val="NormalHanging12a"/>
      </w:pPr>
      <w:r w:rsidRPr="002B0792">
        <w:t>D.</w:t>
      </w:r>
      <w:r w:rsidRPr="002B0792">
        <w:tab/>
        <w:t>billi l-għan tal-</w:t>
      </w:r>
      <w:proofErr w:type="spellStart"/>
      <w:r w:rsidRPr="002B0792">
        <w:t>immunità</w:t>
      </w:r>
      <w:proofErr w:type="spellEnd"/>
      <w:r w:rsidRPr="002B0792">
        <w:t xml:space="preserve"> parlamentari huwa li tipproteġi lill-Parlament u lill-Membri tiegħu minn proċedimenti ġudizzjarji relatati ma’ attivitajiet imwettqa fil-qadi tad-dmirijiet parlamentari u li huma </w:t>
      </w:r>
      <w:proofErr w:type="spellStart"/>
      <w:r w:rsidRPr="002B0792">
        <w:t>inseparabbli</w:t>
      </w:r>
      <w:proofErr w:type="spellEnd"/>
      <w:r w:rsidRPr="002B0792">
        <w:t xml:space="preserve"> minn dawn l-attivitajiet; billi huwa ċar li l-allegat reat ma għandu l-ebda rabta diretta mal-attivitajiet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 bħala Membru tal-Parlament Ewropew, iżda minflok jirrigwarda l-pożizzjoni tiegħu bħala maniġer tal-kumpanija tal-gazzetti tiegħu;</w:t>
      </w:r>
    </w:p>
    <w:p w:rsidR="009D5AEA" w:rsidRPr="002B0792" w:rsidRDefault="009D5AEA" w:rsidP="009D5AEA">
      <w:pPr>
        <w:pStyle w:val="NormalHanging12a"/>
      </w:pPr>
      <w:r w:rsidRPr="002B0792">
        <w:t>E.</w:t>
      </w:r>
      <w:r w:rsidRPr="002B0792">
        <w:tab/>
        <w:t xml:space="preserve">billi r-reat allegat ma jikkostitwixxi l-ebda opinjoni espressa jew vot mitfugħ fil-qadi tad-dmirijiet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 bħala Membru tal-Parlament Ewropew fit-tifsira tal-Artikolu 8 tal-Protokoll Nru 7 dwar il-Privileġġi u l-</w:t>
      </w:r>
      <w:proofErr w:type="spellStart"/>
      <w:r w:rsidRPr="002B0792">
        <w:t>Immunitajiet</w:t>
      </w:r>
      <w:proofErr w:type="spellEnd"/>
      <w:r w:rsidRPr="002B0792">
        <w:t xml:space="preserve"> tal-Unjoni Ewropea;</w:t>
      </w:r>
    </w:p>
    <w:p w:rsidR="009D5AEA" w:rsidRPr="002B0792" w:rsidRDefault="009D5AEA" w:rsidP="009D5AEA">
      <w:pPr>
        <w:pStyle w:val="NormalHanging12a"/>
      </w:pPr>
      <w:r w:rsidRPr="002B0792">
        <w:t>F.</w:t>
      </w:r>
      <w:r w:rsidRPr="002B0792">
        <w:tab/>
        <w:t>billi f’</w:t>
      </w:r>
      <w:proofErr w:type="spellStart"/>
      <w:r w:rsidRPr="002B0792">
        <w:t>konformità</w:t>
      </w:r>
      <w:proofErr w:type="spellEnd"/>
      <w:r w:rsidRPr="002B0792">
        <w:t xml:space="preserve"> mal-Artikolu 9 tal-Protokoll Nru 7 dwar il-Privileġġi u l-</w:t>
      </w:r>
      <w:proofErr w:type="spellStart"/>
      <w:r w:rsidRPr="002B0792">
        <w:t>Immunitajiet</w:t>
      </w:r>
      <w:proofErr w:type="spellEnd"/>
      <w:r w:rsidRPr="002B0792">
        <w:t xml:space="preserve"> tal-Unjoni Ewropea, il-Membri tal-Parlament Ewropew għandhom igawdu, fit-territorju tal-Istat tagħhom stess, l-</w:t>
      </w:r>
      <w:proofErr w:type="spellStart"/>
      <w:r w:rsidRPr="002B0792">
        <w:t>immunitajiet</w:t>
      </w:r>
      <w:proofErr w:type="spellEnd"/>
      <w:r w:rsidRPr="002B0792">
        <w:t xml:space="preserve"> mogħtija lill-Membri tal-parlament tagħhom, u fit-territorju ta’ kull Stat Membru ieħor, l-</w:t>
      </w:r>
      <w:proofErr w:type="spellStart"/>
      <w:r w:rsidRPr="002B0792">
        <w:t>immunità</w:t>
      </w:r>
      <w:proofErr w:type="spellEnd"/>
      <w:r w:rsidRPr="002B0792">
        <w:t xml:space="preserve"> minn kull tip ta’ detenzjoni jew proċeduri legali; billi l-</w:t>
      </w:r>
      <w:proofErr w:type="spellStart"/>
      <w:r w:rsidRPr="002B0792">
        <w:t>immunità</w:t>
      </w:r>
      <w:proofErr w:type="spellEnd"/>
      <w:r w:rsidRPr="002B0792">
        <w:t xml:space="preserve"> ma tistax tintalab meta Membru jinqabad fil-fatt ta’ reat u ma </w:t>
      </w:r>
      <w:proofErr w:type="spellStart"/>
      <w:r w:rsidRPr="002B0792">
        <w:t>tipprekludix</w:t>
      </w:r>
      <w:proofErr w:type="spellEnd"/>
      <w:r w:rsidRPr="002B0792">
        <w:t xml:space="preserve"> lill-Parlament Ewropew milli jeżerċita d-dritt tiegħu li jirrinunzja </w:t>
      </w:r>
      <w:proofErr w:type="spellStart"/>
      <w:r w:rsidRPr="002B0792">
        <w:t>għall-immunità</w:t>
      </w:r>
      <w:proofErr w:type="spellEnd"/>
      <w:r w:rsidRPr="002B0792">
        <w:t xml:space="preserve"> ta’ xi wieħed mill-Membri tiegħu;</w:t>
      </w:r>
    </w:p>
    <w:p w:rsidR="009D5AEA" w:rsidRPr="002B0792" w:rsidRDefault="009D5AEA" w:rsidP="009D5AEA">
      <w:pPr>
        <w:pStyle w:val="NormalHanging12a"/>
      </w:pPr>
      <w:r w:rsidRPr="002B0792">
        <w:t>G.</w:t>
      </w:r>
      <w:r w:rsidRPr="002B0792">
        <w:tab/>
        <w:t xml:space="preserve">billi l-Artikolu 62 tal-Kostituzzjoni tar-Repubblika </w:t>
      </w:r>
      <w:proofErr w:type="spellStart"/>
      <w:r w:rsidRPr="002B0792">
        <w:t>Ellenika</w:t>
      </w:r>
      <w:proofErr w:type="spellEnd"/>
      <w:r w:rsidRPr="002B0792">
        <w:t xml:space="preserve"> jistipula li, matul il-mandat parlamentari tagħhom, il-membri tal-parlament ma jistgħux jiġu akkużati, arrestati, mixħuta l-ħabs jew ristretti bi kwalunkwe mod ieħor mingħajr permess minn qabel mogħti mill-parlament;</w:t>
      </w:r>
    </w:p>
    <w:p w:rsidR="009D5AEA" w:rsidRPr="002B0792" w:rsidRDefault="009D5AEA" w:rsidP="009D5AEA">
      <w:pPr>
        <w:pStyle w:val="NormalHanging12a"/>
      </w:pPr>
      <w:r w:rsidRPr="002B0792">
        <w:t>H.</w:t>
      </w:r>
      <w:r w:rsidRPr="002B0792">
        <w:tab/>
        <w:t xml:space="preserve">billi f’dan il-każ, il-Parlament ma sab l-ebda evidenza ta’ </w:t>
      </w:r>
      <w:proofErr w:type="spellStart"/>
      <w:r w:rsidRPr="002B0792">
        <w:rPr>
          <w:i/>
        </w:rPr>
        <w:t>fumus</w:t>
      </w:r>
      <w:proofErr w:type="spellEnd"/>
      <w:r w:rsidRPr="002B0792">
        <w:rPr>
          <w:i/>
        </w:rPr>
        <w:t xml:space="preserve"> </w:t>
      </w:r>
      <w:proofErr w:type="spellStart"/>
      <w:r w:rsidRPr="002B0792">
        <w:rPr>
          <w:i/>
        </w:rPr>
        <w:t>persecutionis</w:t>
      </w:r>
      <w:proofErr w:type="spellEnd"/>
      <w:r w:rsidRPr="002B0792">
        <w:t>, li tfisser elementi fattwali li jindikaw li l-investigazzjoni ġudizzjarja inkwistjoni kienet mibdija bl-intenzjoni li ssir ħsara lill-attività politika tal-Membru fil-kapaċità tiegħu bħala Membru tal-Parlament Ewropew;</w:t>
      </w:r>
    </w:p>
    <w:p w:rsidR="009D5AEA" w:rsidRPr="002B0792" w:rsidRDefault="009D5AEA" w:rsidP="009D5AEA">
      <w:pPr>
        <w:pStyle w:val="NormalHanging12a"/>
      </w:pPr>
      <w:r w:rsidRPr="002B0792">
        <w:t>I.</w:t>
      </w:r>
      <w:r w:rsidRPr="002B0792">
        <w:tab/>
        <w:t xml:space="preserve">billi huwa l-Parlament waħdu li jiddeċiedi, f’każ partikolari, jekk </w:t>
      </w:r>
      <w:proofErr w:type="spellStart"/>
      <w:r w:rsidRPr="002B0792">
        <w:t>ineħħix</w:t>
      </w:r>
      <w:proofErr w:type="spellEnd"/>
      <w:r w:rsidRPr="002B0792">
        <w:t xml:space="preserve"> l-</w:t>
      </w:r>
      <w:proofErr w:type="spellStart"/>
      <w:r w:rsidRPr="002B0792">
        <w:t>immunità</w:t>
      </w:r>
      <w:proofErr w:type="spellEnd"/>
      <w:r w:rsidRPr="002B0792">
        <w:t xml:space="preserve"> jew le; billi l-Parlament jista’ b’mod raġonevoli jqis il-pożizzjoni tal-Membru meta </w:t>
      </w:r>
      <w:r w:rsidRPr="002B0792">
        <w:lastRenderedPageBreak/>
        <w:t xml:space="preserve">jiddeċiedi jekk </w:t>
      </w:r>
      <w:proofErr w:type="spellStart"/>
      <w:r w:rsidRPr="002B0792">
        <w:t>ineħħix</w:t>
      </w:r>
      <w:proofErr w:type="spellEnd"/>
      <w:r w:rsidRPr="002B0792">
        <w:t xml:space="preserve"> jew le l-</w:t>
      </w:r>
      <w:proofErr w:type="spellStart"/>
      <w:r w:rsidRPr="002B0792">
        <w:t>immunità</w:t>
      </w:r>
      <w:proofErr w:type="spellEnd"/>
      <w:r w:rsidRPr="002B0792">
        <w:t xml:space="preserve"> ta’ tali Membru</w:t>
      </w:r>
      <w:r w:rsidRPr="002B0792">
        <w:rPr>
          <w:spacing w:val="-4"/>
          <w:vertAlign w:val="superscript"/>
        </w:rPr>
        <w:footnoteReference w:id="2"/>
      </w:r>
      <w:r w:rsidRPr="002B0792">
        <w:t xml:space="preserve">; billi, waqt is-seduta ta’ smigħ tiegħu,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 xml:space="preserve"> iddikjara li ma kienx qed joġġezzjona għat-tneħħija tal-</w:t>
      </w:r>
      <w:proofErr w:type="spellStart"/>
      <w:r w:rsidRPr="002B0792">
        <w:t>immunità</w:t>
      </w:r>
      <w:proofErr w:type="spellEnd"/>
      <w:r w:rsidRPr="002B0792">
        <w:t xml:space="preserve"> parlamentari tiegħu;</w:t>
      </w:r>
    </w:p>
    <w:p w:rsidR="009D5AEA" w:rsidRPr="002B0792" w:rsidRDefault="009D5AEA" w:rsidP="009D5AEA">
      <w:pPr>
        <w:pStyle w:val="NormalHanging12a"/>
      </w:pPr>
      <w:r w:rsidRPr="002B0792">
        <w:t>J.</w:t>
      </w:r>
      <w:r w:rsidRPr="002B0792">
        <w:tab/>
        <w:t>billi, minn naħa, il-Parlament ma jistax jitqies bħala qorti u, min-naħa l-oħra, il-Membru ma jistax, fil-kuntest ta’ proċedura għat-tneħħija tal-</w:t>
      </w:r>
      <w:proofErr w:type="spellStart"/>
      <w:r w:rsidRPr="002B0792">
        <w:t>immunità</w:t>
      </w:r>
      <w:proofErr w:type="spellEnd"/>
      <w:r w:rsidRPr="002B0792">
        <w:t>, jitqies bħala “akkużat”</w:t>
      </w:r>
      <w:r w:rsidRPr="002B0792">
        <w:rPr>
          <w:vertAlign w:val="superscript"/>
        </w:rPr>
        <w:footnoteReference w:id="3"/>
      </w:r>
      <w:r w:rsidRPr="002B0792">
        <w:t>;</w:t>
      </w:r>
    </w:p>
    <w:p w:rsidR="009D5AEA" w:rsidRPr="002B0792" w:rsidRDefault="009D5AEA" w:rsidP="009D5AEA">
      <w:pPr>
        <w:pStyle w:val="NormalHanging12a"/>
      </w:pPr>
      <w:r w:rsidRPr="002B0792">
        <w:t>1.</w:t>
      </w:r>
      <w:r w:rsidRPr="002B0792">
        <w:tab/>
        <w:t>Jiddeċiedi li jneħħi l-</w:t>
      </w:r>
      <w:proofErr w:type="spellStart"/>
      <w:r w:rsidRPr="002B0792">
        <w:t>immunità</w:t>
      </w:r>
      <w:proofErr w:type="spellEnd"/>
      <w:r w:rsidRPr="002B0792">
        <w:t xml:space="preserve"> ta’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>;</w:t>
      </w:r>
    </w:p>
    <w:p w:rsidR="009D5AEA" w:rsidRPr="002B0792" w:rsidRDefault="009D5AEA" w:rsidP="00A61EE5">
      <w:pPr>
        <w:ind w:left="567" w:hanging="567"/>
      </w:pPr>
      <w:r w:rsidRPr="002B0792">
        <w:t>2.</w:t>
      </w:r>
      <w:r w:rsidRPr="002B0792">
        <w:tab/>
        <w:t xml:space="preserve">Jagħti istruzzjonijiet lill-President tiegħu biex tgħaddi minnufih din id-deċiżjoni u r-rapport tal-kumitat responsabbli tiegħu lill-awtoritajiet kompetenti tal-Greċja u lil </w:t>
      </w:r>
      <w:proofErr w:type="spellStart"/>
      <w:r w:rsidRPr="002B0792">
        <w:t>Georgios</w:t>
      </w:r>
      <w:proofErr w:type="spellEnd"/>
      <w:r w:rsidRPr="002B0792">
        <w:t xml:space="preserve"> </w:t>
      </w:r>
      <w:proofErr w:type="spellStart"/>
      <w:r w:rsidRPr="002B0792">
        <w:t>Kyrtsos</w:t>
      </w:r>
      <w:proofErr w:type="spellEnd"/>
      <w:r w:rsidRPr="002B0792">
        <w:t>.</w:t>
      </w:r>
    </w:p>
    <w:sectPr w:rsidR="009D5AEA" w:rsidRPr="002B0792" w:rsidSect="002B07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DCE" w:rsidRPr="002B0792" w:rsidRDefault="005C2DCE">
      <w:r w:rsidRPr="002B0792">
        <w:separator/>
      </w:r>
    </w:p>
  </w:endnote>
  <w:endnote w:type="continuationSeparator" w:id="0">
    <w:p w:rsidR="005C2DCE" w:rsidRPr="002B0792" w:rsidRDefault="005C2DCE">
      <w:r w:rsidRPr="002B07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DCE" w:rsidRPr="002B0792" w:rsidRDefault="005C2DCE">
      <w:r w:rsidRPr="002B0792">
        <w:separator/>
      </w:r>
    </w:p>
  </w:footnote>
  <w:footnote w:type="continuationSeparator" w:id="0">
    <w:p w:rsidR="005C2DCE" w:rsidRPr="002B0792" w:rsidRDefault="005C2DCE">
      <w:r w:rsidRPr="002B0792">
        <w:continuationSeparator/>
      </w:r>
    </w:p>
  </w:footnote>
  <w:footnote w:id="1">
    <w:p w:rsidR="009D5AEA" w:rsidRPr="002B0792" w:rsidRDefault="009D5AEA" w:rsidP="002B0792">
      <w:pPr>
        <w:pStyle w:val="FootnoteText"/>
        <w:ind w:left="567" w:hanging="567"/>
        <w:rPr>
          <w:sz w:val="24"/>
          <w:lang w:val="mt-MT"/>
        </w:rPr>
      </w:pPr>
      <w:r w:rsidRPr="002B0792">
        <w:rPr>
          <w:rStyle w:val="FootnoteReference"/>
          <w:sz w:val="24"/>
          <w:lang w:val="mt-MT"/>
        </w:rPr>
        <w:footnoteRef/>
      </w:r>
      <w:r w:rsidR="002B0792" w:rsidRPr="002B0792">
        <w:rPr>
          <w:sz w:val="24"/>
          <w:lang w:val="mt-MT"/>
        </w:rPr>
        <w:t xml:space="preserve"> </w:t>
      </w:r>
      <w:r w:rsidR="002B0792" w:rsidRPr="002B0792">
        <w:rPr>
          <w:sz w:val="24"/>
          <w:lang w:val="mt-MT"/>
        </w:rPr>
        <w:tab/>
      </w:r>
      <w:r w:rsidRPr="002B0792">
        <w:rPr>
          <w:sz w:val="24"/>
          <w:lang w:val="mt-MT"/>
        </w:rPr>
        <w:t xml:space="preserve">Is-sentenza tal-Qorti tal-Ġustizzja tal-21 ta’ Ottubru 2008, </w:t>
      </w:r>
      <w:proofErr w:type="spellStart"/>
      <w:r w:rsidRPr="002B0792">
        <w:rPr>
          <w:i/>
          <w:sz w:val="24"/>
          <w:lang w:val="mt-MT"/>
        </w:rPr>
        <w:t>Marra</w:t>
      </w:r>
      <w:proofErr w:type="spellEnd"/>
      <w:r w:rsidRPr="002B0792">
        <w:rPr>
          <w:sz w:val="24"/>
          <w:lang w:val="mt-MT"/>
        </w:rPr>
        <w:t xml:space="preserve"> </w:t>
      </w:r>
      <w:proofErr w:type="spellStart"/>
      <w:r w:rsidRPr="002B0792">
        <w:rPr>
          <w:sz w:val="24"/>
          <w:lang w:val="mt-MT"/>
        </w:rPr>
        <w:t>vs</w:t>
      </w:r>
      <w:proofErr w:type="spellEnd"/>
      <w:r w:rsidRPr="002B0792">
        <w:rPr>
          <w:sz w:val="24"/>
          <w:lang w:val="mt-MT"/>
        </w:rPr>
        <w:t xml:space="preserve"> </w:t>
      </w:r>
      <w:r w:rsidRPr="002B0792">
        <w:rPr>
          <w:i/>
          <w:sz w:val="24"/>
          <w:lang w:val="mt-MT"/>
        </w:rPr>
        <w:t xml:space="preserve">De </w:t>
      </w:r>
      <w:proofErr w:type="spellStart"/>
      <w:r w:rsidRPr="002B0792">
        <w:rPr>
          <w:i/>
          <w:sz w:val="24"/>
          <w:lang w:val="mt-MT"/>
        </w:rPr>
        <w:t>Gregorio</w:t>
      </w:r>
      <w:proofErr w:type="spellEnd"/>
      <w:r w:rsidRPr="002B0792">
        <w:rPr>
          <w:i/>
          <w:sz w:val="24"/>
          <w:lang w:val="mt-MT"/>
        </w:rPr>
        <w:t xml:space="preserve"> u </w:t>
      </w:r>
      <w:proofErr w:type="spellStart"/>
      <w:r w:rsidRPr="002B0792">
        <w:rPr>
          <w:i/>
          <w:sz w:val="24"/>
          <w:lang w:val="mt-MT"/>
        </w:rPr>
        <w:t>Clemente</w:t>
      </w:r>
      <w:proofErr w:type="spellEnd"/>
      <w:r w:rsidRPr="002B0792">
        <w:rPr>
          <w:sz w:val="24"/>
          <w:lang w:val="mt-MT"/>
        </w:rPr>
        <w:t xml:space="preserve">, C 200/07 u C-201/07, ECLI:EU:C:2008:579; Is-sentenza tal-Qorti Ġenerali tad-19 ta’ Marzu 2010, </w:t>
      </w:r>
      <w:proofErr w:type="spellStart"/>
      <w:r w:rsidRPr="002B0792">
        <w:rPr>
          <w:i/>
          <w:sz w:val="24"/>
          <w:lang w:val="mt-MT"/>
        </w:rPr>
        <w:t>Gollnisch</w:t>
      </w:r>
      <w:proofErr w:type="spellEnd"/>
      <w:r w:rsidRPr="002B0792">
        <w:rPr>
          <w:sz w:val="24"/>
          <w:lang w:val="mt-MT"/>
        </w:rPr>
        <w:t xml:space="preserve"> </w:t>
      </w:r>
      <w:proofErr w:type="spellStart"/>
      <w:r w:rsidRPr="002B0792">
        <w:rPr>
          <w:sz w:val="24"/>
          <w:lang w:val="mt-MT"/>
        </w:rPr>
        <w:t>vs</w:t>
      </w:r>
      <w:proofErr w:type="spellEnd"/>
      <w:r w:rsidRPr="002B0792">
        <w:rPr>
          <w:sz w:val="24"/>
          <w:lang w:val="mt-MT"/>
        </w:rPr>
        <w:t xml:space="preserve"> </w:t>
      </w:r>
      <w:r w:rsidRPr="002B0792">
        <w:rPr>
          <w:i/>
          <w:sz w:val="24"/>
          <w:lang w:val="mt-MT"/>
        </w:rPr>
        <w:t>il-Parlament</w:t>
      </w:r>
      <w:r w:rsidRPr="002B0792">
        <w:rPr>
          <w:sz w:val="24"/>
          <w:lang w:val="mt-MT"/>
        </w:rPr>
        <w:t xml:space="preserve">, T-42/06, ECLI:EU:T:2010:102; Is-sentenza tal-Qorti tal-Ġustizzja tas-6 ta’ Settembru 2011, </w:t>
      </w:r>
      <w:proofErr w:type="spellStart"/>
      <w:r w:rsidRPr="002B0792">
        <w:rPr>
          <w:i/>
          <w:sz w:val="24"/>
          <w:lang w:val="mt-MT"/>
        </w:rPr>
        <w:t>Patriciello</w:t>
      </w:r>
      <w:proofErr w:type="spellEnd"/>
      <w:r w:rsidRPr="002B0792">
        <w:rPr>
          <w:sz w:val="24"/>
          <w:lang w:val="mt-MT"/>
        </w:rPr>
        <w:t xml:space="preserve">, C-163/10, ECLI: EU:C:2011:543; Is-sentenza tal-Qorti Ġenerali tas-17 ta’ Jannar 2013, </w:t>
      </w:r>
      <w:proofErr w:type="spellStart"/>
      <w:r w:rsidRPr="002B0792">
        <w:rPr>
          <w:i/>
          <w:sz w:val="24"/>
          <w:lang w:val="mt-MT"/>
        </w:rPr>
        <w:t>Gollnisch</w:t>
      </w:r>
      <w:proofErr w:type="spellEnd"/>
      <w:r w:rsidRPr="002B0792">
        <w:rPr>
          <w:sz w:val="24"/>
          <w:lang w:val="mt-MT"/>
        </w:rPr>
        <w:t xml:space="preserve"> </w:t>
      </w:r>
      <w:proofErr w:type="spellStart"/>
      <w:r w:rsidRPr="002B0792">
        <w:rPr>
          <w:sz w:val="24"/>
          <w:lang w:val="mt-MT"/>
        </w:rPr>
        <w:t>vs</w:t>
      </w:r>
      <w:proofErr w:type="spellEnd"/>
      <w:r w:rsidRPr="002B0792">
        <w:rPr>
          <w:sz w:val="24"/>
          <w:lang w:val="mt-MT"/>
        </w:rPr>
        <w:t xml:space="preserve"> </w:t>
      </w:r>
      <w:r w:rsidRPr="002B0792">
        <w:rPr>
          <w:i/>
          <w:sz w:val="24"/>
          <w:lang w:val="mt-MT"/>
        </w:rPr>
        <w:t>il-Parlament</w:t>
      </w:r>
      <w:r w:rsidRPr="002B0792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2B0792">
        <w:rPr>
          <w:i/>
          <w:sz w:val="24"/>
          <w:lang w:val="mt-MT"/>
        </w:rPr>
        <w:t>Junqueras</w:t>
      </w:r>
      <w:proofErr w:type="spellEnd"/>
      <w:r w:rsidRPr="002B0792">
        <w:rPr>
          <w:i/>
          <w:sz w:val="24"/>
          <w:lang w:val="mt-MT"/>
        </w:rPr>
        <w:t xml:space="preserve"> </w:t>
      </w:r>
      <w:proofErr w:type="spellStart"/>
      <w:r w:rsidRPr="002B0792">
        <w:rPr>
          <w:i/>
          <w:sz w:val="24"/>
          <w:lang w:val="mt-MT"/>
        </w:rPr>
        <w:t>Vies</w:t>
      </w:r>
      <w:proofErr w:type="spellEnd"/>
      <w:r w:rsidRPr="002B0792">
        <w:rPr>
          <w:sz w:val="24"/>
          <w:lang w:val="mt-MT"/>
        </w:rPr>
        <w:t>, C-502/19, ECLI:EU:C:2019:1115.</w:t>
      </w:r>
    </w:p>
  </w:footnote>
  <w:footnote w:id="2">
    <w:p w:rsidR="009D5AEA" w:rsidRPr="002B0792" w:rsidRDefault="009D5AEA" w:rsidP="002B0792">
      <w:pPr>
        <w:pStyle w:val="FootnoteText"/>
        <w:ind w:left="567" w:hanging="567"/>
        <w:rPr>
          <w:sz w:val="24"/>
          <w:lang w:val="mt-MT"/>
        </w:rPr>
      </w:pPr>
      <w:r w:rsidRPr="002B0792">
        <w:rPr>
          <w:rStyle w:val="FootnoteReference"/>
          <w:sz w:val="24"/>
          <w:lang w:val="mt-MT"/>
        </w:rPr>
        <w:footnoteRef/>
      </w:r>
      <w:r w:rsidR="002B0792" w:rsidRPr="002B0792">
        <w:rPr>
          <w:sz w:val="24"/>
          <w:lang w:val="mt-MT"/>
        </w:rPr>
        <w:t xml:space="preserve"> </w:t>
      </w:r>
      <w:r w:rsidR="002B0792" w:rsidRPr="002B0792">
        <w:rPr>
          <w:sz w:val="24"/>
          <w:lang w:val="mt-MT"/>
        </w:rPr>
        <w:tab/>
      </w:r>
      <w:r w:rsidR="00A61EE5">
        <w:rPr>
          <w:sz w:val="24"/>
          <w:lang w:val="mt-MT"/>
        </w:rPr>
        <w:t>Is-s</w:t>
      </w:r>
      <w:r w:rsidRPr="002B0792">
        <w:rPr>
          <w:sz w:val="24"/>
          <w:lang w:val="mt-MT"/>
        </w:rPr>
        <w:t xml:space="preserve">entenza tal-Qorti Ġenerali tal-15 ta’ Ottubru 2008, </w:t>
      </w:r>
      <w:proofErr w:type="spellStart"/>
      <w:r w:rsidRPr="002B0792">
        <w:rPr>
          <w:i/>
          <w:sz w:val="24"/>
          <w:lang w:val="mt-MT"/>
        </w:rPr>
        <w:t>Mote</w:t>
      </w:r>
      <w:proofErr w:type="spellEnd"/>
      <w:r w:rsidRPr="002B0792">
        <w:rPr>
          <w:sz w:val="24"/>
          <w:lang w:val="mt-MT"/>
        </w:rPr>
        <w:t xml:space="preserve"> </w:t>
      </w:r>
      <w:proofErr w:type="spellStart"/>
      <w:r w:rsidRPr="002B0792">
        <w:rPr>
          <w:sz w:val="24"/>
          <w:lang w:val="mt-MT"/>
        </w:rPr>
        <w:t>vs</w:t>
      </w:r>
      <w:proofErr w:type="spellEnd"/>
      <w:r w:rsidRPr="002B0792">
        <w:rPr>
          <w:sz w:val="24"/>
          <w:lang w:val="mt-MT"/>
        </w:rPr>
        <w:t xml:space="preserve"> </w:t>
      </w:r>
      <w:r w:rsidRPr="002B0792">
        <w:rPr>
          <w:i/>
          <w:sz w:val="24"/>
          <w:lang w:val="mt-MT"/>
        </w:rPr>
        <w:t>il-Parlament</w:t>
      </w:r>
      <w:r w:rsidRPr="002B0792">
        <w:rPr>
          <w:sz w:val="24"/>
          <w:lang w:val="mt-MT"/>
        </w:rPr>
        <w:t>, T-345/05, ECLI:EU:T:2008:440, paragrafu 28;</w:t>
      </w:r>
    </w:p>
  </w:footnote>
  <w:footnote w:id="3">
    <w:p w:rsidR="009D5AEA" w:rsidRPr="002B0792" w:rsidRDefault="009D5AEA" w:rsidP="002B0792">
      <w:pPr>
        <w:pStyle w:val="FootnoteText"/>
        <w:ind w:left="567" w:hanging="567"/>
        <w:rPr>
          <w:sz w:val="24"/>
          <w:lang w:val="mt-MT"/>
        </w:rPr>
      </w:pPr>
      <w:r w:rsidRPr="002B0792">
        <w:rPr>
          <w:rStyle w:val="FootnoteReference"/>
          <w:sz w:val="24"/>
          <w:lang w:val="mt-MT"/>
        </w:rPr>
        <w:footnoteRef/>
      </w:r>
      <w:r w:rsidR="002B0792" w:rsidRPr="002B0792">
        <w:rPr>
          <w:sz w:val="24"/>
          <w:lang w:val="mt-MT"/>
        </w:rPr>
        <w:t xml:space="preserve"> </w:t>
      </w:r>
      <w:r w:rsidR="002B0792" w:rsidRPr="002B0792">
        <w:rPr>
          <w:sz w:val="24"/>
          <w:lang w:val="mt-MT"/>
        </w:rPr>
        <w:tab/>
      </w:r>
      <w:r w:rsidRPr="002B0792">
        <w:rPr>
          <w:sz w:val="24"/>
          <w:lang w:val="mt-MT"/>
        </w:rPr>
        <w:t xml:space="preserve">Is-sentenza tal-Qorti Ġenerali tat-30 ta’ April 2019, </w:t>
      </w:r>
      <w:proofErr w:type="spellStart"/>
      <w:r w:rsidRPr="002B0792">
        <w:rPr>
          <w:i/>
          <w:sz w:val="24"/>
          <w:lang w:val="mt-MT"/>
        </w:rPr>
        <w:t>Briois</w:t>
      </w:r>
      <w:proofErr w:type="spellEnd"/>
      <w:r w:rsidRPr="002B0792">
        <w:rPr>
          <w:sz w:val="24"/>
          <w:lang w:val="mt-MT"/>
        </w:rPr>
        <w:t xml:space="preserve"> </w:t>
      </w:r>
      <w:proofErr w:type="spellStart"/>
      <w:r w:rsidRPr="002B0792">
        <w:rPr>
          <w:sz w:val="24"/>
          <w:lang w:val="mt-MT"/>
        </w:rPr>
        <w:t>vs</w:t>
      </w:r>
      <w:proofErr w:type="spellEnd"/>
      <w:r w:rsidRPr="002B0792">
        <w:rPr>
          <w:sz w:val="24"/>
          <w:lang w:val="mt-MT"/>
        </w:rPr>
        <w:t xml:space="preserve"> </w:t>
      </w:r>
      <w:r w:rsidRPr="002B0792">
        <w:rPr>
          <w:i/>
          <w:sz w:val="24"/>
          <w:lang w:val="mt-MT"/>
        </w:rPr>
        <w:t>il-Parlament</w:t>
      </w:r>
      <w:r w:rsidRPr="002B0792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7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MT"/>
    <w:docVar w:name="dvnumam" w:val="0"/>
    <w:docVar w:name="dvpe" w:val="756.043"/>
    <w:docVar w:name="dvrapporteur" w:val="Rapporteur: "/>
    <w:docVar w:name="dvtitre" w:val="Deċiżjoni tal-Parlament Ewropew tas-6 ta' Frar 2024 dwar it-talba għat-tneħħija tal-immunità ta’ Georgios Kyrtsos(2023/2185(IMM))"/>
  </w:docVars>
  <w:rsids>
    <w:rsidRoot w:val="005C2D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79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DC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DD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AEA"/>
    <w:rsid w:val="00A1687D"/>
    <w:rsid w:val="00A43E52"/>
    <w:rsid w:val="00A4678D"/>
    <w:rsid w:val="00A61EE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DF027"/>
  <w15:chartTrackingRefBased/>
  <w15:docId w15:val="{0E6ED047-479B-48EC-B448-25C89CFB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D5AEA"/>
    <w:pPr>
      <w:spacing w:after="240"/>
      <w:ind w:left="567" w:hanging="567"/>
    </w:pPr>
  </w:style>
  <w:style w:type="paragraph" w:customStyle="1" w:styleId="EPComma">
    <w:name w:val="EPComma"/>
    <w:basedOn w:val="Normal"/>
    <w:rsid w:val="009D5AE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4F0C-50D3-4735-A603-7D6B8B87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4786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2024-02-06T12:23:00Z</dcterms:created>
  <dcterms:modified xsi:type="dcterms:W3CDTF">2024-02-06T12:23:00Z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