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0D8" w:rsidTr="0010095E">
        <w:trPr>
          <w:trHeight w:hRule="exact" w:val="1418"/>
        </w:trPr>
        <w:tc>
          <w:tcPr>
            <w:tcW w:w="6804" w:type="dxa"/>
            <w:shd w:val="clear" w:color="auto" w:fill="auto"/>
            <w:vAlign w:val="center"/>
          </w:tcPr>
          <w:p w:rsidR="00751A4A" w:rsidRPr="00D110D8" w:rsidRDefault="00E07F60" w:rsidP="0010095E">
            <w:pPr>
              <w:pStyle w:val="EPName"/>
            </w:pPr>
            <w:r w:rsidRPr="00D110D8">
              <w:t>Parlamentul European</w:t>
            </w:r>
          </w:p>
          <w:p w:rsidR="00751A4A" w:rsidRPr="00D110D8" w:rsidRDefault="00817416" w:rsidP="00756632">
            <w:pPr>
              <w:pStyle w:val="EPTerm"/>
              <w:rPr>
                <w:rStyle w:val="HideTWBExt"/>
                <w:noProof w:val="0"/>
                <w:vanish w:val="0"/>
                <w:color w:val="auto"/>
              </w:rPr>
            </w:pPr>
            <w:r w:rsidRPr="00D110D8">
              <w:t>2019-2024</w:t>
            </w:r>
          </w:p>
        </w:tc>
        <w:tc>
          <w:tcPr>
            <w:tcW w:w="2268" w:type="dxa"/>
            <w:shd w:val="clear" w:color="auto" w:fill="auto"/>
          </w:tcPr>
          <w:p w:rsidR="00751A4A" w:rsidRPr="00D110D8" w:rsidRDefault="00187494" w:rsidP="0010095E">
            <w:pPr>
              <w:pStyle w:val="EPLogo"/>
            </w:pPr>
            <w:r w:rsidRPr="00D110D8">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10D8" w:rsidRDefault="00D058B8" w:rsidP="004C5D52">
      <w:pPr>
        <w:pStyle w:val="LineTop"/>
      </w:pPr>
    </w:p>
    <w:p w:rsidR="00680577" w:rsidRPr="00D110D8" w:rsidRDefault="00E07F60" w:rsidP="00680577">
      <w:pPr>
        <w:pStyle w:val="EPBodyTA1"/>
      </w:pPr>
      <w:r w:rsidRPr="00D110D8">
        <w:t>TEXTE ADOPTATE</w:t>
      </w:r>
    </w:p>
    <w:p w:rsidR="00D058B8" w:rsidRPr="00D110D8" w:rsidRDefault="00D058B8" w:rsidP="00D058B8">
      <w:pPr>
        <w:pStyle w:val="LineBottom"/>
      </w:pPr>
    </w:p>
    <w:p w:rsidR="00E07F60" w:rsidRPr="00D110D8" w:rsidRDefault="00E07F60" w:rsidP="00E07F60">
      <w:pPr>
        <w:pStyle w:val="ATHeading1"/>
      </w:pPr>
      <w:bookmarkStart w:id="0" w:name="TANumber"/>
      <w:r w:rsidRPr="00D110D8">
        <w:t>P9_TA(2024)00</w:t>
      </w:r>
      <w:bookmarkEnd w:id="0"/>
      <w:r w:rsidR="00D110D8">
        <w:t>55</w:t>
      </w:r>
      <w:bookmarkStart w:id="1" w:name="_GoBack"/>
      <w:bookmarkEnd w:id="1"/>
    </w:p>
    <w:p w:rsidR="00E07F60" w:rsidRPr="00D110D8" w:rsidRDefault="00BA64A4" w:rsidP="00E07F60">
      <w:pPr>
        <w:pStyle w:val="ATHeading2"/>
      </w:pPr>
      <w:bookmarkStart w:id="2" w:name="title"/>
      <w:r w:rsidRPr="00D110D8">
        <w:t xml:space="preserve">Cererea de ridicare a imunității lui Georgios </w:t>
      </w:r>
      <w:proofErr w:type="spellStart"/>
      <w:r w:rsidRPr="00D110D8">
        <w:t>Kyrtsos</w:t>
      </w:r>
      <w:bookmarkEnd w:id="2"/>
      <w:proofErr w:type="spellEnd"/>
    </w:p>
    <w:p w:rsidR="00E07F60" w:rsidRPr="00D110D8" w:rsidRDefault="00E07F60" w:rsidP="00E07F60">
      <w:pPr>
        <w:rPr>
          <w:i/>
          <w:vanish/>
        </w:rPr>
      </w:pPr>
      <w:r w:rsidRPr="00D110D8">
        <w:rPr>
          <w:i/>
        </w:rPr>
        <w:fldChar w:fldCharType="begin"/>
      </w:r>
      <w:r w:rsidRPr="00D110D8">
        <w:rPr>
          <w:i/>
        </w:rPr>
        <w:instrText xml:space="preserve"> TC"(</w:instrText>
      </w:r>
      <w:bookmarkStart w:id="3" w:name="DocNumber"/>
      <w:r w:rsidRPr="00D110D8">
        <w:rPr>
          <w:i/>
        </w:rPr>
        <w:instrText>A9-0028/2024</w:instrText>
      </w:r>
      <w:bookmarkEnd w:id="3"/>
      <w:r w:rsidRPr="00D110D8">
        <w:rPr>
          <w:i/>
        </w:rPr>
        <w:instrText xml:space="preserve"> - Raportor: Angel </w:instrText>
      </w:r>
      <w:proofErr w:type="spellStart"/>
      <w:r w:rsidRPr="00D110D8">
        <w:rPr>
          <w:i/>
        </w:rPr>
        <w:instrText>Dzhambazki</w:instrText>
      </w:r>
      <w:proofErr w:type="spellEnd"/>
      <w:r w:rsidRPr="00D110D8">
        <w:rPr>
          <w:i/>
        </w:rPr>
        <w:instrText xml:space="preserve">)"\l3 \n&gt; \* MERGEFORMAT </w:instrText>
      </w:r>
      <w:r w:rsidRPr="00D110D8">
        <w:rPr>
          <w:i/>
        </w:rPr>
        <w:fldChar w:fldCharType="end"/>
      </w:r>
    </w:p>
    <w:p w:rsidR="00E07F60" w:rsidRPr="00D110D8" w:rsidRDefault="00E07F60" w:rsidP="00E07F60">
      <w:pPr>
        <w:rPr>
          <w:vanish/>
        </w:rPr>
      </w:pPr>
      <w:bookmarkStart w:id="4" w:name="Commission"/>
      <w:r w:rsidRPr="00D110D8">
        <w:rPr>
          <w:vanish/>
        </w:rPr>
        <w:t>Comisia pentru afaceri juridice</w:t>
      </w:r>
      <w:bookmarkEnd w:id="4"/>
    </w:p>
    <w:p w:rsidR="00E07F60" w:rsidRPr="00D110D8" w:rsidRDefault="00E07F60" w:rsidP="00E07F60">
      <w:pPr>
        <w:rPr>
          <w:vanish/>
        </w:rPr>
      </w:pPr>
      <w:bookmarkStart w:id="5" w:name="PE"/>
      <w:r w:rsidRPr="00D110D8">
        <w:rPr>
          <w:vanish/>
        </w:rPr>
        <w:t>PE756.043</w:t>
      </w:r>
      <w:bookmarkEnd w:id="5"/>
    </w:p>
    <w:p w:rsidR="00E07F60" w:rsidRPr="00D110D8" w:rsidRDefault="00E07F60" w:rsidP="00E07F60">
      <w:pPr>
        <w:pStyle w:val="ATHeading3"/>
      </w:pPr>
      <w:bookmarkStart w:id="6" w:name="Sujet"/>
      <w:r w:rsidRPr="00D110D8">
        <w:t xml:space="preserve">Decizia Parlamentului European din 6 februarie 2024 privind cererea de ridicare a imunității lui Georgios </w:t>
      </w:r>
      <w:proofErr w:type="spellStart"/>
      <w:r w:rsidRPr="00D110D8">
        <w:t>Kyrtsos</w:t>
      </w:r>
      <w:bookmarkEnd w:id="6"/>
      <w:proofErr w:type="spellEnd"/>
      <w:r w:rsidRPr="00D110D8">
        <w:t xml:space="preserve"> </w:t>
      </w:r>
      <w:bookmarkStart w:id="7" w:name="References"/>
      <w:r w:rsidRPr="00D110D8">
        <w:t>(2023/2185(IMM))</w:t>
      </w:r>
      <w:bookmarkEnd w:id="7"/>
    </w:p>
    <w:p w:rsidR="0006002E" w:rsidRPr="00D110D8" w:rsidRDefault="0006002E" w:rsidP="0006002E">
      <w:pPr>
        <w:pStyle w:val="EPComma"/>
      </w:pPr>
      <w:bookmarkStart w:id="8" w:name="TextBodyBegin"/>
      <w:bookmarkEnd w:id="8"/>
      <w:r w:rsidRPr="00D110D8">
        <w:rPr>
          <w:i/>
          <w:iCs/>
        </w:rPr>
        <w:t>Parlamentul European</w:t>
      </w:r>
      <w:r w:rsidRPr="00D110D8">
        <w:t>,</w:t>
      </w:r>
    </w:p>
    <w:p w:rsidR="0006002E" w:rsidRPr="00D110D8" w:rsidRDefault="0006002E" w:rsidP="0006002E">
      <w:pPr>
        <w:pStyle w:val="NormalHanging12a"/>
      </w:pPr>
      <w:r w:rsidRPr="00D110D8">
        <w:t>–</w:t>
      </w:r>
      <w:r w:rsidRPr="00D110D8">
        <w:tab/>
        <w:t xml:space="preserve">având în vedere cererea procurorului de pe lângă Tribunalul de primă instanță Atena de ridicare a imunității lui Georgios </w:t>
      </w:r>
      <w:proofErr w:type="spellStart"/>
      <w:r w:rsidRPr="00D110D8">
        <w:t>Kyrtsos</w:t>
      </w:r>
      <w:proofErr w:type="spellEnd"/>
      <w:r w:rsidRPr="00D110D8">
        <w:t xml:space="preserve"> în legătură cu o procedură penală, transmisă prin scrisoarea din 27 iunie 2023 de către procurorul adjunct de la Curtea Supremă a Greciei și anunțată în plen la 10 iulie 2023,</w:t>
      </w:r>
    </w:p>
    <w:p w:rsidR="0006002E" w:rsidRPr="00D110D8" w:rsidRDefault="0006002E" w:rsidP="0006002E">
      <w:pPr>
        <w:pStyle w:val="NormalHanging12a"/>
      </w:pPr>
      <w:r w:rsidRPr="00D110D8">
        <w:t>–</w:t>
      </w:r>
      <w:r w:rsidRPr="00D110D8">
        <w:tab/>
        <w:t xml:space="preserve">în urma audierii lui Georgios </w:t>
      </w:r>
      <w:proofErr w:type="spellStart"/>
      <w:r w:rsidRPr="00D110D8">
        <w:t>Kyrtsos</w:t>
      </w:r>
      <w:proofErr w:type="spellEnd"/>
      <w:r w:rsidRPr="00D110D8">
        <w:t>, în conformitate cu articolul 9 alineatul (6) din Regulamentul său de procedură,</w:t>
      </w:r>
    </w:p>
    <w:p w:rsidR="0006002E" w:rsidRPr="00D110D8" w:rsidRDefault="0006002E" w:rsidP="0006002E">
      <w:pPr>
        <w:pStyle w:val="NormalHanging12a"/>
      </w:pPr>
      <w:r w:rsidRPr="00D110D8">
        <w:t>–</w:t>
      </w:r>
      <w:r w:rsidRPr="00D110D8">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06002E" w:rsidRPr="00D110D8" w:rsidRDefault="0006002E" w:rsidP="0006002E">
      <w:pPr>
        <w:pStyle w:val="NormalHanging12a"/>
      </w:pPr>
      <w:r w:rsidRPr="00D110D8">
        <w:t>–</w:t>
      </w:r>
      <w:r w:rsidRPr="00D110D8">
        <w:tab/>
        <w:t>având în vedere hotărârile Curții de Justiție a Uniunii Europene din 21 octombrie 2008, 19 martie 2010, 6 septembrie 2011, 17 ianuarie 2013 și 19 decembrie 2019</w:t>
      </w:r>
      <w:r w:rsidRPr="00D110D8">
        <w:rPr>
          <w:rStyle w:val="FootnoteReference"/>
        </w:rPr>
        <w:footnoteReference w:id="1"/>
      </w:r>
      <w:r w:rsidRPr="00D110D8">
        <w:t>,</w:t>
      </w:r>
    </w:p>
    <w:p w:rsidR="0006002E" w:rsidRPr="00D110D8" w:rsidRDefault="0006002E" w:rsidP="0006002E">
      <w:pPr>
        <w:pStyle w:val="NormalHanging12a"/>
      </w:pPr>
      <w:r w:rsidRPr="00D110D8">
        <w:t>–</w:t>
      </w:r>
      <w:r w:rsidRPr="00D110D8">
        <w:tab/>
        <w:t>având în vedere articolul 62 din Constituția Republicii Elene,</w:t>
      </w:r>
    </w:p>
    <w:p w:rsidR="0006002E" w:rsidRPr="00D110D8" w:rsidRDefault="0006002E" w:rsidP="0006002E">
      <w:pPr>
        <w:pStyle w:val="NormalHanging12a"/>
      </w:pPr>
      <w:r w:rsidRPr="00D110D8">
        <w:t>–</w:t>
      </w:r>
      <w:r w:rsidRPr="00D110D8">
        <w:tab/>
        <w:t>având în vedere articolul 5 alineatul (2), articolul 6 alineatul (1) și articolul 9 din Regulamentul său de procedură,</w:t>
      </w:r>
    </w:p>
    <w:p w:rsidR="0006002E" w:rsidRPr="00D110D8" w:rsidRDefault="0006002E" w:rsidP="0006002E">
      <w:pPr>
        <w:pStyle w:val="NormalHanging12a"/>
      </w:pPr>
      <w:r w:rsidRPr="00D110D8">
        <w:lastRenderedPageBreak/>
        <w:t>–</w:t>
      </w:r>
      <w:r w:rsidRPr="00D110D8">
        <w:tab/>
        <w:t>având în vedere raportul Comisiei pentru afaceri juridice (A9-0028/2024),</w:t>
      </w:r>
    </w:p>
    <w:p w:rsidR="0006002E" w:rsidRPr="00D110D8" w:rsidRDefault="0006002E" w:rsidP="0006002E">
      <w:pPr>
        <w:pStyle w:val="NormalHanging12a"/>
      </w:pPr>
      <w:r w:rsidRPr="00D110D8">
        <w:t>A.</w:t>
      </w:r>
      <w:r w:rsidRPr="00D110D8">
        <w:tab/>
        <w:t xml:space="preserve">întrucât procurorul de pe lângă Tribunalul de Primă Instanță din Atena a solicitat ridicarea imunității lui Georgios </w:t>
      </w:r>
      <w:proofErr w:type="spellStart"/>
      <w:r w:rsidRPr="00D110D8">
        <w:t>Kyrtsos</w:t>
      </w:r>
      <w:proofErr w:type="spellEnd"/>
      <w:r w:rsidRPr="00D110D8">
        <w:t>, deputat în Parlamentul European ales în Grecia, în legătură cu o procedură penală care va fi inițiată împotriva sa pentru neplata unei anumite sume datorate statului elen;</w:t>
      </w:r>
    </w:p>
    <w:p w:rsidR="0006002E" w:rsidRPr="00D110D8" w:rsidRDefault="0006002E" w:rsidP="0006002E">
      <w:pPr>
        <w:pStyle w:val="NormalHanging12a"/>
      </w:pPr>
      <w:r w:rsidRPr="00D110D8">
        <w:t>B.</w:t>
      </w:r>
      <w:r w:rsidRPr="00D110D8">
        <w:tab/>
        <w:t xml:space="preserve">întrucât Georgios </w:t>
      </w:r>
      <w:proofErr w:type="spellStart"/>
      <w:r w:rsidRPr="00D110D8">
        <w:t>Kyrtsos</w:t>
      </w:r>
      <w:proofErr w:type="spellEnd"/>
      <w:r w:rsidRPr="00D110D8">
        <w:t xml:space="preserve">, în calitatea sa de director general adjunct al societății KMP </w:t>
      </w:r>
      <w:proofErr w:type="spellStart"/>
      <w:r w:rsidRPr="00D110D8">
        <w:t>Ekdotiki</w:t>
      </w:r>
      <w:proofErr w:type="spellEnd"/>
      <w:r w:rsidRPr="00D110D8">
        <w:t xml:space="preserve"> Anonimi </w:t>
      </w:r>
      <w:proofErr w:type="spellStart"/>
      <w:r w:rsidRPr="00D110D8">
        <w:t>Etaireia</w:t>
      </w:r>
      <w:proofErr w:type="spellEnd"/>
      <w:r w:rsidRPr="00D110D8">
        <w:t xml:space="preserve"> [KMP </w:t>
      </w:r>
      <w:proofErr w:type="spellStart"/>
      <w:r w:rsidRPr="00D110D8">
        <w:t>Publishing</w:t>
      </w:r>
      <w:proofErr w:type="spellEnd"/>
      <w:r w:rsidRPr="00D110D8">
        <w:t xml:space="preserve"> </w:t>
      </w:r>
      <w:proofErr w:type="spellStart"/>
      <w:r w:rsidRPr="00D110D8">
        <w:t>plc</w:t>
      </w:r>
      <w:proofErr w:type="spellEnd"/>
      <w:r w:rsidRPr="00D110D8">
        <w:t>], este acuzat că nu a plătit o anumită sumă datorată statului elen;</w:t>
      </w:r>
    </w:p>
    <w:p w:rsidR="0006002E" w:rsidRPr="00D110D8" w:rsidRDefault="0006002E" w:rsidP="0006002E">
      <w:pPr>
        <w:pStyle w:val="NormalHanging12a"/>
      </w:pPr>
      <w:r w:rsidRPr="00D110D8">
        <w:t>C.</w:t>
      </w:r>
      <w:r w:rsidRPr="00D110D8">
        <w:tab/>
        <w:t xml:space="preserve">întrucât fapta care se presupune că a fost comisă de Georgios </w:t>
      </w:r>
      <w:proofErr w:type="spellStart"/>
      <w:r w:rsidRPr="00D110D8">
        <w:t>Kyrtsos</w:t>
      </w:r>
      <w:proofErr w:type="spellEnd"/>
      <w:r w:rsidRPr="00D110D8">
        <w:t xml:space="preserve"> constituie o infracțiune de neplată a datoriilor către stat în temeiul articolului 25 alineatul (1) litera (b) din Legea elenă nr. 1882/90, înlocuit de articolul 23 alineatul (1) din Legea elenă nr. 2523/97, astfel cum a fost modificat de articolul 18 alineatul (2) și articolul 28 alineatele (2)-(4) din Legea elenă nr. 2948/01, astfel cum a fost completat de articolul 34 din Legea elenă nr. 3016/02, de articolul 34 alineatul (1) din Legea elenă nr. 3220/04 și de articolul 3 alineatul (1) din Legea elenă nr. 3943/11, astfel cum a fost înlocuit de articolul 20 din Legea elenă nr. 4321/15, astfel cum a fost modificat de articolul 71 alineatul (2) din Legea elenă nr. 4174/13, care a fost adăugat la articolul 8 din Legea elenă nr. 4337/15 și astfel cum a fost completat cu articolul 469 din Legea elenă nr. 4619/19;</w:t>
      </w:r>
    </w:p>
    <w:p w:rsidR="0006002E" w:rsidRPr="00D110D8" w:rsidRDefault="0006002E" w:rsidP="0006002E">
      <w:pPr>
        <w:pStyle w:val="NormalHanging12a"/>
      </w:pPr>
      <w:r w:rsidRPr="00D110D8">
        <w:t>D.</w:t>
      </w:r>
      <w:r w:rsidRPr="00D110D8">
        <w:tab/>
        <w:t xml:space="preserve">întrucât scopul imunității parlamentare este acela de a proteja Parlamentul și deputații săi de proceduri judiciare inițiate în legătură cu activitățile desfășurate în exercitarea funcțiilor parlamentare, activități care nu pot fi disociate de aceste funcții; întrucât este clar că infracțiunea prezumtivă nu are nicio legătură directă cu activitățile lui Georgios </w:t>
      </w:r>
      <w:proofErr w:type="spellStart"/>
      <w:r w:rsidRPr="00D110D8">
        <w:t>Kyrtsos</w:t>
      </w:r>
      <w:proofErr w:type="spellEnd"/>
      <w:r w:rsidRPr="00D110D8">
        <w:t xml:space="preserve"> ca deputat în Parlamentul European, ci are legătură cu postul său de director al companiei sale de presă;</w:t>
      </w:r>
    </w:p>
    <w:p w:rsidR="0006002E" w:rsidRPr="00D110D8" w:rsidRDefault="0006002E" w:rsidP="0006002E">
      <w:pPr>
        <w:pStyle w:val="NormalHanging12a"/>
      </w:pPr>
      <w:r w:rsidRPr="00D110D8">
        <w:t>E.</w:t>
      </w:r>
      <w:r w:rsidRPr="00D110D8">
        <w:tab/>
        <w:t xml:space="preserve">întrucât presupusa infracțiune nu constituie nici opinii sau voturi exprimate în exercitarea îndatoririlor lui Georgios </w:t>
      </w:r>
      <w:proofErr w:type="spellStart"/>
      <w:r w:rsidRPr="00D110D8">
        <w:t>Kyrtsos</w:t>
      </w:r>
      <w:proofErr w:type="spellEnd"/>
      <w:r w:rsidRPr="00D110D8">
        <w:t xml:space="preserve"> de deputat în Parlamentul European, în sensul articolului 8 din Protocolul nr. 7 privind privilegiile și imunitățile Uniunii Europene;</w:t>
      </w:r>
    </w:p>
    <w:p w:rsidR="0006002E" w:rsidRPr="00D110D8" w:rsidRDefault="0006002E" w:rsidP="0006002E">
      <w:pPr>
        <w:pStyle w:val="NormalHanging12a"/>
      </w:pPr>
      <w:r w:rsidRPr="00D110D8">
        <w:t>F.</w:t>
      </w:r>
      <w:r w:rsidRPr="00D110D8">
        <w:tab/>
        <w:t>întrucât, în conformitate cu articolul 9 din Protocolul nr. 7 privind privilegiile și imunitățile Uniunii Europene, membrii Parlamentului European se bucură, pe teritoriul lor național, de imunitățile acordate membrilor parlamentului țării lor, iar pe teritoriul oricărui alt stat membru, de imunitate în fața oricărei măsuri de detenție și în fața procedurilor judiciare; întrucât imunitatea nu poate fi invocată în caz de flagrant delict și nici nu poate constitui o piedică pentru Parlamentul European de a ridica imunitatea unuia dintre membrii săi;</w:t>
      </w:r>
    </w:p>
    <w:p w:rsidR="0006002E" w:rsidRPr="00D110D8" w:rsidRDefault="0006002E" w:rsidP="0006002E">
      <w:pPr>
        <w:pStyle w:val="NormalHanging12a"/>
      </w:pPr>
      <w:r w:rsidRPr="00D110D8">
        <w:t>G.</w:t>
      </w:r>
      <w:r w:rsidRPr="00D110D8">
        <w:tab/>
        <w:t>întrucât articolul 62 din Constituția Republicii Elene prevede că, pe durata mandatului lor parlamentar, deputații nu pot fi urmăriți, arestați, trimiși în închisoare sau supuși altor măsuri privative de libertate fără acordul prealabil al Parlamentului;</w:t>
      </w:r>
    </w:p>
    <w:p w:rsidR="0006002E" w:rsidRPr="00D110D8" w:rsidRDefault="0006002E" w:rsidP="0006002E">
      <w:pPr>
        <w:pStyle w:val="NormalHanging12a"/>
      </w:pPr>
      <w:r w:rsidRPr="00D110D8">
        <w:t>H.</w:t>
      </w:r>
      <w:r w:rsidRPr="00D110D8">
        <w:tab/>
        <w:t xml:space="preserve">întrucât, în cazul de față, Parlamentul nu a găsit nicio dovadă de </w:t>
      </w:r>
      <w:proofErr w:type="spellStart"/>
      <w:r w:rsidRPr="00D110D8">
        <w:rPr>
          <w:i/>
          <w:iCs/>
        </w:rPr>
        <w:t>fumus</w:t>
      </w:r>
      <w:proofErr w:type="spellEnd"/>
      <w:r w:rsidRPr="00D110D8">
        <w:rPr>
          <w:i/>
          <w:iCs/>
        </w:rPr>
        <w:t xml:space="preserve"> </w:t>
      </w:r>
      <w:proofErr w:type="spellStart"/>
      <w:r w:rsidRPr="00D110D8">
        <w:rPr>
          <w:i/>
          <w:iCs/>
        </w:rPr>
        <w:t>persecutionis</w:t>
      </w:r>
      <w:proofErr w:type="spellEnd"/>
      <w:r w:rsidRPr="00D110D8">
        <w:t>, și anume elemente de fapt care să indice că ancheta judiciară în cauză a fost inițiată cu intenția de a submina activitatea politică a deputatului în calitatea lui de deputat în Parlamentul European;</w:t>
      </w:r>
    </w:p>
    <w:p w:rsidR="0006002E" w:rsidRPr="00D110D8" w:rsidRDefault="0006002E" w:rsidP="0006002E">
      <w:pPr>
        <w:pStyle w:val="NormalHanging12a"/>
      </w:pPr>
      <w:r w:rsidRPr="00D110D8">
        <w:lastRenderedPageBreak/>
        <w:t>I.</w:t>
      </w:r>
      <w:r w:rsidRPr="00D110D8">
        <w:tab/>
        <w:t>întrucât este de competența exclusivă a Parlamentului să decidă dacă să ridice sau nu imunitatea într-un anumit caz; întrucât Parlamentul poate ține seama în mod rezonabil de poziția deputatului în cauză la luarea deciziei de a-i ridica sau nu imunitatea</w:t>
      </w:r>
      <w:r w:rsidRPr="00D110D8">
        <w:rPr>
          <w:spacing w:val="-4"/>
          <w:vertAlign w:val="superscript"/>
        </w:rPr>
        <w:footnoteReference w:id="2"/>
      </w:r>
      <w:r w:rsidRPr="00D110D8">
        <w:t xml:space="preserve">; întrucât, în cadrul audierii sale, Georgios </w:t>
      </w:r>
      <w:proofErr w:type="spellStart"/>
      <w:r w:rsidRPr="00D110D8">
        <w:t>Kyrtsos</w:t>
      </w:r>
      <w:proofErr w:type="spellEnd"/>
      <w:r w:rsidRPr="00D110D8">
        <w:t xml:space="preserve"> a declarat că nu se opune ridicării imunității sale parlamentare;</w:t>
      </w:r>
    </w:p>
    <w:p w:rsidR="0006002E" w:rsidRPr="00D110D8" w:rsidRDefault="0006002E" w:rsidP="0006002E">
      <w:pPr>
        <w:pStyle w:val="NormalHanging12a"/>
      </w:pPr>
      <w:r w:rsidRPr="00D110D8">
        <w:t>J.</w:t>
      </w:r>
      <w:r w:rsidRPr="00D110D8">
        <w:tab/>
        <w:t>întrucât, pe de o parte, Parlamentul nu poate fi echivalat cu un tribunal și, pe de altă parte, în contextul unei proceduri de ridicare a imunității, deputatul în cauză nu poate fi considerat drept „acuzat”</w:t>
      </w:r>
      <w:r w:rsidRPr="00D110D8">
        <w:rPr>
          <w:vertAlign w:val="superscript"/>
        </w:rPr>
        <w:footnoteReference w:id="3"/>
      </w:r>
      <w:r w:rsidRPr="00D110D8">
        <w:t>,</w:t>
      </w:r>
    </w:p>
    <w:p w:rsidR="0006002E" w:rsidRPr="00D110D8" w:rsidRDefault="0006002E" w:rsidP="0006002E">
      <w:pPr>
        <w:pStyle w:val="NormalHanging12a"/>
      </w:pPr>
      <w:r w:rsidRPr="00D110D8">
        <w:t>1.</w:t>
      </w:r>
      <w:r w:rsidRPr="00D110D8">
        <w:tab/>
        <w:t xml:space="preserve">hotărăște să retragă imunitatea lui Georgios </w:t>
      </w:r>
      <w:proofErr w:type="spellStart"/>
      <w:r w:rsidRPr="00D110D8">
        <w:t>Kyrtsos</w:t>
      </w:r>
      <w:proofErr w:type="spellEnd"/>
      <w:r w:rsidRPr="00D110D8">
        <w:t>;</w:t>
      </w:r>
    </w:p>
    <w:p w:rsidR="00E365E1" w:rsidRPr="00D110D8" w:rsidRDefault="0006002E" w:rsidP="00BA64A4">
      <w:pPr>
        <w:pStyle w:val="NormalHanging12a"/>
      </w:pPr>
      <w:r w:rsidRPr="00D110D8">
        <w:t>2.</w:t>
      </w:r>
      <w:r w:rsidRPr="00D110D8">
        <w:tab/>
        <w:t xml:space="preserve">încredințează Președintei sarcina de a transmite imediat prezenta decizie, precum și raportul comisiei competente autorităților elene și lui Georgios </w:t>
      </w:r>
      <w:proofErr w:type="spellStart"/>
      <w:r w:rsidRPr="00D110D8">
        <w:t>Kyrtsos</w:t>
      </w:r>
      <w:proofErr w:type="spellEnd"/>
      <w:r w:rsidRPr="00D110D8">
        <w:t>.</w:t>
      </w:r>
      <w:bookmarkStart w:id="9" w:name="TextBodyEnd"/>
      <w:bookmarkEnd w:id="9"/>
    </w:p>
    <w:p w:rsidR="00BA64A4" w:rsidRPr="00D110D8" w:rsidRDefault="00BA64A4" w:rsidP="00BA64A4">
      <w:pPr>
        <w:pStyle w:val="NormalHanging12a"/>
      </w:pPr>
    </w:p>
    <w:sectPr w:rsidR="00BA64A4" w:rsidRPr="00D110D8" w:rsidSect="00A974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F60" w:rsidRPr="00A9743A" w:rsidRDefault="00E07F60">
      <w:r w:rsidRPr="00A9743A">
        <w:separator/>
      </w:r>
    </w:p>
  </w:endnote>
  <w:endnote w:type="continuationSeparator" w:id="0">
    <w:p w:rsidR="00E07F60" w:rsidRPr="00A9743A" w:rsidRDefault="00E07F60">
      <w:r w:rsidRPr="00A97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4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4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4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F60" w:rsidRPr="00A9743A" w:rsidRDefault="00E07F60">
      <w:r w:rsidRPr="00A9743A">
        <w:separator/>
      </w:r>
    </w:p>
  </w:footnote>
  <w:footnote w:type="continuationSeparator" w:id="0">
    <w:p w:rsidR="00E07F60" w:rsidRPr="00A9743A" w:rsidRDefault="00E07F60">
      <w:r w:rsidRPr="00A9743A">
        <w:continuationSeparator/>
      </w:r>
    </w:p>
  </w:footnote>
  <w:footnote w:id="1">
    <w:p w:rsidR="0006002E" w:rsidRPr="00A9743A" w:rsidRDefault="0006002E" w:rsidP="00A9743A">
      <w:pPr>
        <w:pStyle w:val="FootnoteText"/>
        <w:ind w:left="567" w:hanging="567"/>
        <w:rPr>
          <w:sz w:val="24"/>
          <w:lang w:val="ro-RO"/>
        </w:rPr>
      </w:pPr>
      <w:r w:rsidRPr="00A9743A">
        <w:rPr>
          <w:rStyle w:val="FootnoteReference"/>
          <w:sz w:val="24"/>
          <w:lang w:val="ro-RO"/>
        </w:rPr>
        <w:footnoteRef/>
      </w:r>
      <w:r w:rsidR="00A9743A" w:rsidRPr="00A9743A">
        <w:rPr>
          <w:sz w:val="24"/>
          <w:lang w:val="ro-RO"/>
        </w:rPr>
        <w:t xml:space="preserve"> </w:t>
      </w:r>
      <w:r w:rsidR="00A9743A" w:rsidRPr="00A9743A">
        <w:rPr>
          <w:sz w:val="24"/>
          <w:lang w:val="ro-RO"/>
        </w:rPr>
        <w:tab/>
      </w:r>
      <w:r w:rsidRPr="00A9743A">
        <w:rPr>
          <w:sz w:val="24"/>
          <w:lang w:val="ro-RO"/>
        </w:rPr>
        <w:t xml:space="preserve">Hotărârea Curții de Justiție din 21 octombrie 2008, </w:t>
      </w:r>
      <w:proofErr w:type="spellStart"/>
      <w:r w:rsidRPr="00A9743A">
        <w:rPr>
          <w:sz w:val="24"/>
          <w:lang w:val="ro-RO"/>
        </w:rPr>
        <w:t>Marra</w:t>
      </w:r>
      <w:proofErr w:type="spellEnd"/>
      <w:r w:rsidRPr="00A9743A">
        <w:rPr>
          <w:sz w:val="24"/>
          <w:lang w:val="ro-RO"/>
        </w:rPr>
        <w:t xml:space="preserve">/De Gregorio și Clemente, pronunțată în cauzele conexe C-200/07 și C-201/07, ECLI:EU:C:2008:579; Hotărârea Tribunalului din 19 martie 2010, </w:t>
      </w:r>
      <w:proofErr w:type="spellStart"/>
      <w:r w:rsidRPr="00A9743A">
        <w:rPr>
          <w:sz w:val="24"/>
          <w:lang w:val="ro-RO"/>
        </w:rPr>
        <w:t>Gollnisch</w:t>
      </w:r>
      <w:proofErr w:type="spellEnd"/>
      <w:r w:rsidRPr="00A9743A">
        <w:rPr>
          <w:sz w:val="24"/>
          <w:lang w:val="ro-RO"/>
        </w:rPr>
        <w:t xml:space="preserve">/Parlamentul, T-42/06, ECLI:EU:T:2010:102, Hotărârea Curții de Justiție din 6 septembrie 2011, </w:t>
      </w:r>
      <w:proofErr w:type="spellStart"/>
      <w:r w:rsidRPr="00A9743A">
        <w:rPr>
          <w:sz w:val="24"/>
          <w:lang w:val="ro-RO"/>
        </w:rPr>
        <w:t>Patriciello</w:t>
      </w:r>
      <w:proofErr w:type="spellEnd"/>
      <w:r w:rsidRPr="00A9743A">
        <w:rPr>
          <w:sz w:val="24"/>
          <w:lang w:val="ro-RO"/>
        </w:rPr>
        <w:t xml:space="preserve">, C-163/10, ECLI: EU:C:2011:543; Hotărârea Tribunalului din 17 ianuarie 2013, </w:t>
      </w:r>
      <w:proofErr w:type="spellStart"/>
      <w:r w:rsidRPr="00A9743A">
        <w:rPr>
          <w:sz w:val="24"/>
          <w:lang w:val="ro-RO"/>
        </w:rPr>
        <w:t>Gollnisch</w:t>
      </w:r>
      <w:proofErr w:type="spellEnd"/>
      <w:r w:rsidRPr="00A9743A">
        <w:rPr>
          <w:sz w:val="24"/>
          <w:lang w:val="ro-RO"/>
        </w:rPr>
        <w:t xml:space="preserve">/Parlamentul, pronunțată în cauzele conexe T-346/11 și T-347/11, ECLI:EU:T:2013:23; Hotărârea Curții de Justiție din 19 decembrie 2019, </w:t>
      </w:r>
      <w:proofErr w:type="spellStart"/>
      <w:r w:rsidRPr="00A9743A">
        <w:rPr>
          <w:sz w:val="24"/>
          <w:lang w:val="ro-RO"/>
        </w:rPr>
        <w:t>Junqueras</w:t>
      </w:r>
      <w:proofErr w:type="spellEnd"/>
      <w:r w:rsidRPr="00A9743A">
        <w:rPr>
          <w:sz w:val="24"/>
          <w:lang w:val="ro-RO"/>
        </w:rPr>
        <w:t xml:space="preserve"> </w:t>
      </w:r>
      <w:proofErr w:type="spellStart"/>
      <w:r w:rsidRPr="00A9743A">
        <w:rPr>
          <w:sz w:val="24"/>
          <w:lang w:val="ro-RO"/>
        </w:rPr>
        <w:t>Vies</w:t>
      </w:r>
      <w:proofErr w:type="spellEnd"/>
      <w:r w:rsidRPr="00A9743A">
        <w:rPr>
          <w:sz w:val="24"/>
          <w:lang w:val="ro-RO"/>
        </w:rPr>
        <w:t>, C-502/19, ECLI:EU:C:2019:1115.</w:t>
      </w:r>
    </w:p>
  </w:footnote>
  <w:footnote w:id="2">
    <w:p w:rsidR="0006002E" w:rsidRPr="00A9743A" w:rsidRDefault="0006002E" w:rsidP="00A9743A">
      <w:pPr>
        <w:pStyle w:val="FootnoteText"/>
        <w:ind w:left="567" w:hanging="567"/>
        <w:rPr>
          <w:sz w:val="24"/>
          <w:lang w:val="ro-RO"/>
        </w:rPr>
      </w:pPr>
      <w:r w:rsidRPr="00A9743A">
        <w:rPr>
          <w:rStyle w:val="FootnoteReference"/>
          <w:sz w:val="24"/>
          <w:lang w:val="ro-RO"/>
        </w:rPr>
        <w:footnoteRef/>
      </w:r>
      <w:r w:rsidR="00A9743A" w:rsidRPr="00A9743A">
        <w:rPr>
          <w:sz w:val="24"/>
          <w:lang w:val="ro-RO"/>
        </w:rPr>
        <w:t xml:space="preserve"> </w:t>
      </w:r>
      <w:r w:rsidR="00A9743A" w:rsidRPr="00A9743A">
        <w:rPr>
          <w:sz w:val="24"/>
          <w:lang w:val="ro-RO"/>
        </w:rPr>
        <w:tab/>
      </w:r>
      <w:r w:rsidRPr="00A9743A">
        <w:rPr>
          <w:sz w:val="24"/>
          <w:lang w:val="ro-RO"/>
        </w:rPr>
        <w:t xml:space="preserve">Hotărârea Tribunalului din 15 octombrie 2008, </w:t>
      </w:r>
      <w:proofErr w:type="spellStart"/>
      <w:r w:rsidRPr="00A9743A">
        <w:rPr>
          <w:sz w:val="24"/>
          <w:lang w:val="ro-RO"/>
        </w:rPr>
        <w:t>Mote</w:t>
      </w:r>
      <w:proofErr w:type="spellEnd"/>
      <w:r w:rsidRPr="00A9743A">
        <w:rPr>
          <w:sz w:val="24"/>
          <w:lang w:val="ro-RO"/>
        </w:rPr>
        <w:t>/Parlamentul, T-345/05, ECLI:EU:T:2008:440, punctul 28.</w:t>
      </w:r>
    </w:p>
  </w:footnote>
  <w:footnote w:id="3">
    <w:p w:rsidR="0006002E" w:rsidRPr="00A9743A" w:rsidRDefault="0006002E" w:rsidP="00A9743A">
      <w:pPr>
        <w:pStyle w:val="FootnoteText"/>
        <w:ind w:left="567" w:hanging="567"/>
        <w:rPr>
          <w:sz w:val="24"/>
          <w:lang w:val="ro-RO"/>
        </w:rPr>
      </w:pPr>
      <w:r w:rsidRPr="00A9743A">
        <w:rPr>
          <w:rStyle w:val="FootnoteReference"/>
          <w:sz w:val="24"/>
          <w:lang w:val="ro-RO"/>
        </w:rPr>
        <w:footnoteRef/>
      </w:r>
      <w:r w:rsidR="00A9743A" w:rsidRPr="00A9743A">
        <w:rPr>
          <w:sz w:val="24"/>
          <w:lang w:val="ro-RO"/>
        </w:rPr>
        <w:t xml:space="preserve"> </w:t>
      </w:r>
      <w:r w:rsidR="00A9743A" w:rsidRPr="00A9743A">
        <w:rPr>
          <w:sz w:val="24"/>
          <w:lang w:val="ro-RO"/>
        </w:rPr>
        <w:tab/>
      </w:r>
      <w:r w:rsidRPr="00A9743A">
        <w:rPr>
          <w:sz w:val="24"/>
          <w:lang w:val="ro-RO"/>
        </w:rPr>
        <w:t xml:space="preserve">Hotărârea Tribunalului din 30 aprilie 2019, </w:t>
      </w:r>
      <w:proofErr w:type="spellStart"/>
      <w:r w:rsidRPr="00A9743A">
        <w:rPr>
          <w:sz w:val="24"/>
          <w:lang w:val="ro-RO"/>
        </w:rPr>
        <w:t>Briois</w:t>
      </w:r>
      <w:proofErr w:type="spellEnd"/>
      <w:r w:rsidRPr="00A9743A">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4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4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74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RO"/>
    <w:docVar w:name="dvnumam" w:val="0"/>
    <w:docVar w:name="dvpe" w:val="756.043"/>
    <w:docVar w:name="dvrapporteur" w:val="Raportor: "/>
    <w:docVar w:name="dvtitre" w:val="Decizia Parlamentului European din 6 februarie 2024 privind cererea de ridicare a imunității lui Georgios Kyrtsos(2023/2185(IMM))"/>
  </w:docVars>
  <w:rsids>
    <w:rsidRoot w:val="00E07F60"/>
    <w:rsid w:val="00002272"/>
    <w:rsid w:val="0006002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43A"/>
    <w:rsid w:val="00AB441E"/>
    <w:rsid w:val="00AB6293"/>
    <w:rsid w:val="00AE0928"/>
    <w:rsid w:val="00AF3B82"/>
    <w:rsid w:val="00B12E95"/>
    <w:rsid w:val="00B22876"/>
    <w:rsid w:val="00B558F0"/>
    <w:rsid w:val="00BA64A4"/>
    <w:rsid w:val="00BD48FE"/>
    <w:rsid w:val="00BD7BD8"/>
    <w:rsid w:val="00BE6ADC"/>
    <w:rsid w:val="00C05BFE"/>
    <w:rsid w:val="00C23CD4"/>
    <w:rsid w:val="00C61C0C"/>
    <w:rsid w:val="00C941CB"/>
    <w:rsid w:val="00CC2357"/>
    <w:rsid w:val="00CF071A"/>
    <w:rsid w:val="00D058B8"/>
    <w:rsid w:val="00D110D8"/>
    <w:rsid w:val="00D56C11"/>
    <w:rsid w:val="00D834A0"/>
    <w:rsid w:val="00D872DF"/>
    <w:rsid w:val="00D91E21"/>
    <w:rsid w:val="00DA7FCD"/>
    <w:rsid w:val="00E07F6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79ADF"/>
  <w15:chartTrackingRefBased/>
  <w15:docId w15:val="{F560A032-478D-4874-BBD3-F9ACE08E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002E"/>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06002E"/>
    <w:pPr>
      <w:spacing w:after="240"/>
      <w:ind w:left="567" w:hanging="567"/>
    </w:pPr>
  </w:style>
  <w:style w:type="paragraph" w:styleId="Header">
    <w:name w:val="header"/>
    <w:basedOn w:val="Normal"/>
    <w:link w:val="HeaderChar"/>
    <w:rsid w:val="0006002E"/>
    <w:pPr>
      <w:tabs>
        <w:tab w:val="center" w:pos="4513"/>
        <w:tab w:val="right" w:pos="9026"/>
      </w:tabs>
    </w:pPr>
  </w:style>
  <w:style w:type="character" w:customStyle="1" w:styleId="HeaderChar">
    <w:name w:val="Header Char"/>
    <w:basedOn w:val="DefaultParagraphFont"/>
    <w:link w:val="Header"/>
    <w:rsid w:val="0006002E"/>
    <w:rPr>
      <w:sz w:val="24"/>
      <w:lang w:val="ro-RO"/>
    </w:rPr>
  </w:style>
  <w:style w:type="paragraph" w:customStyle="1" w:styleId="EPFooter">
    <w:name w:val="EPFooter"/>
    <w:basedOn w:val="Normal"/>
    <w:rsid w:val="0006002E"/>
    <w:pPr>
      <w:tabs>
        <w:tab w:val="center" w:pos="4535"/>
        <w:tab w:val="right" w:pos="9071"/>
      </w:tabs>
      <w:spacing w:before="240" w:after="240"/>
    </w:pPr>
    <w:rPr>
      <w:color w:val="010000"/>
      <w:sz w:val="22"/>
    </w:rPr>
  </w:style>
  <w:style w:type="paragraph" w:customStyle="1" w:styleId="EPComma">
    <w:name w:val="EPComma"/>
    <w:basedOn w:val="Normal"/>
    <w:rsid w:val="0006002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C45D4-F3C5-4E5E-93DA-A1C7C6942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834</Words>
  <Characters>4734</Characters>
  <Application>Microsoft Office Word</Application>
  <DocSecurity>0</DocSecurity>
  <Lines>89</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2024-02-06T11:56:00Z</dcterms:created>
  <dcterms:modified xsi:type="dcterms:W3CDTF">2024-02-06T11:56:00Z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A9-0028/2024</vt:lpwstr>
  </property>
  <property fmtid="{D5CDD505-2E9C-101B-9397-08002B2CF9AE}" pid="4" name="&lt;Type&gt;">
    <vt:lpwstr>RR</vt:lpwstr>
  </property>
</Properties>
</file>