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115A" w:rsidTr="0010095E">
        <w:trPr>
          <w:trHeight w:hRule="exact" w:val="1418"/>
        </w:trPr>
        <w:tc>
          <w:tcPr>
            <w:tcW w:w="6804" w:type="dxa"/>
            <w:shd w:val="clear" w:color="auto" w:fill="auto"/>
            <w:vAlign w:val="center"/>
          </w:tcPr>
          <w:p w:rsidR="00751A4A" w:rsidRPr="00C1115A" w:rsidRDefault="006830AC" w:rsidP="0010095E">
            <w:pPr>
              <w:pStyle w:val="EPName"/>
            </w:pPr>
            <w:bookmarkStart w:id="0" w:name="_GoBack"/>
            <w:bookmarkEnd w:id="0"/>
            <w:r w:rsidRPr="00C1115A">
              <w:t>Evropski parlament</w:t>
            </w:r>
          </w:p>
          <w:p w:rsidR="00751A4A" w:rsidRPr="00C1115A" w:rsidRDefault="00817416" w:rsidP="00756632">
            <w:pPr>
              <w:pStyle w:val="EPTerm"/>
              <w:rPr>
                <w:rStyle w:val="HideTWBExt"/>
                <w:noProof w:val="0"/>
                <w:vanish w:val="0"/>
                <w:color w:val="auto"/>
              </w:rPr>
            </w:pPr>
            <w:r w:rsidRPr="00C1115A">
              <w:t>2019-2024</w:t>
            </w:r>
          </w:p>
        </w:tc>
        <w:tc>
          <w:tcPr>
            <w:tcW w:w="2268" w:type="dxa"/>
            <w:shd w:val="clear" w:color="auto" w:fill="auto"/>
          </w:tcPr>
          <w:p w:rsidR="00751A4A" w:rsidRPr="00C1115A" w:rsidRDefault="00187494" w:rsidP="0010095E">
            <w:pPr>
              <w:pStyle w:val="EPLogo"/>
            </w:pPr>
            <w:r w:rsidRPr="00C1115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115A" w:rsidRDefault="00D058B8" w:rsidP="004C5D52">
      <w:pPr>
        <w:pStyle w:val="LineTop"/>
      </w:pPr>
    </w:p>
    <w:p w:rsidR="00680577" w:rsidRPr="00C1115A" w:rsidRDefault="006830AC" w:rsidP="00680577">
      <w:pPr>
        <w:pStyle w:val="EPBodyTA1"/>
      </w:pPr>
      <w:r w:rsidRPr="00C1115A">
        <w:t>SPREJETA BESEDILA</w:t>
      </w:r>
    </w:p>
    <w:p w:rsidR="00D058B8" w:rsidRPr="00C1115A" w:rsidRDefault="00D058B8" w:rsidP="00D058B8">
      <w:pPr>
        <w:pStyle w:val="LineBottom"/>
      </w:pPr>
    </w:p>
    <w:p w:rsidR="006830AC" w:rsidRPr="00C1115A" w:rsidRDefault="006830AC" w:rsidP="00C1115A">
      <w:pPr>
        <w:pStyle w:val="ATHeading1"/>
      </w:pPr>
      <w:bookmarkStart w:id="1" w:name="TANumber"/>
      <w:r w:rsidRPr="00C1115A">
        <w:t>P9_TA(2024)00</w:t>
      </w:r>
      <w:r w:rsidR="00C1115A" w:rsidRPr="00C1115A">
        <w:t>55</w:t>
      </w:r>
      <w:bookmarkEnd w:id="1"/>
    </w:p>
    <w:p w:rsidR="006830AC" w:rsidRPr="00C1115A" w:rsidRDefault="006830AC" w:rsidP="006830AC">
      <w:pPr>
        <w:pStyle w:val="ATHeading2"/>
      </w:pPr>
      <w:bookmarkStart w:id="2" w:name="title"/>
      <w:r w:rsidRPr="00C1115A">
        <w:t>Zahteva za odvzem imunitete Georgiosu Kircosu (Georgios Kyrtsos)</w:t>
      </w:r>
      <w:bookmarkEnd w:id="2"/>
    </w:p>
    <w:p w:rsidR="006830AC" w:rsidRPr="00C1115A" w:rsidRDefault="006830AC" w:rsidP="006830AC">
      <w:pPr>
        <w:rPr>
          <w:i/>
          <w:vanish/>
        </w:rPr>
      </w:pPr>
      <w:r w:rsidRPr="00C1115A">
        <w:rPr>
          <w:i/>
        </w:rPr>
        <w:fldChar w:fldCharType="begin"/>
      </w:r>
      <w:r w:rsidRPr="00C1115A">
        <w:rPr>
          <w:i/>
        </w:rPr>
        <w:instrText xml:space="preserve"> TC"(</w:instrText>
      </w:r>
      <w:bookmarkStart w:id="3" w:name="DocNumber"/>
      <w:r w:rsidRPr="00C1115A">
        <w:rPr>
          <w:i/>
        </w:rPr>
        <w:instrText>A9-0028/2024</w:instrText>
      </w:r>
      <w:bookmarkEnd w:id="3"/>
      <w:r w:rsidRPr="00C1115A">
        <w:rPr>
          <w:i/>
        </w:rPr>
        <w:instrText xml:space="preserve"> - Poročevalec: Angel Dzhambazki)"\l3 \n&gt; \* MERGEFORMAT </w:instrText>
      </w:r>
      <w:r w:rsidRPr="00C1115A">
        <w:rPr>
          <w:i/>
        </w:rPr>
        <w:fldChar w:fldCharType="end"/>
      </w:r>
    </w:p>
    <w:p w:rsidR="006830AC" w:rsidRPr="00C1115A" w:rsidRDefault="006830AC" w:rsidP="006830AC">
      <w:pPr>
        <w:rPr>
          <w:vanish/>
        </w:rPr>
      </w:pPr>
      <w:bookmarkStart w:id="4" w:name="Commission"/>
      <w:r w:rsidRPr="00C1115A">
        <w:rPr>
          <w:vanish/>
        </w:rPr>
        <w:t>Odbor za pravne zadeve</w:t>
      </w:r>
      <w:bookmarkEnd w:id="4"/>
    </w:p>
    <w:p w:rsidR="006830AC" w:rsidRPr="00C1115A" w:rsidRDefault="006830AC" w:rsidP="006830AC">
      <w:pPr>
        <w:rPr>
          <w:vanish/>
        </w:rPr>
      </w:pPr>
      <w:bookmarkStart w:id="5" w:name="PE"/>
      <w:r w:rsidRPr="00C1115A">
        <w:rPr>
          <w:vanish/>
        </w:rPr>
        <w:t>PE756.043</w:t>
      </w:r>
      <w:bookmarkEnd w:id="5"/>
    </w:p>
    <w:p w:rsidR="006830AC" w:rsidRPr="00C1115A" w:rsidRDefault="006830AC" w:rsidP="00F7479C">
      <w:pPr>
        <w:pStyle w:val="ATHeading3"/>
      </w:pPr>
      <w:bookmarkStart w:id="6" w:name="Sujet"/>
      <w:r w:rsidRPr="00C1115A">
        <w:t xml:space="preserve">Sklep Evropskega parlamenta z dne </w:t>
      </w:r>
      <w:r w:rsidR="00F7479C" w:rsidRPr="00C1115A">
        <w:t>6</w:t>
      </w:r>
      <w:r w:rsidRPr="00C1115A">
        <w:t>. februarja 2024 o zahtevi za odvzem imunitete Georgiosu Kircosu (Georgios Kyrtsos)</w:t>
      </w:r>
      <w:bookmarkEnd w:id="6"/>
      <w:r w:rsidRPr="00C1115A">
        <w:t xml:space="preserve"> </w:t>
      </w:r>
      <w:bookmarkStart w:id="7" w:name="References"/>
      <w:r w:rsidRPr="00C1115A">
        <w:t>(2023/2185(IMM))</w:t>
      </w:r>
      <w:bookmarkEnd w:id="7"/>
    </w:p>
    <w:p w:rsidR="001C4F37" w:rsidRPr="00C1115A" w:rsidRDefault="001C4F37" w:rsidP="001C4F37">
      <w:pPr>
        <w:pStyle w:val="EPComma"/>
      </w:pPr>
      <w:bookmarkStart w:id="8" w:name="TextBodyBegin"/>
      <w:bookmarkEnd w:id="8"/>
      <w:r w:rsidRPr="00C1115A">
        <w:rPr>
          <w:i/>
        </w:rPr>
        <w:t>Evropski parlament</w:t>
      </w:r>
      <w:r w:rsidRPr="00C1115A">
        <w:t>,</w:t>
      </w:r>
    </w:p>
    <w:p w:rsidR="001C4F37" w:rsidRPr="00C1115A" w:rsidRDefault="001C4F37" w:rsidP="001C4F37">
      <w:pPr>
        <w:pStyle w:val="NormalHanging12a"/>
      </w:pPr>
      <w:r w:rsidRPr="00C1115A">
        <w:t>–</w:t>
      </w:r>
      <w:r w:rsidRPr="00C1115A">
        <w:tab/>
        <w:t>ob upoštevanju zahteve okrajnega državnega tožilca v Atenah za odvzem imunitete Georgiosu Kircosu (Georgios Kyrtsos) v zvezi s kazenskim postopkom, ki jo je posredoval namestnik grškega vrhovnega državnega tožilca v pismu z dne 27. junija 2023 in ki je bila razglašena na plenarnem zasedanju 10. julija 2023,</w:t>
      </w:r>
    </w:p>
    <w:p w:rsidR="001C4F37" w:rsidRPr="00C1115A" w:rsidRDefault="001C4F37" w:rsidP="001C4F37">
      <w:pPr>
        <w:pStyle w:val="NormalHanging12a"/>
      </w:pPr>
      <w:r w:rsidRPr="00C1115A">
        <w:t>–</w:t>
      </w:r>
      <w:r w:rsidRPr="00C1115A">
        <w:tab/>
        <w:t>po zagovoru Georgiosa Kircosa v skladu s členom 9(6) Poslovnika,</w:t>
      </w:r>
    </w:p>
    <w:p w:rsidR="001C4F37" w:rsidRPr="00C1115A" w:rsidRDefault="001C4F37" w:rsidP="001C4F37">
      <w:pPr>
        <w:pStyle w:val="NormalHanging12a"/>
      </w:pPr>
      <w:r w:rsidRPr="00C1115A">
        <w:t>–</w:t>
      </w:r>
      <w:r w:rsidRPr="00C1115A">
        <w:tab/>
        <w:t>ob upoštevanju členov 8 in 9 Protokola št. 7 o privilegijih in imunitetah Evropske unije ter člena 6(2) Akta o volitvah poslancev Evropskega parlamenta s splošnimi neposrednimi volitvami z dne 20. septembra 1976,</w:t>
      </w:r>
    </w:p>
    <w:p w:rsidR="001C4F37" w:rsidRPr="00C1115A" w:rsidRDefault="001C4F37" w:rsidP="001C4F37">
      <w:pPr>
        <w:pStyle w:val="NormalHanging12a"/>
      </w:pPr>
      <w:r w:rsidRPr="00C1115A">
        <w:t>–</w:t>
      </w:r>
      <w:r w:rsidRPr="00C1115A">
        <w:tab/>
        <w:t>ob upoštevanju sodb Sodišča Evropske unije z dne 21. oktobra 2008, 19. marca 2010, 6.</w:t>
      </w:r>
      <w:r w:rsidR="00F564F1" w:rsidRPr="00C1115A">
        <w:t> </w:t>
      </w:r>
      <w:r w:rsidRPr="00C1115A">
        <w:t>septembra 2011, 17. januarja 2013 in 19. decembra 2019</w:t>
      </w:r>
      <w:r w:rsidRPr="00C1115A">
        <w:rPr>
          <w:rStyle w:val="FootnoteReference"/>
        </w:rPr>
        <w:footnoteReference w:id="1"/>
      </w:r>
      <w:r w:rsidRPr="00C1115A">
        <w:t>,</w:t>
      </w:r>
    </w:p>
    <w:p w:rsidR="001C4F37" w:rsidRPr="00C1115A" w:rsidRDefault="001C4F37" w:rsidP="001C4F37">
      <w:pPr>
        <w:pStyle w:val="NormalHanging12a"/>
      </w:pPr>
      <w:r w:rsidRPr="00C1115A">
        <w:t>–</w:t>
      </w:r>
      <w:r w:rsidRPr="00C1115A">
        <w:tab/>
        <w:t>ob upoštevanju 62. člena ustave Helenske republike,</w:t>
      </w:r>
    </w:p>
    <w:p w:rsidR="001C4F37" w:rsidRPr="00C1115A" w:rsidRDefault="001C4F37" w:rsidP="001C4F37">
      <w:pPr>
        <w:pStyle w:val="NormalHanging12a"/>
      </w:pPr>
      <w:r w:rsidRPr="00C1115A">
        <w:t>–</w:t>
      </w:r>
      <w:r w:rsidRPr="00C1115A">
        <w:tab/>
        <w:t>ob upoštevanju člena 5(2), člena 6(1) in člena 9 Poslovnika,</w:t>
      </w:r>
    </w:p>
    <w:p w:rsidR="001C4F37" w:rsidRPr="00C1115A" w:rsidRDefault="001C4F37" w:rsidP="001C4F37">
      <w:pPr>
        <w:pStyle w:val="NormalHanging12a"/>
      </w:pPr>
      <w:r w:rsidRPr="00C1115A">
        <w:t>–</w:t>
      </w:r>
      <w:r w:rsidRPr="00C1115A">
        <w:tab/>
        <w:t>ob upoštevanju poročila Odbora za pravne zadeve (A9</w:t>
      </w:r>
      <w:r w:rsidRPr="00C1115A">
        <w:noBreakHyphen/>
        <w:t>0028/2024),</w:t>
      </w:r>
    </w:p>
    <w:p w:rsidR="001C4F37" w:rsidRPr="00C1115A" w:rsidRDefault="001C4F37" w:rsidP="001C4F37">
      <w:pPr>
        <w:pStyle w:val="NormalHanging12a"/>
      </w:pPr>
      <w:r w:rsidRPr="00C1115A">
        <w:t>A.</w:t>
      </w:r>
      <w:r w:rsidRPr="00C1115A">
        <w:tab/>
        <w:t xml:space="preserve">ker je okrajni državni tožilec v Atenah zahteval odvzem imunitete Georgiosu Kircosu, poslancu Evropskega parlamenta, izvoljenemu v Grčiji, v zvezi s kazenskim postopkom, ki se bo začel proti njemu zaradi neplačila določenega zneska, dolgovanega </w:t>
      </w:r>
      <w:r w:rsidRPr="00C1115A">
        <w:lastRenderedPageBreak/>
        <w:t>grški državi;</w:t>
      </w:r>
    </w:p>
    <w:p w:rsidR="001C4F37" w:rsidRPr="00C1115A" w:rsidRDefault="001C4F37" w:rsidP="001C4F37">
      <w:pPr>
        <w:pStyle w:val="NormalHanging12a"/>
      </w:pPr>
      <w:r w:rsidRPr="00C1115A">
        <w:t>B.</w:t>
      </w:r>
      <w:r w:rsidRPr="00C1115A">
        <w:tab/>
        <w:t>ker je Georgios Kircos kot namestnik izvršnega direktorja podjetja KMP Ekdotiki Anonimi Etaireia obtožen, da ni plačal določenega zneska, dolgovanega grški državi;</w:t>
      </w:r>
    </w:p>
    <w:p w:rsidR="001C4F37" w:rsidRPr="00C1115A" w:rsidRDefault="001C4F37" w:rsidP="001C4F37">
      <w:pPr>
        <w:pStyle w:val="NormalHanging12a"/>
      </w:pPr>
      <w:r w:rsidRPr="00C1115A">
        <w:t>C.</w:t>
      </w:r>
      <w:r w:rsidRPr="00C1115A">
        <w:tab/>
        <w:t>ker je dejanje, ki naj bi ga storil Georgios Kircos, kaznivo dejanje neplačila dolgov državi v skladu s členom 25(1)(b) grškega zakona št. 1882/90, kakor je bil nadomeščen s členom 23(1) grškega zakona 2523/97, kakor je bil spremenjen s členom 18(2) in členom 28(2–4) grškega zakona št. 2948/01, kakor je bil dopolnjen s členom 34 grškega zakona št. 3016/02, členom 34(1) grškega zakona št. 3220/04 in členom 3(1) grškega zakona št. 3943/11, kakor je bil nadomeščen s členom 20 grškega zakona št. 4321/15, kakor je bil spremenjen s členom 71(2) grškega zakona št. 4174/13, ki je bil dodan s členom 8 grškega zakona št. 4337/15 in dopolnjen s členom 469 grškega zakona št. 4619/19;</w:t>
      </w:r>
    </w:p>
    <w:p w:rsidR="001C4F37" w:rsidRPr="00C1115A" w:rsidRDefault="001C4F37" w:rsidP="001C4F37">
      <w:pPr>
        <w:pStyle w:val="NormalHanging12a"/>
      </w:pPr>
      <w:r w:rsidRPr="00C1115A">
        <w:t>D.</w:t>
      </w:r>
      <w:r w:rsidRPr="00C1115A">
        <w:tab/>
        <w:t>ker je namen poslanske imunitete zaščititi Parlament in njegove poslance pred sodnimi postopki, povezanimi z dejavnostmi poslancev med opravljanjem parlamentarnih dolžnosti, ki jih od teh dolžnosti ni mogoče ločiti; ker domnevno kaznivo dejanje očitno ni neposredno povezano z dejavnostmi Georgiosa Kircosa kot poslanca Evropskega parlamenta, temveč je povezano z njegovim položajem direktorja njegove časopisne hiše;</w:t>
      </w:r>
    </w:p>
    <w:p w:rsidR="001C4F37" w:rsidRPr="00C1115A" w:rsidRDefault="001C4F37" w:rsidP="001C4F37">
      <w:pPr>
        <w:pStyle w:val="NormalHanging12a"/>
      </w:pPr>
      <w:r w:rsidRPr="00C1115A">
        <w:t>E.</w:t>
      </w:r>
      <w:r w:rsidRPr="00C1115A">
        <w:tab/>
        <w:t>ker se očitano kaznivo dejanje tudi ne nanaša na mnenje ali glas, ki ga je izrekel pri opravljanju svojih dolžnosti poslanca Evropskega parlamenta v smislu člena 8 Protokola št. 7 o privilegijih in imunitetah Evropske unije;</w:t>
      </w:r>
    </w:p>
    <w:p w:rsidR="001C4F37" w:rsidRPr="00C1115A" w:rsidRDefault="001C4F37" w:rsidP="001C4F37">
      <w:pPr>
        <w:pStyle w:val="NormalHanging12a"/>
      </w:pPr>
      <w:r w:rsidRPr="00C1115A">
        <w:t>F.</w:t>
      </w:r>
      <w:r w:rsidRPr="00C1115A">
        <w:tab/>
        <w:t>ker poslanci Evropskega parlamenta v skladu s členom 9 Protokola št. 7 o privilegijih in imunitetah Evropske unije uživajo na ozemlju svoje države imunitete, priznane članom parlamenta te države, na ozemlju vseh drugih držav članic pa imuniteto pred kakršnim koli priporom in sodnim postopkom; ker sklicevanje na imuniteto ni mogoče, kadar je poslanec zaloten pri storitvi kaznivega dejanja, in Evropskemu parlamentu ne preprečuje uresničevanja pravice do odvzema imunitete svojemu poslancu;</w:t>
      </w:r>
    </w:p>
    <w:p w:rsidR="001C4F37" w:rsidRPr="00C1115A" w:rsidRDefault="001C4F37" w:rsidP="001C4F37">
      <w:pPr>
        <w:pStyle w:val="NormalHanging12a"/>
      </w:pPr>
      <w:r w:rsidRPr="00C1115A">
        <w:t>G.</w:t>
      </w:r>
      <w:r w:rsidRPr="00C1115A">
        <w:tab/>
        <w:t>ker 62. člen ustave Helenske republike določa, da se v času trajanja poslanskega mandata poslanci ne smejo preganjati, aretirati, pripreti ali se jim ne sme drugače vzeti prostost brez predhodnega soglasja parlamenta;</w:t>
      </w:r>
    </w:p>
    <w:p w:rsidR="001C4F37" w:rsidRPr="00C1115A" w:rsidRDefault="001C4F37" w:rsidP="001C4F37">
      <w:pPr>
        <w:pStyle w:val="NormalHanging12a"/>
      </w:pPr>
      <w:r w:rsidRPr="00C1115A">
        <w:t>H.</w:t>
      </w:r>
      <w:r w:rsidRPr="00C1115A">
        <w:tab/>
        <w:t xml:space="preserve">ker v tem primeru Parlament ni našel dokaza o tem, da gre za </w:t>
      </w:r>
      <w:r w:rsidRPr="00C1115A">
        <w:rPr>
          <w:i/>
          <w:iCs/>
        </w:rPr>
        <w:t>fumus persecutionis</w:t>
      </w:r>
      <w:r w:rsidRPr="00C1115A">
        <w:t>, tj. dejstva, ki kažejo, da bi lahko bil namen zadevne sodne preiskave škodovati politični dejavnosti kot poslanca Evropskega parlamenta;</w:t>
      </w:r>
    </w:p>
    <w:p w:rsidR="001C4F37" w:rsidRPr="00C1115A" w:rsidRDefault="001C4F37" w:rsidP="001C4F37">
      <w:pPr>
        <w:pStyle w:val="NormalHanging12a"/>
      </w:pPr>
      <w:r w:rsidRPr="00C1115A">
        <w:t>I.</w:t>
      </w:r>
      <w:r w:rsidRPr="00C1115A">
        <w:tab/>
        <w:t>ker lahko samo Evropski parlament odloči o tem, ali se bo imuniteta v posameznem primeru odvzela; ker lahko Evropski parlament pri odločanju o odvzemu imunitete razumno upošteva stališče poslanca</w:t>
      </w:r>
      <w:r w:rsidRPr="00C1115A">
        <w:rPr>
          <w:spacing w:val="-4"/>
          <w:vertAlign w:val="superscript"/>
        </w:rPr>
        <w:footnoteReference w:id="2"/>
      </w:r>
      <w:r w:rsidRPr="00C1115A">
        <w:t>; ker je Georgios Kircos na zagovoru izjavil, da ne nasprotuje odvzemu poslanske imunitete;</w:t>
      </w:r>
    </w:p>
    <w:p w:rsidR="001C4F37" w:rsidRPr="00C1115A" w:rsidRDefault="001C4F37" w:rsidP="001C4F37">
      <w:pPr>
        <w:pStyle w:val="NormalHanging12a"/>
      </w:pPr>
      <w:r w:rsidRPr="00C1115A">
        <w:t>J.</w:t>
      </w:r>
      <w:r w:rsidRPr="00C1115A">
        <w:tab/>
        <w:t xml:space="preserve">ker Parlamenta ni mogoče enačiti s sodiščem in ker poslanec v zvezi s postopkom za </w:t>
      </w:r>
      <w:r w:rsidRPr="00C1115A">
        <w:lastRenderedPageBreak/>
        <w:t>odvzem imunitete ne sme biti obravnavan kot „obtoženec“</w:t>
      </w:r>
      <w:r w:rsidRPr="00C1115A">
        <w:rPr>
          <w:vertAlign w:val="superscript"/>
        </w:rPr>
        <w:footnoteReference w:id="3"/>
      </w:r>
      <w:r w:rsidRPr="00C1115A">
        <w:t>;</w:t>
      </w:r>
    </w:p>
    <w:p w:rsidR="001C4F37" w:rsidRPr="00C1115A" w:rsidRDefault="001C4F37" w:rsidP="001C4F37">
      <w:pPr>
        <w:pStyle w:val="NormalHanging12a"/>
      </w:pPr>
      <w:r w:rsidRPr="00C1115A">
        <w:t>1.</w:t>
      </w:r>
      <w:r w:rsidRPr="00C1115A">
        <w:tab/>
        <w:t>sklene, da se Georgiosu Kircosu odvzame imuniteta;</w:t>
      </w:r>
    </w:p>
    <w:p w:rsidR="001C4F37" w:rsidRPr="00C1115A" w:rsidRDefault="001C4F37" w:rsidP="001C4F37">
      <w:pPr>
        <w:pStyle w:val="NormalHanging12a"/>
      </w:pPr>
      <w:r w:rsidRPr="00C1115A">
        <w:t>2.</w:t>
      </w:r>
      <w:r w:rsidRPr="00C1115A">
        <w:tab/>
        <w:t>naroči svoji predsednici, naj ta sklep in poročilo pristojnega odbora nemudoma posreduje grškim oblastem in Georgiosu Kircosu.</w:t>
      </w:r>
    </w:p>
    <w:sectPr w:rsidR="001C4F37" w:rsidRPr="00C1115A" w:rsidSect="00F7479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30AC" w:rsidRPr="00631136" w:rsidRDefault="006830AC">
      <w:r w:rsidRPr="00631136">
        <w:separator/>
      </w:r>
    </w:p>
  </w:endnote>
  <w:endnote w:type="continuationSeparator" w:id="0">
    <w:p w:rsidR="006830AC" w:rsidRPr="00631136" w:rsidRDefault="006830AC">
      <w:r w:rsidRPr="006311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113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113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11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30AC" w:rsidRPr="00631136" w:rsidRDefault="006830AC">
      <w:r w:rsidRPr="00631136">
        <w:separator/>
      </w:r>
    </w:p>
  </w:footnote>
  <w:footnote w:type="continuationSeparator" w:id="0">
    <w:p w:rsidR="006830AC" w:rsidRPr="00631136" w:rsidRDefault="006830AC">
      <w:r w:rsidRPr="00631136">
        <w:continuationSeparator/>
      </w:r>
    </w:p>
  </w:footnote>
  <w:footnote w:id="1">
    <w:p w:rsidR="001C4F37" w:rsidRPr="00631136" w:rsidRDefault="001C4F37" w:rsidP="00631136">
      <w:pPr>
        <w:pStyle w:val="FootnoteText"/>
        <w:ind w:left="567" w:hanging="567"/>
        <w:rPr>
          <w:sz w:val="24"/>
          <w:lang w:val="sl-SI"/>
        </w:rPr>
      </w:pPr>
      <w:r w:rsidRPr="00631136">
        <w:rPr>
          <w:rStyle w:val="FootnoteReference"/>
          <w:sz w:val="24"/>
          <w:lang w:val="sl-SI"/>
        </w:rPr>
        <w:footnoteRef/>
      </w:r>
      <w:r w:rsidR="00631136" w:rsidRPr="00631136">
        <w:rPr>
          <w:sz w:val="24"/>
          <w:lang w:val="sl-SI"/>
        </w:rPr>
        <w:t xml:space="preserve"> </w:t>
      </w:r>
      <w:r w:rsidR="00631136" w:rsidRPr="00631136">
        <w:rPr>
          <w:sz w:val="24"/>
          <w:lang w:val="sl-SI"/>
        </w:rPr>
        <w:tab/>
      </w:r>
      <w:r w:rsidRPr="00631136">
        <w:rPr>
          <w:sz w:val="24"/>
          <w:lang w:val="sl-SI"/>
        </w:rPr>
        <w:t>Sodba Sodišča z dne 21. oktobra 2008, Marra/De Gregorio in Clemente, C-200/07 in C-201/07, ECLI:EU:C:2008:579; sodba Splošnega sodišča z dne 19. marca 2010, Gollnisch/Parlament, T-42/06, ECLI:EU:T:2010:102; sodba Sodišča z dne 6. septembra 2011, Patriciello, C-163/10, ECLI:EU:C:2011:543; sodba Splošnega sodišča z dne 17. januarja 2013, Gollnisch/ Parlament, T-346/11 in T-347/11, ECLI:EU:T:2013:23, in sodba Sodišča z dne 19. decembra 2019, Junqueras Vies, C-502/19, ECLI:EU:C:2019:1115.</w:t>
      </w:r>
    </w:p>
  </w:footnote>
  <w:footnote w:id="2">
    <w:p w:rsidR="001C4F37" w:rsidRPr="00631136" w:rsidRDefault="001C4F37" w:rsidP="00631136">
      <w:pPr>
        <w:pStyle w:val="FootnoteText"/>
        <w:ind w:left="567" w:hanging="567"/>
        <w:rPr>
          <w:sz w:val="24"/>
          <w:lang w:val="sl-SI"/>
        </w:rPr>
      </w:pPr>
      <w:r w:rsidRPr="00631136">
        <w:rPr>
          <w:rStyle w:val="FootnoteReference"/>
          <w:sz w:val="24"/>
          <w:lang w:val="sl-SI"/>
        </w:rPr>
        <w:footnoteRef/>
      </w:r>
      <w:r w:rsidR="00631136" w:rsidRPr="00631136">
        <w:rPr>
          <w:sz w:val="24"/>
          <w:lang w:val="sl-SI"/>
        </w:rPr>
        <w:t xml:space="preserve"> </w:t>
      </w:r>
      <w:r w:rsidR="00631136" w:rsidRPr="00631136">
        <w:rPr>
          <w:sz w:val="24"/>
          <w:lang w:val="sl-SI"/>
        </w:rPr>
        <w:tab/>
      </w:r>
      <w:r w:rsidRPr="00631136">
        <w:rPr>
          <w:sz w:val="24"/>
          <w:lang w:val="sl-SI"/>
        </w:rPr>
        <w:t>Sodba Splošnega sodišča z dne 15. oktobra 2008, Mote/Parlament, T-345/05, ECLI:EU:T:2008:440, točka 28.</w:t>
      </w:r>
    </w:p>
  </w:footnote>
  <w:footnote w:id="3">
    <w:p w:rsidR="001C4F37" w:rsidRPr="00631136" w:rsidRDefault="001C4F37" w:rsidP="00631136">
      <w:pPr>
        <w:pStyle w:val="FootnoteText"/>
        <w:ind w:left="567" w:hanging="567"/>
        <w:rPr>
          <w:sz w:val="24"/>
          <w:lang w:val="sl-SI"/>
        </w:rPr>
      </w:pPr>
      <w:r w:rsidRPr="00631136">
        <w:rPr>
          <w:rStyle w:val="FootnoteReference"/>
          <w:sz w:val="24"/>
          <w:lang w:val="sl-SI"/>
        </w:rPr>
        <w:footnoteRef/>
      </w:r>
      <w:r w:rsidR="00631136" w:rsidRPr="00631136">
        <w:rPr>
          <w:sz w:val="24"/>
          <w:lang w:val="sl-SI"/>
        </w:rPr>
        <w:t xml:space="preserve"> </w:t>
      </w:r>
      <w:r w:rsidR="00631136" w:rsidRPr="00631136">
        <w:rPr>
          <w:sz w:val="24"/>
          <w:lang w:val="sl-SI"/>
        </w:rPr>
        <w:tab/>
      </w:r>
      <w:r w:rsidRPr="00631136">
        <w:rPr>
          <w:sz w:val="24"/>
          <w:lang w:val="sl-SI"/>
        </w:rPr>
        <w:t>Sodba Splošnega sodišča z dne 30. aprila 2019, Briois/Parlament,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11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11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311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8/2024"/>
    <w:docVar w:name="dvlangue" w:val="SL"/>
    <w:docVar w:name="dvnumam" w:val="0"/>
    <w:docVar w:name="dvpe" w:val="756.043"/>
    <w:docVar w:name="dvrapporteur" w:val="Poročevalec: "/>
    <w:docVar w:name="dvtitre" w:val="Sklep Evropskega parlamenta z dne xx. februarja 2024 o zahtevi za odvzem imunitete Georgiosu Kircosu (Georgios Kyrtsos)(2023/2185(IMM))"/>
  </w:docVars>
  <w:rsids>
    <w:rsidRoot w:val="006830AC"/>
    <w:rsid w:val="00002272"/>
    <w:rsid w:val="00064002"/>
    <w:rsid w:val="000677B9"/>
    <w:rsid w:val="000831BA"/>
    <w:rsid w:val="000A42CC"/>
    <w:rsid w:val="000E7DD9"/>
    <w:rsid w:val="0010095E"/>
    <w:rsid w:val="00125B37"/>
    <w:rsid w:val="00187494"/>
    <w:rsid w:val="001C4F3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31136"/>
    <w:rsid w:val="006631B6"/>
    <w:rsid w:val="00680577"/>
    <w:rsid w:val="006830AC"/>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115A"/>
    <w:rsid w:val="00C23CD4"/>
    <w:rsid w:val="00C61C0C"/>
    <w:rsid w:val="00C941CB"/>
    <w:rsid w:val="00CC2357"/>
    <w:rsid w:val="00CF071A"/>
    <w:rsid w:val="00D058B8"/>
    <w:rsid w:val="00D56C11"/>
    <w:rsid w:val="00D834A0"/>
    <w:rsid w:val="00D872DF"/>
    <w:rsid w:val="00D91E21"/>
    <w:rsid w:val="00D9663D"/>
    <w:rsid w:val="00DA7FCD"/>
    <w:rsid w:val="00E365E1"/>
    <w:rsid w:val="00E820A4"/>
    <w:rsid w:val="00EB006A"/>
    <w:rsid w:val="00EB4772"/>
    <w:rsid w:val="00ED169E"/>
    <w:rsid w:val="00ED4235"/>
    <w:rsid w:val="00F04346"/>
    <w:rsid w:val="00F075DC"/>
    <w:rsid w:val="00F149E9"/>
    <w:rsid w:val="00F5134D"/>
    <w:rsid w:val="00F564F1"/>
    <w:rsid w:val="00F74202"/>
    <w:rsid w:val="00F7479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9A4637"/>
  <w15:chartTrackingRefBased/>
  <w15:docId w15:val="{9C52E7D5-76E9-4BA7-842C-60F8CE32C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C4F37"/>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1C4F37"/>
    <w:pPr>
      <w:keepNext/>
      <w:spacing w:after="480"/>
      <w:jc w:val="center"/>
    </w:pPr>
    <w:rPr>
      <w:rFonts w:ascii="Arial" w:hAnsi="Arial" w:cs="Arial"/>
      <w:b/>
    </w:rPr>
  </w:style>
  <w:style w:type="paragraph" w:customStyle="1" w:styleId="NormalHanging12a">
    <w:name w:val="NormalHanging12a"/>
    <w:basedOn w:val="Normal"/>
    <w:rsid w:val="001C4F37"/>
    <w:pPr>
      <w:spacing w:after="240"/>
      <w:ind w:left="567" w:hanging="567"/>
    </w:pPr>
  </w:style>
  <w:style w:type="paragraph" w:customStyle="1" w:styleId="Normal24a">
    <w:name w:val="Normal24a"/>
    <w:basedOn w:val="Normal"/>
    <w:rsid w:val="001C4F37"/>
    <w:pPr>
      <w:spacing w:after="480"/>
    </w:pPr>
    <w:rPr>
      <w:lang w:val="en-GB"/>
    </w:rPr>
  </w:style>
  <w:style w:type="paragraph" w:styleId="Header">
    <w:name w:val="header"/>
    <w:basedOn w:val="Normal"/>
    <w:link w:val="HeaderChar"/>
    <w:rsid w:val="001C4F37"/>
    <w:pPr>
      <w:tabs>
        <w:tab w:val="center" w:pos="4513"/>
        <w:tab w:val="right" w:pos="9026"/>
      </w:tabs>
    </w:pPr>
  </w:style>
  <w:style w:type="character" w:customStyle="1" w:styleId="HeaderChar">
    <w:name w:val="Header Char"/>
    <w:basedOn w:val="DefaultParagraphFont"/>
    <w:link w:val="Header"/>
    <w:rsid w:val="001C4F37"/>
    <w:rPr>
      <w:sz w:val="24"/>
      <w:lang w:val="sl-SI"/>
    </w:rPr>
  </w:style>
  <w:style w:type="paragraph" w:customStyle="1" w:styleId="EPFooter">
    <w:name w:val="EPFooter"/>
    <w:basedOn w:val="Normal"/>
    <w:rsid w:val="001C4F37"/>
    <w:pPr>
      <w:tabs>
        <w:tab w:val="center" w:pos="4535"/>
        <w:tab w:val="right" w:pos="9071"/>
      </w:tabs>
      <w:spacing w:before="240" w:after="240"/>
    </w:pPr>
    <w:rPr>
      <w:color w:val="010000"/>
      <w:sz w:val="22"/>
    </w:rPr>
  </w:style>
  <w:style w:type="paragraph" w:customStyle="1" w:styleId="EPComma">
    <w:name w:val="EPComma"/>
    <w:basedOn w:val="Normal"/>
    <w:rsid w:val="001C4F37"/>
    <w:pPr>
      <w:spacing w:before="480" w:after="240"/>
    </w:pPr>
  </w:style>
  <w:style w:type="paragraph" w:styleId="Footer">
    <w:name w:val="footer"/>
    <w:basedOn w:val="Normal"/>
    <w:link w:val="FooterChar"/>
    <w:rsid w:val="00D9663D"/>
    <w:pPr>
      <w:tabs>
        <w:tab w:val="center" w:pos="4513"/>
        <w:tab w:val="right" w:pos="9026"/>
      </w:tabs>
    </w:pPr>
  </w:style>
  <w:style w:type="character" w:customStyle="1" w:styleId="FooterChar">
    <w:name w:val="Footer Char"/>
    <w:basedOn w:val="DefaultParagraphFont"/>
    <w:link w:val="Footer"/>
    <w:rsid w:val="00D9663D"/>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CFCFD3-3D3B-463F-B053-8F9E9C833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692</Words>
  <Characters>3947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4</cp:revision>
  <cp:lastPrinted>2004-11-19T15:42:00Z</cp:lastPrinted>
  <dcterms:created xsi:type="dcterms:W3CDTF">2024-02-05T14:15:00Z</dcterms:created>
  <dcterms:modified xsi:type="dcterms:W3CDTF">2024-02-06T08:34:00Z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A9-0028/2024</vt:lpwstr>
  </property>
  <property fmtid="{D5CDD505-2E9C-101B-9397-08002B2CF9AE}" pid="4" name="&lt;Type&gt;">
    <vt:lpwstr>RR</vt:lpwstr>
  </property>
</Properties>
</file>