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523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95235" w:rsidRDefault="00510733" w:rsidP="0010095E">
            <w:pPr>
              <w:pStyle w:val="EPName"/>
            </w:pPr>
            <w:r w:rsidRPr="00895235">
              <w:t>Parlamento Europeo</w:t>
            </w:r>
          </w:p>
          <w:p w:rsidR="00751A4A" w:rsidRPr="0089523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523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95235" w:rsidRDefault="00187494" w:rsidP="0010095E">
            <w:pPr>
              <w:pStyle w:val="EPLogo"/>
            </w:pPr>
            <w:r w:rsidRPr="0089523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95235" w:rsidRDefault="00D058B8" w:rsidP="004C5D52">
      <w:pPr>
        <w:pStyle w:val="LineTop"/>
      </w:pPr>
    </w:p>
    <w:p w:rsidR="00680577" w:rsidRPr="00895235" w:rsidRDefault="00510733" w:rsidP="00680577">
      <w:pPr>
        <w:pStyle w:val="EPBodyTA1"/>
      </w:pPr>
      <w:r w:rsidRPr="00895235">
        <w:t>TEXTOS APROBADOS</w:t>
      </w:r>
    </w:p>
    <w:p w:rsidR="00D058B8" w:rsidRPr="00895235" w:rsidRDefault="00D058B8" w:rsidP="00D058B8">
      <w:pPr>
        <w:pStyle w:val="LineBottom"/>
      </w:pPr>
    </w:p>
    <w:p w:rsidR="00510733" w:rsidRPr="007014B2" w:rsidRDefault="00510733" w:rsidP="00510733">
      <w:pPr>
        <w:pStyle w:val="ATHeading1"/>
      </w:pPr>
      <w:bookmarkStart w:id="0" w:name="TANumber"/>
      <w:r w:rsidRPr="007014B2">
        <w:t>P9_</w:t>
      </w:r>
      <w:proofErr w:type="gramStart"/>
      <w:r w:rsidRPr="007014B2">
        <w:t>TA(</w:t>
      </w:r>
      <w:proofErr w:type="gramEnd"/>
      <w:r w:rsidRPr="007014B2">
        <w:t>2024)00</w:t>
      </w:r>
      <w:r w:rsidR="00A037A7" w:rsidRPr="007014B2">
        <w:t>56</w:t>
      </w:r>
      <w:bookmarkEnd w:id="0"/>
    </w:p>
    <w:p w:rsidR="00510733" w:rsidRPr="007014B2" w:rsidRDefault="005A163F" w:rsidP="00510733">
      <w:pPr>
        <w:pStyle w:val="ATHeading2"/>
      </w:pPr>
      <w:bookmarkStart w:id="1" w:name="title"/>
      <w:r w:rsidRPr="007014B2">
        <w:t>Suplicatorio de suspensión de la inmunidad de Eva Kaili</w:t>
      </w:r>
      <w:bookmarkEnd w:id="1"/>
    </w:p>
    <w:p w:rsidR="00510733" w:rsidRPr="00895235" w:rsidRDefault="00510733" w:rsidP="00510733">
      <w:pPr>
        <w:rPr>
          <w:i/>
          <w:vanish/>
        </w:rPr>
      </w:pPr>
      <w:r w:rsidRPr="00895235">
        <w:rPr>
          <w:i/>
        </w:rPr>
        <w:fldChar w:fldCharType="begin"/>
      </w:r>
      <w:r w:rsidRPr="00895235">
        <w:rPr>
          <w:i/>
        </w:rPr>
        <w:instrText xml:space="preserve"> TC"(</w:instrText>
      </w:r>
      <w:bookmarkStart w:id="2" w:name="DocNumber"/>
      <w:r w:rsidRPr="00895235">
        <w:rPr>
          <w:i/>
        </w:rPr>
        <w:instrText>A9-0029/2024</w:instrText>
      </w:r>
      <w:bookmarkEnd w:id="2"/>
      <w:r w:rsidRPr="00895235">
        <w:rPr>
          <w:i/>
        </w:rPr>
        <w:instrText xml:space="preserve"> - Ponente: </w:instrText>
      </w:r>
      <w:proofErr w:type="spellStart"/>
      <w:r w:rsidRPr="00895235">
        <w:rPr>
          <w:i/>
        </w:rPr>
        <w:instrText>Ilana</w:instrText>
      </w:r>
      <w:proofErr w:type="spellEnd"/>
      <w:r w:rsidRPr="00895235">
        <w:rPr>
          <w:i/>
        </w:rPr>
        <w:instrText xml:space="preserve"> </w:instrText>
      </w:r>
      <w:proofErr w:type="spellStart"/>
      <w:r w:rsidRPr="00895235">
        <w:rPr>
          <w:i/>
        </w:rPr>
        <w:instrText>Cicurel</w:instrText>
      </w:r>
      <w:proofErr w:type="spellEnd"/>
      <w:r w:rsidRPr="00895235">
        <w:rPr>
          <w:i/>
        </w:rPr>
        <w:instrText xml:space="preserve">)"\l3 \n&gt; \* MERGEFORMAT </w:instrText>
      </w:r>
      <w:r w:rsidRPr="00895235">
        <w:rPr>
          <w:i/>
        </w:rPr>
        <w:fldChar w:fldCharType="end"/>
      </w:r>
    </w:p>
    <w:p w:rsidR="00510733" w:rsidRPr="00895235" w:rsidRDefault="00510733" w:rsidP="00510733">
      <w:pPr>
        <w:rPr>
          <w:vanish/>
        </w:rPr>
      </w:pPr>
      <w:bookmarkStart w:id="3" w:name="Commission"/>
      <w:r w:rsidRPr="00895235">
        <w:rPr>
          <w:vanish/>
        </w:rPr>
        <w:t>Comisión de Asuntos Jurídicos</w:t>
      </w:r>
      <w:bookmarkEnd w:id="3"/>
    </w:p>
    <w:p w:rsidR="00510733" w:rsidRPr="00895235" w:rsidRDefault="00510733" w:rsidP="00510733">
      <w:pPr>
        <w:rPr>
          <w:vanish/>
        </w:rPr>
      </w:pPr>
      <w:bookmarkStart w:id="4" w:name="PE"/>
      <w:r w:rsidRPr="00895235">
        <w:rPr>
          <w:vanish/>
        </w:rPr>
        <w:t>PE749.295</w:t>
      </w:r>
      <w:bookmarkEnd w:id="4"/>
    </w:p>
    <w:p w:rsidR="00510733" w:rsidRPr="007014B2" w:rsidRDefault="00510733" w:rsidP="00510733">
      <w:pPr>
        <w:pStyle w:val="ATHeading3"/>
      </w:pPr>
      <w:bookmarkStart w:id="5" w:name="Sujet"/>
      <w:r w:rsidRPr="007014B2">
        <w:t xml:space="preserve">Decisión del Parlamento Europeo, de </w:t>
      </w:r>
      <w:r w:rsidR="005A163F" w:rsidRPr="007014B2">
        <w:t>6</w:t>
      </w:r>
      <w:r w:rsidRPr="007014B2">
        <w:t xml:space="preserve"> de febrero de 2024, sobre el suplicatorio de suspensión de la inmunidad de Eva Kaili</w:t>
      </w:r>
      <w:bookmarkEnd w:id="5"/>
      <w:r w:rsidRPr="007014B2">
        <w:t xml:space="preserve"> </w:t>
      </w:r>
      <w:bookmarkStart w:id="6" w:name="References"/>
      <w:r w:rsidRPr="007014B2">
        <w:t>(2023/2007(IMM))</w:t>
      </w:r>
      <w:bookmarkEnd w:id="6"/>
    </w:p>
    <w:p w:rsidR="00510733" w:rsidRPr="00895235" w:rsidRDefault="00510733" w:rsidP="00510733"/>
    <w:p w:rsidR="00793BA6" w:rsidRPr="00895235" w:rsidRDefault="00793BA6" w:rsidP="005A163F">
      <w:pPr>
        <w:pStyle w:val="EPComma"/>
        <w:spacing w:before="120"/>
      </w:pPr>
      <w:bookmarkStart w:id="7" w:name="TextBodyBegin"/>
      <w:bookmarkEnd w:id="7"/>
      <w:r w:rsidRPr="00895235">
        <w:rPr>
          <w:i/>
          <w:iCs/>
        </w:rPr>
        <w:t>El Parlamento Europeo</w:t>
      </w:r>
      <w:r w:rsidRPr="00895235">
        <w:t>,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–</w:t>
      </w:r>
      <w:r w:rsidRPr="00895235">
        <w:tab/>
        <w:t>Visto el suplicatorio de suspensión de la inmunidad de Eva Kaili, transmitido por el fiscal general europeo, con fecha de 15 de diciembre de 2022, y comunicado al Pleno del 19 de enero de 2023,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–</w:t>
      </w:r>
      <w:r w:rsidRPr="00895235">
        <w:tab/>
        <w:t>Previa audiencia a Eva Kaili, de conformidad con el artículo 9, apartado 6, de su Reglamento interno,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–</w:t>
      </w:r>
      <w:r w:rsidRPr="00895235">
        <w:tab/>
        <w:t>Vistos los artículos 8 y 9 del Protocolo n.º 7 sobre los privilegios y las inmunidades de la Unión Europea, así como el artículo 6, apartado 2, del Acta relativa a la elección de los diputados al Parlamento Europeo por sufragio universal directo, de 20 de septiembre de 1976,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–</w:t>
      </w:r>
      <w:r w:rsidRPr="00895235">
        <w:tab/>
        <w:t>Visto el Reglamento (UE) 2017/1939 del Consejo, de 12 de octubre de 2017, por el que se establece una cooperación reforzada para la creación de la Fiscalía Europea, y en particular su artículo 29, apartado 2</w:t>
      </w:r>
      <w:r w:rsidRPr="00895235">
        <w:rPr>
          <w:vertAlign w:val="superscript"/>
        </w:rPr>
        <w:footnoteReference w:id="1"/>
      </w:r>
      <w:r w:rsidRPr="00895235">
        <w:t>,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–</w:t>
      </w:r>
      <w:r w:rsidRPr="00895235">
        <w:tab/>
        <w:t>Vistas las sentencias del Tribunal de Justicia de la Unión Europea de 21 de octubre de 2008, 19 de marzo de 2010, 6 de septiembre de 2011, 17 de enero de 2013 y 19 de diciembre de 2019</w:t>
      </w:r>
      <w:r w:rsidRPr="00895235">
        <w:rPr>
          <w:vertAlign w:val="superscript"/>
        </w:rPr>
        <w:footnoteReference w:id="2"/>
      </w:r>
      <w:r w:rsidRPr="00895235">
        <w:t>,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lastRenderedPageBreak/>
        <w:t>–</w:t>
      </w:r>
      <w:r w:rsidRPr="00895235">
        <w:tab/>
        <w:t>Visto el artículo 62 de la Constitución de la República Helénica,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–</w:t>
      </w:r>
      <w:r w:rsidRPr="00895235">
        <w:tab/>
        <w:t>Vistos el artículo 5, apartado 2, el artículo 6, apartado 1, y el artículo 9 de su Reglamento interno,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–</w:t>
      </w:r>
      <w:r w:rsidRPr="00895235">
        <w:tab/>
        <w:t>Visto el informe de la Comisión de Asuntos Jurídicos (A9-0029/2024),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Α.</w:t>
      </w:r>
      <w:r w:rsidRPr="00895235">
        <w:tab/>
        <w:t>Considerando que la fiscal general europea ha solicitado la suspensión de la inmunidad de Eva Kaili en el marco de una investigación en curso relativa a unos hechos susceptibles de constituir un delito agravado de instigación de delitos de fraude contra los intereses financieros de la U</w:t>
      </w:r>
      <w:r w:rsidR="00BF6D54">
        <w:t xml:space="preserve">nión </w:t>
      </w:r>
      <w:r w:rsidRPr="00895235">
        <w:t>E</w:t>
      </w:r>
      <w:r w:rsidR="00BF6D54">
        <w:t>uropea</w:t>
      </w:r>
      <w:r w:rsidRPr="00895235">
        <w:t>, cometido de manera reiterada, y que ha causado daños superiores a 120 000 y 150 000 EUR, castigado con penas de prisión de 5 a 15 años, según establecen el artículo 46, apartado 1, el artículo 52, apartado 2, y el artículo 98, apartado 2, del Código Penal griego y el artículo 4, apartados 1 y 2, letra b), de la Ley n.º 2803/2000, en relación con el artículo 2, apartado 1, y el artículo 386, apartado 2, del Código Penal griego y el artículo 24, apartado 2, y el artículo 26, apartado 3, de la Ley n.º 4689/2020;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Β.</w:t>
      </w:r>
      <w:r w:rsidRPr="00895235">
        <w:tab/>
        <w:t>Considerando que, a raíz de un informe de la OLAF registrado por la Fiscalía Europea el 1 de julio de 2021, el fiscal europeo griego inició la investigación en cuestión el 8 de septiembre de 2021; que el 12 de noviembre de 2021, en virtud de sus responsabilidades, la fiscal europea delegada que conoce del asunto solicitó a la OLAF la remisión de la documentación del expediente; que, tras analizar el expediente, el 2 de febrero de 2022, solicitó una investigación complementaria a la OLAF, así como la traducción de los documentos del expediente del inglés al griego el 7 de febrero de 2022; que la OLAF presentó su informe final y la documentación justificativa el 8 de diciembre de 2022, mientras que las últimas traducciones llegaron el 14 de diciembre de 2022;</w:t>
      </w:r>
    </w:p>
    <w:p w:rsidR="00793BA6" w:rsidRPr="00895235" w:rsidRDefault="00793BA6" w:rsidP="00A037A7">
      <w:pPr>
        <w:spacing w:after="240"/>
        <w:ind w:left="567" w:hanging="567"/>
      </w:pPr>
      <w:r w:rsidRPr="00895235">
        <w:t>C.</w:t>
      </w:r>
      <w:r w:rsidRPr="00895235">
        <w:tab/>
        <w:t>Considerando que las presuntas irregularidades de las que Eva Kaili tuvo conocimiento se refieren, en particular, a:</w:t>
      </w:r>
    </w:p>
    <w:p w:rsidR="00793BA6" w:rsidRPr="00895235" w:rsidRDefault="00793BA6" w:rsidP="00A037A7">
      <w:pPr>
        <w:spacing w:after="240"/>
        <w:ind w:left="1134" w:hanging="567"/>
      </w:pPr>
      <w:r w:rsidRPr="00895235">
        <w:t xml:space="preserve">a) </w:t>
      </w:r>
      <w:r w:rsidR="005A163F" w:rsidRPr="00895235">
        <w:tab/>
      </w:r>
      <w:r w:rsidRPr="00895235">
        <w:t>el incumplimiento por una de sus asistentes parlamentarias acreditadas (APA) de sus obligaciones de presencia en su lugar de trabajo entre el 28 de septiembre de 2015 y el 2 de julio de 2019, así como de la ejecución de sus tareas,</w:t>
      </w:r>
    </w:p>
    <w:p w:rsidR="00793BA6" w:rsidRPr="00895235" w:rsidRDefault="00793BA6" w:rsidP="00A037A7">
      <w:pPr>
        <w:spacing w:after="240"/>
        <w:ind w:left="1134" w:hanging="567"/>
      </w:pPr>
      <w:r w:rsidRPr="00895235">
        <w:t xml:space="preserve">b) </w:t>
      </w:r>
      <w:r w:rsidR="005A163F" w:rsidRPr="00895235">
        <w:tab/>
      </w:r>
      <w:r w:rsidRPr="00895235">
        <w:t>la presentación de solicitudes de órdenes de misión y de declaraciones de gastos, así como la percepción de reembolsos por misiones que no fueron efectuadas por cuatro de los APA de Eva Kaili, entre febrero de 2016 y marzo de 2018 por lo que respecta al primero, entre mayo de 2015 y febrero de 2020 por lo que se refiere al segundo, entre diciembre de 2015 y abril de 2019 por lo que se refiere al tercero, y entre octubre de 2014 y febrero de 2020 por lo que se refiere al cuarto APA,</w:t>
      </w:r>
    </w:p>
    <w:p w:rsidR="00793BA6" w:rsidRPr="00895235" w:rsidRDefault="00793BA6" w:rsidP="00A037A7">
      <w:pPr>
        <w:spacing w:after="240"/>
        <w:ind w:left="1134" w:hanging="567"/>
      </w:pPr>
      <w:r w:rsidRPr="00895235">
        <w:t xml:space="preserve">c) </w:t>
      </w:r>
      <w:r w:rsidR="005A163F" w:rsidRPr="00895235">
        <w:tab/>
      </w:r>
      <w:r w:rsidRPr="00895235">
        <w:t>la cesión de una parte de los salarios y gastos de misión de los APA a Eva. KAILI tras su presunta petición, de 28 de septiembre</w:t>
      </w:r>
      <w:r w:rsidR="00BF6D54">
        <w:t xml:space="preserve"> de 2015</w:t>
      </w:r>
      <w:r w:rsidRPr="00895235">
        <w:t xml:space="preserve"> a 2 de julio de 2019;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D.</w:t>
      </w:r>
      <w:r w:rsidRPr="00895235">
        <w:tab/>
        <w:t xml:space="preserve">Considerando, por un lado, que el Parlamento no puede equipararse a un órgano jurisdiccional y, por otro, que el diputado, en el contexto de un procedimiento de </w:t>
      </w:r>
      <w:r w:rsidRPr="00895235">
        <w:lastRenderedPageBreak/>
        <w:t>suspensión de la inmunidad, no puede considerarse un «acusado»</w:t>
      </w:r>
      <w:r w:rsidRPr="00895235">
        <w:rPr>
          <w:vertAlign w:val="superscript"/>
        </w:rPr>
        <w:footnoteReference w:id="3"/>
      </w:r>
      <w:r w:rsidRPr="00895235">
        <w:t>;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E.</w:t>
      </w:r>
      <w:r w:rsidRPr="00895235">
        <w:tab/>
        <w:t>Considerando que el presunto delito no guarda relación con opiniones expresadas o votos emitidos por Eva Kaili en el ejercicio de sus funciones de diputada al Parlamento Europeo, en el sentido del artículo 8 del Protocolo n.º 7 sobre los privilegios e inmunidades de la Unión Europea;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F.</w:t>
      </w:r>
      <w:r w:rsidRPr="00895235">
        <w:tab/>
        <w:t>Considerando que, según el artículo 9 del Protocolo n.º 7 sobre los privilegios e inmunidades de la Unión Europea, los diputados al Parlamento Europeo gozan, en su propio territorio nacional, de las inmunidades reconocidas a los miembros del Parlamento de su país;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G.</w:t>
      </w:r>
      <w:r w:rsidRPr="00895235">
        <w:tab/>
        <w:t>Considerando que el artículo 62 de la Constitución griega establece, en particular, que, durante la legislatura, los diputados no pueden ser procesados, detenidos, encarcelados ni sometidos a otras restricciones sin la autorización previa del Parlamento;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H.</w:t>
      </w:r>
      <w:r w:rsidRPr="00895235">
        <w:tab/>
        <w:t>Considerando que la inmunidad parlamentaria tiene como finalidad proteger al Parlamento y a sus diputados frente a los procedimientos judiciales relacionados con las actividades desempeñadas en el ejercicio de sus obligaciones parlamentarias y que no pueden desvincularse de estas;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I.</w:t>
      </w:r>
      <w:r w:rsidRPr="00895235">
        <w:tab/>
        <w:t xml:space="preserve">Considerando que, en el presente asunto, el Parlamento no ha podido constatar la existencia de </w:t>
      </w:r>
      <w:proofErr w:type="spellStart"/>
      <w:r w:rsidRPr="00895235">
        <w:rPr>
          <w:i/>
          <w:iCs/>
        </w:rPr>
        <w:t>fumus</w:t>
      </w:r>
      <w:proofErr w:type="spellEnd"/>
      <w:r w:rsidRPr="00895235">
        <w:rPr>
          <w:i/>
          <w:iCs/>
        </w:rPr>
        <w:t xml:space="preserve"> </w:t>
      </w:r>
      <w:proofErr w:type="spellStart"/>
      <w:r w:rsidRPr="00895235">
        <w:rPr>
          <w:i/>
          <w:iCs/>
        </w:rPr>
        <w:t>persecutionis</w:t>
      </w:r>
      <w:proofErr w:type="spellEnd"/>
      <w:r w:rsidRPr="00895235">
        <w:t>, es decir, la existencia de elementos de hecho que apunten a que el procedimiento judicial responda a la intención de dañar la actividad política de la diputada y, por tanto, del Parlamento Europeo;</w:t>
      </w:r>
    </w:p>
    <w:p w:rsidR="00793BA6" w:rsidRPr="00895235" w:rsidRDefault="00793BA6" w:rsidP="005A163F">
      <w:pPr>
        <w:spacing w:after="240"/>
        <w:ind w:left="567" w:hanging="567"/>
      </w:pPr>
      <w:r w:rsidRPr="00895235">
        <w:t>1.</w:t>
      </w:r>
      <w:r w:rsidRPr="00895235">
        <w:tab/>
        <w:t>Decide suspender la inmunidad parlamentaria de Eva Kaili;</w:t>
      </w:r>
    </w:p>
    <w:p w:rsidR="00E365E1" w:rsidRPr="00895235" w:rsidRDefault="00793BA6" w:rsidP="005A163F">
      <w:pPr>
        <w:ind w:left="567" w:hanging="567"/>
      </w:pPr>
      <w:r w:rsidRPr="00895235">
        <w:t>2.</w:t>
      </w:r>
      <w:r w:rsidRPr="00895235">
        <w:tab/>
        <w:t>Encarga a su presidenta que transmita inmedia</w:t>
      </w:r>
      <w:bookmarkStart w:id="8" w:name="_GoBack"/>
      <w:bookmarkEnd w:id="8"/>
      <w:r w:rsidRPr="00895235">
        <w:t>tamente la presente Decisión y el informe de la comisión competente a la Fiscalía Europea y a Eva Kaili.</w:t>
      </w:r>
      <w:bookmarkStart w:id="9" w:name="TextBodyEnd"/>
      <w:bookmarkEnd w:id="9"/>
    </w:p>
    <w:sectPr w:rsidR="00E365E1" w:rsidRPr="00895235" w:rsidSect="00040B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733" w:rsidRPr="00040B6B" w:rsidRDefault="00510733">
      <w:r w:rsidRPr="00040B6B">
        <w:separator/>
      </w:r>
    </w:p>
  </w:endnote>
  <w:endnote w:type="continuationSeparator" w:id="0">
    <w:p w:rsidR="00510733" w:rsidRPr="00040B6B" w:rsidRDefault="00510733">
      <w:r w:rsidRPr="00040B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0B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0B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0B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733" w:rsidRPr="00040B6B" w:rsidRDefault="00510733">
      <w:r w:rsidRPr="00040B6B">
        <w:separator/>
      </w:r>
    </w:p>
  </w:footnote>
  <w:footnote w:type="continuationSeparator" w:id="0">
    <w:p w:rsidR="00510733" w:rsidRPr="00040B6B" w:rsidRDefault="00510733">
      <w:r w:rsidRPr="00040B6B">
        <w:continuationSeparator/>
      </w:r>
    </w:p>
  </w:footnote>
  <w:footnote w:id="1">
    <w:p w:rsidR="00793BA6" w:rsidRPr="00040B6B" w:rsidRDefault="00793BA6" w:rsidP="00040B6B">
      <w:pPr>
        <w:pStyle w:val="FootnoteText"/>
        <w:ind w:left="567" w:hanging="567"/>
        <w:rPr>
          <w:sz w:val="24"/>
          <w:lang w:val="es-ES_tradnl"/>
        </w:rPr>
      </w:pPr>
      <w:r w:rsidRPr="00040B6B">
        <w:rPr>
          <w:rStyle w:val="FootnoteReference"/>
          <w:rFonts w:eastAsia="Calibri"/>
          <w:sz w:val="24"/>
          <w:lang w:val="es-ES_tradnl"/>
        </w:rPr>
        <w:footnoteRef/>
      </w:r>
      <w:r w:rsidR="00040B6B" w:rsidRPr="00040B6B">
        <w:rPr>
          <w:sz w:val="24"/>
          <w:lang w:val="es-ES_tradnl"/>
        </w:rPr>
        <w:t xml:space="preserve"> </w:t>
      </w:r>
      <w:r w:rsidR="00040B6B" w:rsidRPr="00040B6B">
        <w:rPr>
          <w:sz w:val="24"/>
          <w:lang w:val="es-ES_tradnl"/>
        </w:rPr>
        <w:tab/>
      </w:r>
      <w:r w:rsidRPr="00040B6B">
        <w:rPr>
          <w:sz w:val="24"/>
          <w:lang w:val="es-ES_tradnl"/>
        </w:rPr>
        <w:t>DO L 283 de 31.10.2017, p. 1.</w:t>
      </w:r>
    </w:p>
  </w:footnote>
  <w:footnote w:id="2">
    <w:p w:rsidR="00793BA6" w:rsidRPr="00040B6B" w:rsidRDefault="00793BA6" w:rsidP="00040B6B">
      <w:pPr>
        <w:pStyle w:val="FootnoteText"/>
        <w:ind w:left="567" w:hanging="567"/>
        <w:rPr>
          <w:sz w:val="24"/>
          <w:lang w:val="es-ES_tradnl"/>
        </w:rPr>
      </w:pPr>
      <w:r w:rsidRPr="00040B6B">
        <w:rPr>
          <w:rStyle w:val="FootnoteReference"/>
          <w:rFonts w:eastAsia="Calibri"/>
          <w:sz w:val="24"/>
          <w:lang w:val="es-ES_tradnl"/>
        </w:rPr>
        <w:footnoteRef/>
      </w:r>
      <w:r w:rsidR="00040B6B" w:rsidRPr="00040B6B">
        <w:rPr>
          <w:sz w:val="24"/>
          <w:lang w:val="es-ES_tradnl"/>
        </w:rPr>
        <w:t xml:space="preserve"> </w:t>
      </w:r>
      <w:r w:rsidR="00040B6B" w:rsidRPr="00040B6B">
        <w:rPr>
          <w:sz w:val="24"/>
          <w:lang w:val="es-ES_tradnl"/>
        </w:rPr>
        <w:tab/>
      </w:r>
      <w:r w:rsidRPr="00040B6B">
        <w:rPr>
          <w:sz w:val="24"/>
          <w:lang w:val="es-ES_tradnl"/>
        </w:rPr>
        <w:t xml:space="preserve">Sentencia del Tribunal de Justicia de 21 de octubre de 2008, Marra/De Gregorio y Clemente, C-200/07 y C-201/07, ECLI:EU:C:2008:579; sentencia del Tribunal General de 19 de marzo de 2010, </w:t>
      </w:r>
      <w:proofErr w:type="spellStart"/>
      <w:r w:rsidRPr="00040B6B">
        <w:rPr>
          <w:sz w:val="24"/>
          <w:lang w:val="es-ES_tradnl"/>
        </w:rPr>
        <w:t>Gollnisch</w:t>
      </w:r>
      <w:proofErr w:type="spellEnd"/>
      <w:r w:rsidRPr="00040B6B">
        <w:rPr>
          <w:sz w:val="24"/>
          <w:lang w:val="es-ES_tradnl"/>
        </w:rPr>
        <w:t xml:space="preserve">/Parlamento, T-42/06, ECLI:EU:T:2010:102; sentencia del Tribunal de Justicia de 6 de septiembre de 2011, </w:t>
      </w:r>
      <w:proofErr w:type="spellStart"/>
      <w:r w:rsidRPr="00040B6B">
        <w:rPr>
          <w:sz w:val="24"/>
          <w:lang w:val="es-ES_tradnl"/>
        </w:rPr>
        <w:t>Patriciello</w:t>
      </w:r>
      <w:proofErr w:type="spellEnd"/>
      <w:r w:rsidRPr="00040B6B">
        <w:rPr>
          <w:sz w:val="24"/>
          <w:lang w:val="es-ES_tradnl"/>
        </w:rPr>
        <w:t xml:space="preserve">, C-163/10, ECLI:EU:C:2011:543; sentencia del Tribunal General de 17 de enero de 2013, </w:t>
      </w:r>
      <w:proofErr w:type="spellStart"/>
      <w:r w:rsidRPr="00040B6B">
        <w:rPr>
          <w:sz w:val="24"/>
          <w:lang w:val="es-ES_tradnl"/>
        </w:rPr>
        <w:t>Gollnisch</w:t>
      </w:r>
      <w:proofErr w:type="spellEnd"/>
      <w:r w:rsidRPr="00040B6B">
        <w:rPr>
          <w:sz w:val="24"/>
          <w:lang w:val="es-ES_tradnl"/>
        </w:rPr>
        <w:t xml:space="preserve">/Parlamento, T-346/11 y T-347/11, ECLI:EU:T:2013:23; sentencia del Tribunal de Justicia de 19 de diciembre de 2019, Junqueras </w:t>
      </w:r>
      <w:proofErr w:type="spellStart"/>
      <w:r w:rsidRPr="00040B6B">
        <w:rPr>
          <w:sz w:val="24"/>
          <w:lang w:val="es-ES_tradnl"/>
        </w:rPr>
        <w:t>Vies</w:t>
      </w:r>
      <w:proofErr w:type="spellEnd"/>
      <w:r w:rsidRPr="00040B6B">
        <w:rPr>
          <w:sz w:val="24"/>
          <w:lang w:val="es-ES_tradnl"/>
        </w:rPr>
        <w:t>, C 502/19, ECLI:EU:C:2019:1115.</w:t>
      </w:r>
    </w:p>
  </w:footnote>
  <w:footnote w:id="3">
    <w:p w:rsidR="00793BA6" w:rsidRPr="00040B6B" w:rsidRDefault="00793BA6" w:rsidP="00040B6B">
      <w:pPr>
        <w:pStyle w:val="FootnoteText"/>
        <w:ind w:left="567" w:hanging="567"/>
        <w:rPr>
          <w:sz w:val="24"/>
          <w:lang w:val="es-ES_tradnl"/>
        </w:rPr>
      </w:pPr>
      <w:r w:rsidRPr="00040B6B">
        <w:rPr>
          <w:rStyle w:val="FootnoteReference"/>
          <w:rFonts w:eastAsia="Calibri"/>
          <w:sz w:val="24"/>
          <w:lang w:val="es-ES_tradnl"/>
        </w:rPr>
        <w:footnoteRef/>
      </w:r>
      <w:r w:rsidR="00040B6B" w:rsidRPr="00040B6B">
        <w:rPr>
          <w:sz w:val="24"/>
          <w:lang w:val="es-ES_tradnl"/>
        </w:rPr>
        <w:t xml:space="preserve"> </w:t>
      </w:r>
      <w:r w:rsidR="00040B6B" w:rsidRPr="00040B6B">
        <w:rPr>
          <w:sz w:val="24"/>
          <w:lang w:val="es-ES_tradnl"/>
        </w:rPr>
        <w:tab/>
      </w:r>
      <w:r w:rsidRPr="00040B6B">
        <w:rPr>
          <w:sz w:val="24"/>
          <w:lang w:val="es-ES_tradnl"/>
        </w:rPr>
        <w:t xml:space="preserve">Sentencia del Tribunal General de 30 de abril de 2019, </w:t>
      </w:r>
      <w:proofErr w:type="spellStart"/>
      <w:r w:rsidRPr="00040B6B">
        <w:rPr>
          <w:sz w:val="24"/>
          <w:lang w:val="es-ES_tradnl"/>
        </w:rPr>
        <w:t>Briois</w:t>
      </w:r>
      <w:proofErr w:type="spellEnd"/>
      <w:r w:rsidRPr="00040B6B">
        <w:rPr>
          <w:sz w:val="24"/>
          <w:lang w:val="es-ES_tradnl"/>
        </w:rPr>
        <w:t>/Parlamento, T-214/18, ECLI:</w:t>
      </w:r>
      <w:proofErr w:type="gramStart"/>
      <w:r w:rsidRPr="00040B6B">
        <w:rPr>
          <w:sz w:val="24"/>
          <w:lang w:val="es-ES_tradnl"/>
        </w:rPr>
        <w:t>EU:T</w:t>
      </w:r>
      <w:proofErr w:type="gramEnd"/>
      <w:r w:rsidRPr="00040B6B">
        <w:rPr>
          <w:sz w:val="24"/>
          <w:lang w:val="es-ES_tradnl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0B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0B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0B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4"/>
    <w:docVar w:name="dvlangue" w:val="ES"/>
    <w:docVar w:name="dvnumam" w:val="0"/>
    <w:docVar w:name="dvpe" w:val="749.295"/>
    <w:docVar w:name="dvrapporteur" w:val="Ponente: "/>
    <w:docVar w:name="dvtitre" w:val="Decisión del Parlamento Europeo, de x de febrero de 2024, sobre el suplicatorio de suspensión de la inmunidad de Eva Kaili(2023/2007(IMM))"/>
  </w:docVars>
  <w:rsids>
    <w:rsidRoot w:val="00510733"/>
    <w:rsid w:val="00002272"/>
    <w:rsid w:val="00040B6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733"/>
    <w:rsid w:val="00514517"/>
    <w:rsid w:val="00545827"/>
    <w:rsid w:val="00560270"/>
    <w:rsid w:val="005A163F"/>
    <w:rsid w:val="005C2568"/>
    <w:rsid w:val="006037C0"/>
    <w:rsid w:val="006631B6"/>
    <w:rsid w:val="00680577"/>
    <w:rsid w:val="006F74FA"/>
    <w:rsid w:val="007014B2"/>
    <w:rsid w:val="00731ADD"/>
    <w:rsid w:val="00734777"/>
    <w:rsid w:val="00747932"/>
    <w:rsid w:val="00751A4A"/>
    <w:rsid w:val="00756632"/>
    <w:rsid w:val="00762C74"/>
    <w:rsid w:val="00786EC0"/>
    <w:rsid w:val="00793BA6"/>
    <w:rsid w:val="007D1690"/>
    <w:rsid w:val="007E22AD"/>
    <w:rsid w:val="00817416"/>
    <w:rsid w:val="00842779"/>
    <w:rsid w:val="00865F67"/>
    <w:rsid w:val="00881A7B"/>
    <w:rsid w:val="008840E5"/>
    <w:rsid w:val="00887B3E"/>
    <w:rsid w:val="00895235"/>
    <w:rsid w:val="008C2AC6"/>
    <w:rsid w:val="00930C23"/>
    <w:rsid w:val="0093193B"/>
    <w:rsid w:val="009509D8"/>
    <w:rsid w:val="00950B64"/>
    <w:rsid w:val="00981893"/>
    <w:rsid w:val="00A037A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D54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EFF731-D2D9-4EBB-96BB-4D4CDA31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93BA6"/>
    <w:pPr>
      <w:spacing w:before="480" w:after="240"/>
    </w:pPr>
  </w:style>
  <w:style w:type="paragraph" w:styleId="BalloonText">
    <w:name w:val="Balloon Text"/>
    <w:basedOn w:val="Normal"/>
    <w:link w:val="BalloonTextChar"/>
    <w:rsid w:val="005A16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63F"/>
    <w:rPr>
      <w:rFonts w:ascii="Segoe UI" w:hAnsi="Segoe UI" w:cs="Segoe UI"/>
      <w:sz w:val="18"/>
      <w:szCs w:val="18"/>
      <w:lang w:val="es-ES_tradnl"/>
    </w:rPr>
  </w:style>
  <w:style w:type="paragraph" w:styleId="ListParagraph">
    <w:name w:val="List Paragraph"/>
    <w:basedOn w:val="Normal"/>
    <w:uiPriority w:val="34"/>
    <w:qFormat/>
    <w:rsid w:val="005A16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C2309-B31F-4E11-BD80-61D70E3D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1021</Words>
  <Characters>5058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</cp:lastModifiedBy>
  <cp:revision>2</cp:revision>
  <cp:lastPrinted>2004-11-19T15:42:00Z</cp:lastPrinted>
  <dcterms:created xsi:type="dcterms:W3CDTF">2024-02-06T12:08:00Z</dcterms:created>
  <dcterms:modified xsi:type="dcterms:W3CDTF">2024-02-06T12:08:00Z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A9-0029/2024</vt:lpwstr>
  </property>
  <property fmtid="{D5CDD505-2E9C-101B-9397-08002B2CF9AE}" pid="4" name="&lt;Type&gt;">
    <vt:lpwstr>RR</vt:lpwstr>
  </property>
</Properties>
</file>