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5C19" w14:paraId="2FF3CEEB" w14:textId="77777777" w:rsidTr="0010095E">
        <w:trPr>
          <w:trHeight w:hRule="exact" w:val="1418"/>
        </w:trPr>
        <w:tc>
          <w:tcPr>
            <w:tcW w:w="6804" w:type="dxa"/>
            <w:shd w:val="clear" w:color="auto" w:fill="auto"/>
            <w:vAlign w:val="center"/>
          </w:tcPr>
          <w:p w14:paraId="7E0A98FC" w14:textId="77777777" w:rsidR="00751A4A" w:rsidRPr="006B5C19" w:rsidRDefault="002936DF" w:rsidP="0010095E">
            <w:pPr>
              <w:pStyle w:val="EPName"/>
            </w:pPr>
            <w:r w:rsidRPr="006B5C19">
              <w:t>Euroopan parlamentti</w:t>
            </w:r>
          </w:p>
          <w:p w14:paraId="779BEF15" w14:textId="77777777" w:rsidR="00751A4A" w:rsidRPr="006B5C19" w:rsidRDefault="00817416" w:rsidP="00756632">
            <w:pPr>
              <w:pStyle w:val="EPTerm"/>
              <w:rPr>
                <w:rStyle w:val="HideTWBExt"/>
                <w:noProof w:val="0"/>
                <w:vanish w:val="0"/>
                <w:color w:val="auto"/>
              </w:rPr>
            </w:pPr>
            <w:r w:rsidRPr="006B5C19">
              <w:t>2019-2024</w:t>
            </w:r>
          </w:p>
        </w:tc>
        <w:tc>
          <w:tcPr>
            <w:tcW w:w="2268" w:type="dxa"/>
            <w:shd w:val="clear" w:color="auto" w:fill="auto"/>
          </w:tcPr>
          <w:p w14:paraId="342FFC6E" w14:textId="77777777" w:rsidR="00751A4A" w:rsidRPr="006B5C19" w:rsidRDefault="00187494" w:rsidP="0010095E">
            <w:pPr>
              <w:pStyle w:val="EPLogo"/>
            </w:pPr>
            <w:r w:rsidRPr="006B5C19">
              <w:rPr>
                <w:noProof/>
                <w:lang w:val="en-GB"/>
              </w:rPr>
              <w:drawing>
                <wp:inline distT="0" distB="0" distL="0" distR="0" wp14:anchorId="3DC09345" wp14:editId="1FDEA1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55E7BC" w14:textId="77777777" w:rsidR="00D058B8" w:rsidRPr="006B5C19" w:rsidRDefault="00D058B8" w:rsidP="004C5D52">
      <w:pPr>
        <w:pStyle w:val="LineTop"/>
      </w:pPr>
    </w:p>
    <w:p w14:paraId="75A7F361" w14:textId="77777777" w:rsidR="00680577" w:rsidRPr="006B5C19" w:rsidRDefault="002936DF" w:rsidP="00680577">
      <w:pPr>
        <w:pStyle w:val="EPBodyTA1"/>
      </w:pPr>
      <w:r w:rsidRPr="006B5C19">
        <w:t>HYVÄKSYTYT TEKSTIT</w:t>
      </w:r>
    </w:p>
    <w:p w14:paraId="4730D982" w14:textId="77777777" w:rsidR="00D058B8" w:rsidRPr="006B5C19" w:rsidRDefault="00D058B8" w:rsidP="00D058B8">
      <w:pPr>
        <w:pStyle w:val="LineBottom"/>
      </w:pPr>
    </w:p>
    <w:p w14:paraId="38152113" w14:textId="77777777" w:rsidR="002936DF" w:rsidRPr="006B5C19" w:rsidRDefault="002936DF" w:rsidP="002936DF">
      <w:pPr>
        <w:pStyle w:val="ATHeading1"/>
      </w:pPr>
      <w:bookmarkStart w:id="0" w:name="TANumber"/>
      <w:r w:rsidRPr="006B5C19">
        <w:t>P9_TA(2024)00</w:t>
      </w:r>
      <w:r w:rsidR="00CD4821" w:rsidRPr="006B5C19">
        <w:t>56</w:t>
      </w:r>
      <w:bookmarkEnd w:id="0"/>
    </w:p>
    <w:p w14:paraId="1DA2AF5F" w14:textId="77777777" w:rsidR="002936DF" w:rsidRPr="006B5C19" w:rsidRDefault="002936DF" w:rsidP="002936DF">
      <w:pPr>
        <w:pStyle w:val="ATHeading2"/>
      </w:pPr>
      <w:bookmarkStart w:id="1" w:name="title"/>
      <w:r w:rsidRPr="006B5C19">
        <w:t>Eva Kailin koskemattomuuden pidättämistä koskeva pyyntö</w:t>
      </w:r>
      <w:bookmarkEnd w:id="1"/>
    </w:p>
    <w:p w14:paraId="052E7E59" w14:textId="77777777" w:rsidR="002936DF" w:rsidRPr="006B5C19" w:rsidRDefault="002936DF" w:rsidP="002936DF">
      <w:pPr>
        <w:rPr>
          <w:i/>
          <w:vanish/>
        </w:rPr>
      </w:pPr>
      <w:r w:rsidRPr="006B5C19">
        <w:rPr>
          <w:i/>
        </w:rPr>
        <w:fldChar w:fldCharType="begin"/>
      </w:r>
      <w:r w:rsidRPr="006B5C19">
        <w:rPr>
          <w:i/>
        </w:rPr>
        <w:instrText xml:space="preserve"> TC"(</w:instrText>
      </w:r>
      <w:bookmarkStart w:id="2" w:name="DocNumber"/>
      <w:r w:rsidRPr="006B5C19">
        <w:rPr>
          <w:i/>
        </w:rPr>
        <w:instrText>A9-0029/2024</w:instrText>
      </w:r>
      <w:bookmarkEnd w:id="2"/>
      <w:r w:rsidRPr="006B5C19">
        <w:rPr>
          <w:i/>
        </w:rPr>
        <w:instrText xml:space="preserve"> - Esittelijä: Ilana Cicurel)"\l3 \n&gt; \* MERGEFORMAT </w:instrText>
      </w:r>
      <w:r w:rsidRPr="006B5C19">
        <w:rPr>
          <w:i/>
        </w:rPr>
        <w:fldChar w:fldCharType="end"/>
      </w:r>
    </w:p>
    <w:p w14:paraId="63B1BD99" w14:textId="77777777" w:rsidR="002936DF" w:rsidRPr="006B5C19" w:rsidRDefault="002936DF" w:rsidP="002936DF">
      <w:pPr>
        <w:rPr>
          <w:vanish/>
        </w:rPr>
      </w:pPr>
      <w:bookmarkStart w:id="3" w:name="Commission"/>
      <w:r w:rsidRPr="006B5C19">
        <w:rPr>
          <w:vanish/>
        </w:rPr>
        <w:t>Oikeudellisten asioiden valiokunta</w:t>
      </w:r>
      <w:bookmarkEnd w:id="3"/>
    </w:p>
    <w:p w14:paraId="34C3894C" w14:textId="77777777" w:rsidR="002936DF" w:rsidRPr="006B5C19" w:rsidRDefault="002936DF" w:rsidP="002936DF">
      <w:pPr>
        <w:rPr>
          <w:vanish/>
        </w:rPr>
      </w:pPr>
      <w:bookmarkStart w:id="4" w:name="PE"/>
      <w:r w:rsidRPr="006B5C19">
        <w:rPr>
          <w:vanish/>
        </w:rPr>
        <w:t>PE749.295</w:t>
      </w:r>
      <w:bookmarkEnd w:id="4"/>
    </w:p>
    <w:p w14:paraId="4C7705F8" w14:textId="77777777" w:rsidR="002936DF" w:rsidRPr="006B5C19" w:rsidRDefault="002936DF" w:rsidP="002936DF">
      <w:pPr>
        <w:pStyle w:val="ATHeading3"/>
      </w:pPr>
      <w:bookmarkStart w:id="5" w:name="Sujet"/>
      <w:r w:rsidRPr="006B5C19">
        <w:t xml:space="preserve">Euroopan parlamentin päätös </w:t>
      </w:r>
      <w:r w:rsidR="00186DEC" w:rsidRPr="006B5C19">
        <w:t>6</w:t>
      </w:r>
      <w:r w:rsidRPr="006B5C19">
        <w:t>. helmikuuta 2024 Eva Kailin koskemattomuuden pidättämistä koskevasta pyynnöstä</w:t>
      </w:r>
      <w:bookmarkEnd w:id="5"/>
      <w:r w:rsidRPr="006B5C19">
        <w:t xml:space="preserve"> </w:t>
      </w:r>
      <w:bookmarkStart w:id="6" w:name="References"/>
      <w:r w:rsidRPr="006B5C19">
        <w:t>(2023/2007(IMM))</w:t>
      </w:r>
      <w:bookmarkEnd w:id="6"/>
    </w:p>
    <w:p w14:paraId="0D2CE160" w14:textId="77777777" w:rsidR="00A461DE" w:rsidRPr="006B5C19" w:rsidRDefault="00A461DE" w:rsidP="00A461DE">
      <w:pPr>
        <w:pStyle w:val="EPComma"/>
        <w:widowControl/>
      </w:pPr>
      <w:bookmarkStart w:id="7" w:name="TextBodyBegin"/>
      <w:bookmarkEnd w:id="7"/>
      <w:r w:rsidRPr="006B5C19">
        <w:rPr>
          <w:i/>
          <w:iCs/>
        </w:rPr>
        <w:t>Euroopan parlamentti</w:t>
      </w:r>
      <w:r w:rsidRPr="006B5C19">
        <w:t>, joka</w:t>
      </w:r>
    </w:p>
    <w:p w14:paraId="0DCED108" w14:textId="77777777" w:rsidR="00A461DE" w:rsidRPr="006B5C19" w:rsidRDefault="00A461DE" w:rsidP="00A461DE">
      <w:pPr>
        <w:widowControl/>
        <w:spacing w:after="240"/>
        <w:ind w:left="567" w:hanging="567"/>
      </w:pPr>
      <w:r w:rsidRPr="006B5C19">
        <w:t>–</w:t>
      </w:r>
      <w:r w:rsidRPr="006B5C19">
        <w:tab/>
        <w:t>ottaa huomioon Eva Kailin koskemattomuuden pidättämistä koskevan pyynnön, jonka Euroopan pääsyyttäjä toimitti 15. joulukuuta 2022 ja josta ilmoitettiin täysistunnossa 19. tammikuuta 2023,</w:t>
      </w:r>
    </w:p>
    <w:p w14:paraId="5235D960" w14:textId="77777777" w:rsidR="00A461DE" w:rsidRPr="006B5C19" w:rsidRDefault="00A461DE" w:rsidP="00A461DE">
      <w:pPr>
        <w:widowControl/>
        <w:spacing w:after="240"/>
        <w:ind w:left="567" w:hanging="567"/>
      </w:pPr>
      <w:r w:rsidRPr="006B5C19">
        <w:t>–</w:t>
      </w:r>
      <w:r w:rsidRPr="006B5C19">
        <w:tab/>
        <w:t>on kuullut Eva Kailia työjärjestyksen 9 artiklan 6 kohdan mukaisesti,</w:t>
      </w:r>
    </w:p>
    <w:p w14:paraId="76E11DED" w14:textId="77777777" w:rsidR="00A461DE" w:rsidRPr="006B5C19" w:rsidRDefault="00A461DE" w:rsidP="00A461DE">
      <w:pPr>
        <w:widowControl/>
        <w:spacing w:after="240"/>
        <w:ind w:left="567" w:hanging="567"/>
      </w:pPr>
      <w:r w:rsidRPr="006B5C19">
        <w:t>–</w:t>
      </w:r>
      <w:r w:rsidRPr="006B5C19">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3545F613" w14:textId="77777777" w:rsidR="00A461DE" w:rsidRPr="006B5C19" w:rsidRDefault="00A461DE" w:rsidP="00A461DE">
      <w:pPr>
        <w:widowControl/>
        <w:spacing w:after="240"/>
        <w:ind w:left="567" w:hanging="567"/>
      </w:pPr>
      <w:r w:rsidRPr="006B5C19">
        <w:t>–</w:t>
      </w:r>
      <w:r w:rsidRPr="006B5C19">
        <w:tab/>
        <w:t>ottaa huomioon tiiviimmän yhteistyön toteuttamisesta Euroopan syyttäjänviraston perustamisessa 12. lokakuuta 2017 annetun neuvoston asetuksen (EU) 2017/1939</w:t>
      </w:r>
      <w:r w:rsidRPr="006B5C19">
        <w:rPr>
          <w:vertAlign w:val="superscript"/>
        </w:rPr>
        <w:footnoteReference w:id="1"/>
      </w:r>
      <w:r w:rsidRPr="006B5C19">
        <w:t xml:space="preserve"> ja erityisesti sen 29 artiklan 2 kohdan,</w:t>
      </w:r>
    </w:p>
    <w:p w14:paraId="57FDFCCF" w14:textId="77777777" w:rsidR="00A461DE" w:rsidRPr="006B5C19" w:rsidRDefault="00A461DE" w:rsidP="00A461DE">
      <w:pPr>
        <w:widowControl/>
        <w:spacing w:after="240"/>
        <w:ind w:left="567" w:hanging="567"/>
      </w:pPr>
      <w:r w:rsidRPr="006B5C19">
        <w:t>–</w:t>
      </w:r>
      <w:r w:rsidRPr="006B5C19">
        <w:tab/>
        <w:t>ottaa huomioon Euroopan unionin tuomioistuimen 21. lokakuuta 2008, 19. maaliskuuta 2010, 6. syyskuuta 2011, 17. tammikuuta 2013 ja 19. joulukuuta 2019 antamat tuomiot</w:t>
      </w:r>
      <w:r w:rsidRPr="006B5C19">
        <w:rPr>
          <w:vertAlign w:val="superscript"/>
        </w:rPr>
        <w:footnoteReference w:id="2"/>
      </w:r>
      <w:r w:rsidRPr="006B5C19">
        <w:t>,</w:t>
      </w:r>
    </w:p>
    <w:p w14:paraId="45D87D19" w14:textId="77777777" w:rsidR="00A461DE" w:rsidRPr="006B5C19" w:rsidRDefault="00A461DE" w:rsidP="00A461DE">
      <w:pPr>
        <w:widowControl/>
        <w:spacing w:after="240"/>
        <w:ind w:left="567" w:hanging="567"/>
      </w:pPr>
      <w:r w:rsidRPr="006B5C19">
        <w:t>–</w:t>
      </w:r>
      <w:r w:rsidRPr="006B5C19">
        <w:tab/>
        <w:t>ottaa huomioon Helleenien tasavallan perustuslain 62 §:n,</w:t>
      </w:r>
    </w:p>
    <w:p w14:paraId="1D43F124" w14:textId="77777777" w:rsidR="00A461DE" w:rsidRPr="006B5C19" w:rsidRDefault="00A461DE" w:rsidP="00A461DE">
      <w:pPr>
        <w:widowControl/>
        <w:spacing w:after="240"/>
        <w:ind w:left="567" w:hanging="567"/>
      </w:pPr>
      <w:r w:rsidRPr="006B5C19">
        <w:t>–</w:t>
      </w:r>
      <w:r w:rsidRPr="006B5C19">
        <w:tab/>
        <w:t>ottaa huomioon työjärjestyksen 5 artiklan 2 kohdan, 6 artiklan 1 kohdan ja 9 artiklan,</w:t>
      </w:r>
    </w:p>
    <w:p w14:paraId="5286A960" w14:textId="77777777" w:rsidR="00A461DE" w:rsidRPr="006B5C19" w:rsidRDefault="00A461DE" w:rsidP="00A461DE">
      <w:pPr>
        <w:widowControl/>
        <w:spacing w:after="240"/>
        <w:ind w:left="567" w:hanging="567"/>
      </w:pPr>
      <w:r w:rsidRPr="006B5C19">
        <w:lastRenderedPageBreak/>
        <w:t>–</w:t>
      </w:r>
      <w:r w:rsidRPr="006B5C19">
        <w:tab/>
        <w:t>ottaa huomioon oikeudellisten asioiden valiokunnan mietinnön (A9-0029/2024),</w:t>
      </w:r>
    </w:p>
    <w:p w14:paraId="131CA3AA" w14:textId="77777777" w:rsidR="00A461DE" w:rsidRPr="006B5C19" w:rsidRDefault="00A461DE" w:rsidP="00A461DE">
      <w:pPr>
        <w:widowControl/>
        <w:spacing w:after="240"/>
        <w:ind w:left="567" w:hanging="567"/>
      </w:pPr>
      <w:r w:rsidRPr="006B5C19">
        <w:t>Α.</w:t>
      </w:r>
      <w:r w:rsidRPr="006B5C19">
        <w:tab/>
        <w:t>toteaa, että Euroopan pääsyyttäjä on pyytänyt Eva Kailin parlamentaarisen koskemattomuuden pidättämistä meneillään olevassa tutkinnassa, jossa häntä epäillään toistuvasti tehdystä rikoksesta eli yllyttämisestä EU:n taloudellisia etuja vahingoittavaan törkeään petokseen, joka on aiheuttanut vahinkoa, joka ylittää 120 000 euron ja 150 000 euron määrän ja josta on tuomittava vankeuteen 5–15 vuodeksi, Kreikan rikoslain 46</w:t>
      </w:r>
      <w:r w:rsidR="00186DEC" w:rsidRPr="006B5C19">
        <w:t> </w:t>
      </w:r>
      <w:r w:rsidRPr="006B5C19">
        <w:t>§:n 1 momentin, 52 §:n 2 momentin ja 98 §:n 2 momentin sekä lain 2803/2000 4</w:t>
      </w:r>
      <w:r w:rsidR="00953F17" w:rsidRPr="006B5C19">
        <w:t> </w:t>
      </w:r>
      <w:r w:rsidRPr="006B5C19">
        <w:t>§:n 1 momentin ja 4 §:n 2 momentin b kohdan nojalla, tarkasteltuina yhdessä Kreikan rikoslain 2 §:n 1 momentin ja 386 §:n 2 momentin sekä lain 4689/2020 24 §:n 2 momentin ja 26 §:n 3 momentin kanssa;</w:t>
      </w:r>
    </w:p>
    <w:p w14:paraId="4CBF77CA" w14:textId="77777777" w:rsidR="00A461DE" w:rsidRPr="006B5C19" w:rsidRDefault="00A461DE" w:rsidP="00A461DE">
      <w:pPr>
        <w:widowControl/>
        <w:spacing w:after="240"/>
        <w:ind w:left="567" w:hanging="567"/>
      </w:pPr>
      <w:r w:rsidRPr="006B5C19">
        <w:t>Β.</w:t>
      </w:r>
      <w:r w:rsidRPr="006B5C19">
        <w:tab/>
        <w:t>ottaa huomioon, että Euroopan syyttäjänviraston 1. heinäkuuta 2021 kirjaaman</w:t>
      </w:r>
      <w:r w:rsidR="00953F17" w:rsidRPr="006B5C19">
        <w:t xml:space="preserve"> Euroopan petostentorjuntaviraston</w:t>
      </w:r>
      <w:r w:rsidRPr="006B5C19">
        <w:t xml:space="preserve"> </w:t>
      </w:r>
      <w:r w:rsidR="00953F17" w:rsidRPr="006B5C19">
        <w:t>(</w:t>
      </w:r>
      <w:r w:rsidRPr="006B5C19">
        <w:t>OLAF</w:t>
      </w:r>
      <w:r w:rsidR="00953F17" w:rsidRPr="006B5C19">
        <w:t>)</w:t>
      </w:r>
      <w:r w:rsidRPr="006B5C19">
        <w:t xml:space="preserve"> kertomuksen jälkeen Kreikan valtuutettu Euroopan syyttäjä käynnisti kyseisen tutkinnan 8. syyskuuta 2021; ottaa huomioon, että asiasta vastaava valtuutettu Euroopan syyttäjä pyysi 12. marraskuuta 2021 vastuualueidensa mukaisesti OLAFia toimittamaan asiakirja-aineiston; ottaa huomioon, että analysoituaan tapauksen hän pyysi 2. helmikuuta 2022 OLAFia suorittamaan lisätutkimuksia ja kääntämään asiakirja-aineiston englannista kreikaksi 7. helmikuuta 2022; ottaa huomioon, että OLAF toimitti lopullisen kertomuksensa ja täydentävän asiakirja-aineiston 8. joulukuuta 2022 ja vastaavat kää</w:t>
      </w:r>
      <w:bookmarkStart w:id="8" w:name="_GoBack"/>
      <w:bookmarkEnd w:id="8"/>
      <w:r w:rsidRPr="006B5C19">
        <w:t>nnökset 14. joulukuuta 2022.</w:t>
      </w:r>
    </w:p>
    <w:p w14:paraId="686361B6" w14:textId="77777777" w:rsidR="00A461DE" w:rsidRPr="006B5C19" w:rsidRDefault="00A461DE" w:rsidP="00186DEC">
      <w:pPr>
        <w:widowControl/>
        <w:spacing w:after="240"/>
        <w:ind w:left="567" w:hanging="567"/>
      </w:pPr>
      <w:r w:rsidRPr="006B5C19">
        <w:t>C.</w:t>
      </w:r>
      <w:r w:rsidRPr="006B5C19">
        <w:tab/>
        <w:t>ottaa huomioon, että väitetyt sääntöjenvastaisuudet, joista Eva Kailin väitetään olleen tietoinen, liittyvät erityisesti seuraaviin seikkoihin:</w:t>
      </w:r>
    </w:p>
    <w:p w14:paraId="47A88172" w14:textId="77777777" w:rsidR="00A461DE" w:rsidRPr="006B5C19" w:rsidRDefault="00A461DE" w:rsidP="00CD4821">
      <w:pPr>
        <w:widowControl/>
        <w:spacing w:after="240"/>
        <w:ind w:left="1134" w:hanging="567"/>
      </w:pPr>
      <w:r w:rsidRPr="006B5C19">
        <w:t>a)</w:t>
      </w:r>
      <w:r w:rsidR="00186DEC" w:rsidRPr="006B5C19">
        <w:tab/>
      </w:r>
      <w:r w:rsidRPr="006B5C19">
        <w:t>yksi hänen valtuutetuista avustajistaan oli laiminlyönyt velvollisuutensa olla läsnä työpaikallaan 28. syyskuuta 2015 ja 2. heinäkuuta 2019 välisenä aikana sekä laiminlyönyt tehtäviensä hoitamisen,</w:t>
      </w:r>
    </w:p>
    <w:p w14:paraId="267AD5B2" w14:textId="77777777" w:rsidR="00A461DE" w:rsidRPr="006B5C19" w:rsidRDefault="00A461DE" w:rsidP="00CD4821">
      <w:pPr>
        <w:widowControl/>
        <w:spacing w:after="240"/>
        <w:ind w:left="1134" w:hanging="567"/>
      </w:pPr>
      <w:r w:rsidRPr="006B5C19">
        <w:t>b)</w:t>
      </w:r>
      <w:r w:rsidR="00186DEC" w:rsidRPr="006B5C19">
        <w:tab/>
      </w:r>
      <w:r w:rsidRPr="006B5C19">
        <w:t>neljä Eva Kailin valtuutettua avustajaa oli toimittanut matkamääräyspyyntöjä ja kuluilmoituksia ja nostanut korvauksia väitetysti tekemättömistä virkamatkoista, ensimmäisen tapauksessa helmikuun 2016 ja maaliskuun 2018 välisenä aikana, toisen tapauksessa 2015 toukokuun ja helmikuun 2020 välisenä aikana, kolmannen tapauksessa joulukuun 2015 ja huhtikuun 2019 välisenä aikana ja neljännen tapauksessa lokakuun 2014 ja helmikuun 2020 välisenä aikana,</w:t>
      </w:r>
    </w:p>
    <w:p w14:paraId="5164DAFD" w14:textId="77777777" w:rsidR="00A461DE" w:rsidRPr="006B5C19" w:rsidRDefault="00A461DE" w:rsidP="00CD4821">
      <w:pPr>
        <w:widowControl/>
        <w:spacing w:after="240"/>
        <w:ind w:left="1134" w:hanging="567"/>
      </w:pPr>
      <w:r w:rsidRPr="006B5C19">
        <w:t>c)</w:t>
      </w:r>
      <w:r w:rsidR="00186DEC" w:rsidRPr="006B5C19">
        <w:tab/>
      </w:r>
      <w:r w:rsidRPr="006B5C19">
        <w:t>yhden valtuutetun avustajan palkoista / virkamatkakuluista 28. syyskuuta 2015 ja 2. heinäkuuta 2019 välisenä aikana osa oli väitetysti maksettu Eva Kailille tämän pyynnöstä;</w:t>
      </w:r>
    </w:p>
    <w:p w14:paraId="25320722" w14:textId="77777777" w:rsidR="00A461DE" w:rsidRPr="006B5C19" w:rsidRDefault="00A461DE" w:rsidP="00A461DE">
      <w:pPr>
        <w:widowControl/>
        <w:spacing w:after="240"/>
        <w:ind w:left="567" w:hanging="567"/>
      </w:pPr>
      <w:r w:rsidRPr="006B5C19">
        <w:t>D.</w:t>
      </w:r>
      <w:r w:rsidRPr="006B5C19">
        <w:tab/>
        <w:t>ottaa huomioon, että parlamenttia ei voida rinnastaa tuomioistuimeen eikä parlamentin jäsentä voida pitää koskemattomuuden pidättämistä koskevassa menettelyssä ”syytettynä”</w:t>
      </w:r>
      <w:r w:rsidRPr="006B5C19">
        <w:rPr>
          <w:vertAlign w:val="superscript"/>
        </w:rPr>
        <w:footnoteReference w:id="3"/>
      </w:r>
      <w:r w:rsidRPr="006B5C19">
        <w:t>;</w:t>
      </w:r>
    </w:p>
    <w:p w14:paraId="0B487A6C" w14:textId="77777777" w:rsidR="00A461DE" w:rsidRPr="006B5C19" w:rsidRDefault="00A461DE" w:rsidP="00A461DE">
      <w:pPr>
        <w:widowControl/>
        <w:spacing w:after="240"/>
        <w:ind w:left="567" w:hanging="567"/>
      </w:pPr>
      <w:r w:rsidRPr="006B5C19">
        <w:t>E.</w:t>
      </w:r>
      <w:r w:rsidRPr="006B5C19">
        <w:tab/>
        <w:t>toteaa, että epäilty rikos ei liity Euroopan unionin erioikeuksista ja vapauksista tehdyssä pöytäkirjassa N:o 7 olevassa 8 artiklassa tarkoitettuihin, Eva Kailin Euroopan parlamentin jäsenen tehtäviään hoitaessaan ilmaisemiin mielipiteisiin tai äänestyksiin;</w:t>
      </w:r>
    </w:p>
    <w:p w14:paraId="768D3741" w14:textId="77777777" w:rsidR="00A461DE" w:rsidRPr="006B5C19" w:rsidRDefault="00A461DE" w:rsidP="00A461DE">
      <w:pPr>
        <w:widowControl/>
        <w:spacing w:after="240"/>
        <w:ind w:left="567" w:hanging="567"/>
      </w:pPr>
      <w:r w:rsidRPr="006B5C19">
        <w:lastRenderedPageBreak/>
        <w:t>F.</w:t>
      </w:r>
      <w:r w:rsidRPr="006B5C19">
        <w:tab/>
        <w:t>ottaa huomioon, että Euroopan unionin erioikeuksista ja vapauksista tehdyssä pöytäkirjassa N:o 7 olevan 9 artiklan mukaan Euroopan parlamentin jäsenillä on oman valtionsa alueella kyseisen valtion kansanedustajille myönnetty koskemattomuus;</w:t>
      </w:r>
    </w:p>
    <w:p w14:paraId="228DB765" w14:textId="77777777" w:rsidR="00A461DE" w:rsidRPr="006B5C19" w:rsidRDefault="00A461DE" w:rsidP="00A461DE">
      <w:pPr>
        <w:widowControl/>
        <w:spacing w:after="240"/>
        <w:ind w:left="567" w:hanging="567"/>
      </w:pPr>
      <w:r w:rsidRPr="006B5C19">
        <w:t>G.</w:t>
      </w:r>
      <w:r w:rsidRPr="006B5C19">
        <w:tab/>
        <w:t>ottaa huomioon, että Helleenien tasavallan perustuslain 62 §:ssä säädetään muun muassa, että vaalikauden aikana parlamentin jäseniä ei saa asettaa syytteeseen, pidättää eikä vangita eikä heihin saa kohdistaa muita pakkokeinoja ilman parlamentin ennakkoon antamaa lupaa;</w:t>
      </w:r>
    </w:p>
    <w:p w14:paraId="31C15E0E" w14:textId="77777777" w:rsidR="00A461DE" w:rsidRPr="006B5C19" w:rsidRDefault="00A461DE" w:rsidP="00A461DE">
      <w:pPr>
        <w:widowControl/>
        <w:spacing w:after="240"/>
        <w:ind w:left="567" w:hanging="567"/>
      </w:pPr>
      <w:r w:rsidRPr="006B5C19">
        <w:t>H.</w:t>
      </w:r>
      <w:r w:rsidRPr="006B5C19">
        <w:tab/>
        <w:t>ottaa huomioon, että parlamentaarisen koskemattomuuden tarkoituksena on suojella parlamenttia ja sen jäseniä oikeudenkäynneiltä, jotka liittyvät toimintaan, jota harjoitetaan hoidettaessa parlamentin jäsenten tehtäviä ja jota ei voida erottaa kyseisistä tehtävistä;</w:t>
      </w:r>
    </w:p>
    <w:p w14:paraId="62421A0C" w14:textId="77777777" w:rsidR="00A461DE" w:rsidRPr="006B5C19" w:rsidRDefault="00A461DE" w:rsidP="00186DEC">
      <w:pPr>
        <w:widowControl/>
        <w:spacing w:after="240"/>
        <w:ind w:left="567" w:hanging="567"/>
      </w:pPr>
      <w:r w:rsidRPr="006B5C19">
        <w:t>I.</w:t>
      </w:r>
      <w:r w:rsidRPr="006B5C19">
        <w:tab/>
        <w:t xml:space="preserve">toteaa, että tässä tapauksessa parlamentti ei ole löytänyt todisteita </w:t>
      </w:r>
      <w:r w:rsidRPr="006B5C19">
        <w:rPr>
          <w:i/>
        </w:rPr>
        <w:t>fumus persecutionis</w:t>
      </w:r>
      <w:r w:rsidRPr="006B5C19">
        <w:t xml:space="preserve"> -tilanteesta eli tosiseikkoja, jotka viittaisivat siihen, että kyseessä olevaan prosessiin olisi ryhdytty jäsenen poliittisen toiminnan ja siten Euroopan parlamentin vahingoittamiseksi;</w:t>
      </w:r>
    </w:p>
    <w:p w14:paraId="1CEE2BD5" w14:textId="77777777" w:rsidR="00A461DE" w:rsidRPr="006B5C19" w:rsidRDefault="00A461DE" w:rsidP="00186DEC">
      <w:pPr>
        <w:widowControl/>
        <w:spacing w:after="240"/>
        <w:ind w:left="567" w:hanging="567"/>
      </w:pPr>
      <w:r w:rsidRPr="006B5C19">
        <w:t>1.</w:t>
      </w:r>
      <w:r w:rsidRPr="006B5C19">
        <w:tab/>
        <w:t>päättää pidättää Eva Kailin koskemattomuuden;</w:t>
      </w:r>
    </w:p>
    <w:p w14:paraId="78144C50" w14:textId="77777777" w:rsidR="00E365E1" w:rsidRPr="001130D3" w:rsidRDefault="00A461DE" w:rsidP="00186DEC">
      <w:pPr>
        <w:widowControl/>
        <w:spacing w:after="240"/>
        <w:ind w:left="567" w:hanging="567"/>
      </w:pPr>
      <w:r w:rsidRPr="006B5C19">
        <w:t>2.</w:t>
      </w:r>
      <w:r w:rsidRPr="006B5C19">
        <w:tab/>
        <w:t>kehottaa puhemiestä välittämään tämän päätöksen sekä asiasta vastaavan valiokunnan mietinnön viipymättä Euroopan syyttäjänvirastolle ja Eva Kailille.</w:t>
      </w:r>
      <w:bookmarkStart w:id="9" w:name="TextBodyEnd"/>
      <w:bookmarkEnd w:id="9"/>
    </w:p>
    <w:sectPr w:rsidR="00E365E1" w:rsidRPr="001130D3" w:rsidSect="001130D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3D7A8" w14:textId="77777777" w:rsidR="002936DF" w:rsidRPr="001130D3" w:rsidRDefault="002936DF">
      <w:r w:rsidRPr="001130D3">
        <w:separator/>
      </w:r>
    </w:p>
  </w:endnote>
  <w:endnote w:type="continuationSeparator" w:id="0">
    <w:p w14:paraId="141859C2" w14:textId="77777777" w:rsidR="002936DF" w:rsidRPr="001130D3" w:rsidRDefault="002936DF">
      <w:r w:rsidRPr="001130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86549" w14:textId="77777777" w:rsidR="002936DF" w:rsidRPr="001130D3" w:rsidRDefault="002936DF">
      <w:r w:rsidRPr="001130D3">
        <w:separator/>
      </w:r>
    </w:p>
  </w:footnote>
  <w:footnote w:type="continuationSeparator" w:id="0">
    <w:p w14:paraId="024DAFCA" w14:textId="77777777" w:rsidR="002936DF" w:rsidRPr="001130D3" w:rsidRDefault="002936DF">
      <w:r w:rsidRPr="001130D3">
        <w:continuationSeparator/>
      </w:r>
    </w:p>
  </w:footnote>
  <w:footnote w:id="1">
    <w:p w14:paraId="6F650B3E" w14:textId="77777777" w:rsidR="00A461DE" w:rsidRPr="001130D3" w:rsidRDefault="00A461DE" w:rsidP="001130D3">
      <w:pPr>
        <w:pStyle w:val="FootnoteText"/>
        <w:ind w:left="567" w:hanging="567"/>
        <w:rPr>
          <w:sz w:val="24"/>
          <w:lang w:val="fi-FI"/>
        </w:rPr>
      </w:pPr>
      <w:r w:rsidRPr="001130D3">
        <w:rPr>
          <w:rStyle w:val="FootnoteReference"/>
          <w:rFonts w:eastAsia="Calibri"/>
          <w:sz w:val="24"/>
          <w:lang w:val="fi-FI"/>
        </w:rPr>
        <w:footnoteRef/>
      </w:r>
      <w:r w:rsidR="001130D3" w:rsidRPr="001130D3">
        <w:rPr>
          <w:sz w:val="24"/>
          <w:lang w:val="fi-FI"/>
        </w:rPr>
        <w:t xml:space="preserve"> </w:t>
      </w:r>
      <w:r w:rsidR="001130D3" w:rsidRPr="001130D3">
        <w:rPr>
          <w:sz w:val="24"/>
          <w:lang w:val="fi-FI"/>
        </w:rPr>
        <w:tab/>
      </w:r>
      <w:r w:rsidRPr="001130D3">
        <w:rPr>
          <w:sz w:val="24"/>
          <w:lang w:val="fi-FI"/>
        </w:rPr>
        <w:t>EUVL L 283, 31.10.2017, s. 1.</w:t>
      </w:r>
    </w:p>
  </w:footnote>
  <w:footnote w:id="2">
    <w:p w14:paraId="126D43A9" w14:textId="77777777" w:rsidR="00A461DE" w:rsidRPr="001130D3" w:rsidRDefault="00A461DE" w:rsidP="001130D3">
      <w:pPr>
        <w:pStyle w:val="FootnoteText"/>
        <w:ind w:left="567" w:hanging="567"/>
        <w:rPr>
          <w:sz w:val="24"/>
          <w:lang w:val="fi-FI"/>
        </w:rPr>
      </w:pPr>
      <w:r w:rsidRPr="001130D3">
        <w:rPr>
          <w:rStyle w:val="FootnoteReference"/>
          <w:rFonts w:eastAsia="Calibri"/>
          <w:sz w:val="24"/>
          <w:lang w:val="fi-FI"/>
        </w:rPr>
        <w:footnoteRef/>
      </w:r>
      <w:r w:rsidR="001130D3" w:rsidRPr="001130D3">
        <w:rPr>
          <w:sz w:val="24"/>
          <w:lang w:val="fi-FI"/>
        </w:rPr>
        <w:t xml:space="preserve"> </w:t>
      </w:r>
      <w:r w:rsidR="001130D3" w:rsidRPr="001130D3">
        <w:rPr>
          <w:sz w:val="24"/>
          <w:lang w:val="fi-FI"/>
        </w:rPr>
        <w:tab/>
      </w:r>
      <w:r w:rsidRPr="001130D3">
        <w:rPr>
          <w:sz w:val="24"/>
          <w:lang w:val="fi-FI"/>
        </w:rPr>
        <w:t>Yhteisöjen tuomioistuimen tuomio 21.10.2008, Marra v. De Gregorio ja Clemente, C-200/07 ja C-201/07, ECLI:EU:C:2008:579; unionin yleisen tuomioistuimen tuomio 19.3.2010, Gollnisch v. parlamentti, T-42/06, ECLI:EU:T:2010:102; unionin tuomioistuimen tuomio 6.9.2011, Patriciello, C-163/10, ECLI: EU:C:2011:543; unionin yleisen tuomioistuimen tuomio 17.1.2013, Gollnisch v. parlamentti, T-346/11 ja T-347/11, ECLI:EU:T:2013:23 sekä unionin tuomioistuimen tuomio 19.12.2019, Junqueras Vies, C-502/19, ECLI:EU:C:2019:1115.</w:t>
      </w:r>
    </w:p>
  </w:footnote>
  <w:footnote w:id="3">
    <w:p w14:paraId="04C960DF" w14:textId="77777777" w:rsidR="00A461DE" w:rsidRPr="001130D3" w:rsidRDefault="00A461DE" w:rsidP="001130D3">
      <w:pPr>
        <w:pStyle w:val="FootnoteText"/>
        <w:ind w:left="567" w:hanging="567"/>
        <w:rPr>
          <w:sz w:val="24"/>
          <w:lang w:val="fi-FI"/>
        </w:rPr>
      </w:pPr>
      <w:r w:rsidRPr="001130D3">
        <w:rPr>
          <w:rStyle w:val="FootnoteReference"/>
          <w:rFonts w:eastAsia="Calibri"/>
          <w:sz w:val="24"/>
          <w:lang w:val="fi-FI"/>
        </w:rPr>
        <w:footnoteRef/>
      </w:r>
      <w:r w:rsidR="001130D3" w:rsidRPr="001130D3">
        <w:rPr>
          <w:sz w:val="24"/>
          <w:lang w:val="fi-FI"/>
        </w:rPr>
        <w:t xml:space="preserve"> </w:t>
      </w:r>
      <w:r w:rsidR="001130D3" w:rsidRPr="001130D3">
        <w:rPr>
          <w:sz w:val="24"/>
          <w:lang w:val="fi-FI"/>
        </w:rPr>
        <w:tab/>
      </w:r>
      <w:r w:rsidRPr="001130D3">
        <w:rPr>
          <w:sz w:val="24"/>
          <w:lang w:val="fi-FI"/>
        </w:rPr>
        <w:t>Unionin yleisen tuomioistuimen tuomio 30.4.2019, Briois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FI"/>
    <w:docVar w:name="dvnumam" w:val="0"/>
    <w:docVar w:name="dvpe" w:val="749.295"/>
    <w:docVar w:name="dvrapporteur" w:val="Esittelijä: "/>
    <w:docVar w:name="dvtitre" w:val="Euroopan parlamentin päätös xx. helmikuuta 2024 Eva Kailin koskemattomuuden pidättämistä koskevasta pyynnöstä(2023/2007(IMM))"/>
  </w:docVars>
  <w:rsids>
    <w:rsidRoot w:val="002936DF"/>
    <w:rsid w:val="00002272"/>
    <w:rsid w:val="00064002"/>
    <w:rsid w:val="000677B9"/>
    <w:rsid w:val="000831BA"/>
    <w:rsid w:val="000A42CC"/>
    <w:rsid w:val="000E7DD9"/>
    <w:rsid w:val="0010095E"/>
    <w:rsid w:val="001130D3"/>
    <w:rsid w:val="00125B37"/>
    <w:rsid w:val="00186DEC"/>
    <w:rsid w:val="00187494"/>
    <w:rsid w:val="001F32AE"/>
    <w:rsid w:val="002767FF"/>
    <w:rsid w:val="002936D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5C1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F17"/>
    <w:rsid w:val="00981893"/>
    <w:rsid w:val="00A1687D"/>
    <w:rsid w:val="00A43E52"/>
    <w:rsid w:val="00A461DE"/>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82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2BD112"/>
  <w15:chartTrackingRefBased/>
  <w15:docId w15:val="{DC09E7E5-08FC-4764-8FC2-3FFE3A4E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DEC"/>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61DE"/>
    <w:pPr>
      <w:spacing w:before="480" w:after="240"/>
    </w:pPr>
  </w:style>
  <w:style w:type="paragraph" w:styleId="Footer">
    <w:name w:val="footer"/>
    <w:basedOn w:val="Normal"/>
    <w:link w:val="FooterChar"/>
    <w:rsid w:val="00186DEC"/>
    <w:pPr>
      <w:tabs>
        <w:tab w:val="center" w:pos="4513"/>
        <w:tab w:val="right" w:pos="9026"/>
      </w:tabs>
    </w:pPr>
  </w:style>
  <w:style w:type="character" w:customStyle="1" w:styleId="FooterChar">
    <w:name w:val="Footer Char"/>
    <w:basedOn w:val="DefaultParagraphFont"/>
    <w:link w:val="Footer"/>
    <w:rsid w:val="00186DEC"/>
    <w:rPr>
      <w:sz w:val="24"/>
      <w:lang w:val="fi-FI"/>
    </w:rPr>
  </w:style>
  <w:style w:type="character" w:styleId="CommentReference">
    <w:name w:val="annotation reference"/>
    <w:basedOn w:val="DefaultParagraphFont"/>
    <w:rsid w:val="00CD4821"/>
    <w:rPr>
      <w:sz w:val="16"/>
      <w:szCs w:val="16"/>
    </w:rPr>
  </w:style>
  <w:style w:type="paragraph" w:styleId="CommentText">
    <w:name w:val="annotation text"/>
    <w:basedOn w:val="Normal"/>
    <w:link w:val="CommentTextChar"/>
    <w:rsid w:val="00CD4821"/>
    <w:rPr>
      <w:sz w:val="20"/>
    </w:rPr>
  </w:style>
  <w:style w:type="character" w:customStyle="1" w:styleId="CommentTextChar">
    <w:name w:val="Comment Text Char"/>
    <w:basedOn w:val="DefaultParagraphFont"/>
    <w:link w:val="CommentText"/>
    <w:rsid w:val="00CD4821"/>
    <w:rPr>
      <w:lang w:val="fi-FI"/>
    </w:rPr>
  </w:style>
  <w:style w:type="paragraph" w:styleId="CommentSubject">
    <w:name w:val="annotation subject"/>
    <w:basedOn w:val="CommentText"/>
    <w:next w:val="CommentText"/>
    <w:link w:val="CommentSubjectChar"/>
    <w:rsid w:val="00CD4821"/>
    <w:rPr>
      <w:b/>
      <w:bCs/>
    </w:rPr>
  </w:style>
  <w:style w:type="character" w:customStyle="1" w:styleId="CommentSubjectChar">
    <w:name w:val="Comment Subject Char"/>
    <w:basedOn w:val="CommentTextChar"/>
    <w:link w:val="CommentSubject"/>
    <w:rsid w:val="00CD4821"/>
    <w:rPr>
      <w:b/>
      <w:bCs/>
      <w:lang w:val="fi-FI"/>
    </w:rPr>
  </w:style>
  <w:style w:type="paragraph" w:styleId="Revision">
    <w:name w:val="Revision"/>
    <w:hidden/>
    <w:uiPriority w:val="99"/>
    <w:semiHidden/>
    <w:rsid w:val="00CD4821"/>
    <w:rPr>
      <w:sz w:val="24"/>
      <w:lang w:val="fi-FI"/>
    </w:rPr>
  </w:style>
  <w:style w:type="paragraph" w:styleId="BalloonText">
    <w:name w:val="Balloon Text"/>
    <w:basedOn w:val="Normal"/>
    <w:link w:val="BalloonTextChar"/>
    <w:rsid w:val="00CD4821"/>
    <w:rPr>
      <w:rFonts w:ascii="Segoe UI" w:hAnsi="Segoe UI" w:cs="Segoe UI"/>
      <w:sz w:val="18"/>
      <w:szCs w:val="18"/>
    </w:rPr>
  </w:style>
  <w:style w:type="character" w:customStyle="1" w:styleId="BalloonTextChar">
    <w:name w:val="Balloon Text Char"/>
    <w:basedOn w:val="DefaultParagraphFont"/>
    <w:link w:val="BalloonText"/>
    <w:rsid w:val="00CD4821"/>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B1C82-4A15-418C-B0ED-77BE54346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689</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2024-02-06T12:22:00Z</dcterms:created>
  <dcterms:modified xsi:type="dcterms:W3CDTF">2024-02-06T12:22:00Z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A9-0029/2024</vt:lpwstr>
  </property>
  <property fmtid="{D5CDD505-2E9C-101B-9397-08002B2CF9AE}" pid="4" name="&lt;Type&gt;">
    <vt:lpwstr>RR</vt:lpwstr>
  </property>
</Properties>
</file>