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4A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4A96" w:rsidRDefault="00B37BC2" w:rsidP="0010095E">
            <w:pPr>
              <w:pStyle w:val="EPName"/>
            </w:pPr>
            <w:r w:rsidRPr="00EB4A96">
              <w:t>Europski parlament</w:t>
            </w:r>
          </w:p>
          <w:p w:rsidR="00751A4A" w:rsidRPr="00EB4A9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4A9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B4A96" w:rsidRDefault="00187494" w:rsidP="0010095E">
            <w:pPr>
              <w:pStyle w:val="EPLogo"/>
            </w:pPr>
            <w:r w:rsidRPr="00EB4A96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4A96" w:rsidRDefault="00D058B8" w:rsidP="004C5D52">
      <w:pPr>
        <w:pStyle w:val="LineTop"/>
      </w:pPr>
    </w:p>
    <w:p w:rsidR="00680577" w:rsidRPr="00EB4A96" w:rsidRDefault="00B37BC2" w:rsidP="00680577">
      <w:pPr>
        <w:pStyle w:val="EPBodyTA1"/>
      </w:pPr>
      <w:r w:rsidRPr="00EB4A96">
        <w:t>USVOJENI TEKSTOVI</w:t>
      </w:r>
    </w:p>
    <w:p w:rsidR="00D058B8" w:rsidRPr="00EB4A96" w:rsidRDefault="00D058B8" w:rsidP="00D058B8">
      <w:pPr>
        <w:pStyle w:val="LineBottom"/>
      </w:pPr>
    </w:p>
    <w:p w:rsidR="00B37BC2" w:rsidRPr="00EB4A96" w:rsidRDefault="00B37BC2" w:rsidP="00B37BC2">
      <w:pPr>
        <w:pStyle w:val="ATHeading1"/>
      </w:pPr>
      <w:bookmarkStart w:id="0" w:name="TANumber"/>
      <w:r w:rsidRPr="00EB4A96">
        <w:t>P9_TA(2024)00</w:t>
      </w:r>
      <w:bookmarkEnd w:id="0"/>
      <w:r w:rsidR="006F173D">
        <w:t>56</w:t>
      </w:r>
    </w:p>
    <w:p w:rsidR="00B37BC2" w:rsidRPr="00EB4A96" w:rsidRDefault="00A249D1" w:rsidP="00B37BC2">
      <w:pPr>
        <w:pStyle w:val="ATHeading2"/>
      </w:pPr>
      <w:bookmarkStart w:id="1" w:name="title"/>
      <w:r>
        <w:t>Zahtjev</w:t>
      </w:r>
      <w:r w:rsidR="00B37BC2" w:rsidRPr="00A249D1">
        <w:t xml:space="preserve"> za ukidanje imuniteta Evi </w:t>
      </w:r>
      <w:proofErr w:type="spellStart"/>
      <w:r w:rsidR="00B37BC2" w:rsidRPr="00A249D1">
        <w:t>Kaili</w:t>
      </w:r>
      <w:bookmarkEnd w:id="1"/>
      <w:proofErr w:type="spellEnd"/>
    </w:p>
    <w:p w:rsidR="00B37BC2" w:rsidRPr="00EB4A96" w:rsidRDefault="00B37BC2" w:rsidP="00B37BC2">
      <w:pPr>
        <w:rPr>
          <w:i/>
          <w:vanish/>
        </w:rPr>
      </w:pPr>
      <w:r w:rsidRPr="00EB4A96">
        <w:rPr>
          <w:i/>
        </w:rPr>
        <w:fldChar w:fldCharType="begin"/>
      </w:r>
      <w:r w:rsidRPr="00EB4A96">
        <w:rPr>
          <w:i/>
        </w:rPr>
        <w:instrText xml:space="preserve"> TC"(</w:instrText>
      </w:r>
      <w:bookmarkStart w:id="2" w:name="DocNumber"/>
      <w:r w:rsidRPr="00EB4A96">
        <w:rPr>
          <w:i/>
        </w:rPr>
        <w:instrText>A9-0029/2024</w:instrText>
      </w:r>
      <w:bookmarkEnd w:id="2"/>
      <w:r w:rsidRPr="00EB4A96">
        <w:rPr>
          <w:i/>
        </w:rPr>
        <w:instrText xml:space="preserve"> - Izvjestiteljica: </w:instrText>
      </w:r>
      <w:proofErr w:type="spellStart"/>
      <w:r w:rsidRPr="00EB4A96">
        <w:rPr>
          <w:i/>
        </w:rPr>
        <w:instrText>Ilana</w:instrText>
      </w:r>
      <w:proofErr w:type="spellEnd"/>
      <w:r w:rsidRPr="00EB4A96">
        <w:rPr>
          <w:i/>
        </w:rPr>
        <w:instrText xml:space="preserve"> </w:instrText>
      </w:r>
      <w:proofErr w:type="spellStart"/>
      <w:r w:rsidRPr="00EB4A96">
        <w:rPr>
          <w:i/>
        </w:rPr>
        <w:instrText>Cicurel</w:instrText>
      </w:r>
      <w:proofErr w:type="spellEnd"/>
      <w:r w:rsidRPr="00EB4A96">
        <w:rPr>
          <w:i/>
        </w:rPr>
        <w:instrText xml:space="preserve">)"\l3 \n&gt; \* MERGEFORMAT </w:instrText>
      </w:r>
      <w:r w:rsidRPr="00EB4A96">
        <w:rPr>
          <w:i/>
        </w:rPr>
        <w:fldChar w:fldCharType="end"/>
      </w:r>
    </w:p>
    <w:p w:rsidR="00B37BC2" w:rsidRPr="00EB4A96" w:rsidRDefault="00B37BC2" w:rsidP="00B37BC2">
      <w:pPr>
        <w:rPr>
          <w:vanish/>
        </w:rPr>
      </w:pPr>
      <w:bookmarkStart w:id="3" w:name="Commission"/>
      <w:r w:rsidRPr="00EB4A96">
        <w:rPr>
          <w:vanish/>
        </w:rPr>
        <w:t>Odbor za pravna pitanja</w:t>
      </w:r>
      <w:bookmarkEnd w:id="3"/>
    </w:p>
    <w:p w:rsidR="00B37BC2" w:rsidRPr="00EB4A96" w:rsidRDefault="00B37BC2" w:rsidP="00B37BC2">
      <w:pPr>
        <w:rPr>
          <w:vanish/>
        </w:rPr>
      </w:pPr>
      <w:bookmarkStart w:id="4" w:name="PE"/>
      <w:r w:rsidRPr="00EB4A96">
        <w:rPr>
          <w:vanish/>
        </w:rPr>
        <w:t>PE749.295</w:t>
      </w:r>
      <w:bookmarkEnd w:id="4"/>
    </w:p>
    <w:p w:rsidR="00B37BC2" w:rsidRPr="00EB4A96" w:rsidRDefault="00B37BC2" w:rsidP="00B37BC2">
      <w:pPr>
        <w:pStyle w:val="ATHeading3"/>
      </w:pPr>
      <w:bookmarkStart w:id="5" w:name="Sujet"/>
      <w:r w:rsidRPr="00EB4A96">
        <w:t>Odl</w:t>
      </w:r>
      <w:r w:rsidR="00A249D1">
        <w:t>uka Europskog parlamenta od 6. veljače</w:t>
      </w:r>
      <w:r w:rsidRPr="00EB4A96">
        <w:t xml:space="preserve"> 2024. o zahtjevu za ukidanje imuniteta Evi </w:t>
      </w:r>
      <w:proofErr w:type="spellStart"/>
      <w:r w:rsidRPr="00EB4A96">
        <w:t>Kaili</w:t>
      </w:r>
      <w:bookmarkEnd w:id="5"/>
      <w:proofErr w:type="spellEnd"/>
      <w:r w:rsidRPr="00EB4A96">
        <w:t xml:space="preserve"> </w:t>
      </w:r>
      <w:bookmarkStart w:id="6" w:name="References"/>
      <w:r w:rsidRPr="00EB4A96">
        <w:t>(2023/2007(IMM))</w:t>
      </w:r>
      <w:bookmarkEnd w:id="6"/>
    </w:p>
    <w:p w:rsidR="000B0063" w:rsidRPr="00EB4A96" w:rsidRDefault="000B0063" w:rsidP="000B0063">
      <w:pPr>
        <w:pStyle w:val="EPComma"/>
      </w:pPr>
      <w:bookmarkStart w:id="7" w:name="TextBodyBegin"/>
      <w:bookmarkEnd w:id="7"/>
      <w:r w:rsidRPr="00EB4A96">
        <w:rPr>
          <w:i/>
        </w:rPr>
        <w:t>Europski parlament</w:t>
      </w:r>
      <w:r w:rsidRPr="00EB4A96">
        <w:t>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>uzimajući u obzir zahtjev za ukidanje imuniteta zastupnici Evi </w:t>
      </w:r>
      <w:proofErr w:type="spellStart"/>
      <w:r w:rsidRPr="00EB4A96">
        <w:t>Kaili</w:t>
      </w:r>
      <w:proofErr w:type="spellEnd"/>
      <w:r w:rsidRPr="00EB4A96">
        <w:t xml:space="preserve"> koji je 15. prosinca 2022. podnio Ured europskog javnog tužitelja i koji je najavljen na plenarnoj sjednici 19. siječnja 2023.,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 xml:space="preserve">nakon saslušanja Eve </w:t>
      </w:r>
      <w:proofErr w:type="spellStart"/>
      <w:r w:rsidRPr="00EB4A96">
        <w:t>Kaili</w:t>
      </w:r>
      <w:proofErr w:type="spellEnd"/>
      <w:r w:rsidRPr="00EB4A96">
        <w:t xml:space="preserve"> u skladu s člankom 9. stavkom 6. Poslovnika,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>uzimajući u obzir Uredbu Vijeća (EU) 2017/1939 od 12. listopada 2017. o provedbi pojačane suradnje u vezi s osnivanjem Ureda europskog javnog tužitelja („EPPO”)</w:t>
      </w:r>
      <w:r w:rsidRPr="00EB4A96">
        <w:rPr>
          <w:vertAlign w:val="superscript"/>
        </w:rPr>
        <w:footnoteReference w:id="1"/>
      </w:r>
      <w:r w:rsidRPr="00EB4A96">
        <w:t>, a posebno njezin članak 29. stavak 2.,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>uzimajući u obzir presude Suda Europske unije od 21. listopada 2008., 19. ožujka 2010., 6. rujna 2011., 17. siječnja 2013. i 19. prosinca 2019.</w:t>
      </w:r>
      <w:r w:rsidRPr="00EB4A96">
        <w:rPr>
          <w:vertAlign w:val="superscript"/>
        </w:rPr>
        <w:footnoteReference w:id="2"/>
      </w:r>
      <w:r w:rsidRPr="00EB4A96">
        <w:t>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–</w:t>
      </w:r>
      <w:r w:rsidRPr="00EB4A96">
        <w:tab/>
        <w:t>uzimajući u obzir članak 62. Ustava Helenske Republike,</w:t>
      </w:r>
    </w:p>
    <w:p w:rsidR="000B0063" w:rsidRPr="00EB4A96" w:rsidRDefault="000B0063" w:rsidP="00A249D1">
      <w:pPr>
        <w:pStyle w:val="NormalHanging12a"/>
      </w:pPr>
      <w:r w:rsidRPr="00EB4A96">
        <w:t>–</w:t>
      </w:r>
      <w:r w:rsidRPr="00EB4A96">
        <w:tab/>
        <w:t>uzimajući u obzir članak 5. stavak 2., članak 6. stavak 1. i članak 9. Poslovnika,</w:t>
      </w:r>
    </w:p>
    <w:p w:rsidR="000B0063" w:rsidRPr="00EB4A96" w:rsidRDefault="000B0063" w:rsidP="00A249D1">
      <w:pPr>
        <w:pStyle w:val="NormalHanging12a"/>
      </w:pPr>
      <w:r w:rsidRPr="00EB4A96">
        <w:lastRenderedPageBreak/>
        <w:t>–</w:t>
      </w:r>
      <w:r w:rsidRPr="00EB4A96">
        <w:tab/>
        <w:t>uzimajući u obzir izvješće Odbora</w:t>
      </w:r>
      <w:r w:rsidR="00C043C7">
        <w:t xml:space="preserve"> za pravna pitanja (A9</w:t>
      </w:r>
      <w:r w:rsidR="00C043C7">
        <w:noBreakHyphen/>
        <w:t>0029/2024</w:t>
      </w:r>
      <w:r w:rsidRPr="00EB4A96">
        <w:t>),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Α.</w:t>
      </w:r>
      <w:r w:rsidRPr="00EB4A96">
        <w:tab/>
        <w:t xml:space="preserve">budući da je glavna europska tužiteljica podnijela zahtjev za ukidanje zastupničkog imuniteta Evi </w:t>
      </w:r>
      <w:proofErr w:type="spellStart"/>
      <w:r w:rsidRPr="00EB4A96">
        <w:t>Kaili</w:t>
      </w:r>
      <w:proofErr w:type="spellEnd"/>
      <w:r w:rsidRPr="00EB4A96">
        <w:t xml:space="preserve"> u okviru tekuće istrage činjenica koje bi mogle predstavljati teško kazneno djelo poticanja na prijevaru protiv financijskih interesa EU-a, počinjeno opetovano, što je prouzročilo štetu veću od 120 000 i 150 000 EUR, za što je predviđena kazna zatvora od 5 do 15 godina, kako je predviđeno člankom 46. stavkom 1., člankom 52. stavkom 2. i člankom 98. stavkom 2. grčkog Kaznenog zakona te člankom 4. stavkom 1. i člankom 4. stavkom 2. točkom (b) Zakona </w:t>
      </w:r>
      <w:r w:rsidR="008920DF" w:rsidRPr="00EB4A96">
        <w:t>br.</w:t>
      </w:r>
      <w:r w:rsidR="008920DF">
        <w:t xml:space="preserve"> </w:t>
      </w:r>
      <w:bookmarkStart w:id="8" w:name="_GoBack"/>
      <w:bookmarkEnd w:id="8"/>
      <w:r w:rsidRPr="00EB4A96">
        <w:t>2803/2000 u vezi s člankom 2. stavkom 1. i člankom 386. stavkom 2. grčkog Kaznenog zakona, člankom 24. stavkom 2. i člankom 26. stavkom 3. Zakona br. 4689/2020;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Β.</w:t>
      </w:r>
      <w:r w:rsidRPr="00EB4A96">
        <w:tab/>
        <w:t>budući da je nakon izvješća OLAF-a koje je Ured europskog javnog tužitelja zaprimio 1. srpnja 2021. grčki delegirani europski tužitelj 8. rujna 2021. pokrenuo predmetnu istragu; budući da je 12. studenoga 2021., u skladu sa svojom nadležnosti, delegirana europska tužiteljica zadužena za predmet zatražila od OLAF-a da dostavi dokumente u spisu predmeta; budući da je, nakon analize spisa, 2. veljače 2022. od OLAF-a zatražila dodatnu istragu, a 7. veljače 2022.  prijevod dokumenata spisa s engleskog na grčki jezik; budući da je OLAF svoje završno izvješće i popratnu dokumentaciju dostavio 8. prosinca 2022., a odgovarajuće prijevode 14. prosinca 2022.;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C.</w:t>
      </w:r>
      <w:r w:rsidRPr="00EB4A96">
        <w:tab/>
        <w:t xml:space="preserve">budući da se navodne nepravilnosti kojih je Eva </w:t>
      </w:r>
      <w:proofErr w:type="spellStart"/>
      <w:r w:rsidRPr="00EB4A96">
        <w:t>Kaili</w:t>
      </w:r>
      <w:proofErr w:type="spellEnd"/>
      <w:r w:rsidRPr="00EB4A96">
        <w:t xml:space="preserve"> bila svjesna posebno odnose na:</w:t>
      </w:r>
    </w:p>
    <w:p w:rsidR="000B0063" w:rsidRPr="00EB4A96" w:rsidRDefault="00A249D1" w:rsidP="00A249D1">
      <w:pPr>
        <w:spacing w:after="240"/>
        <w:ind w:left="1134" w:hanging="567"/>
      </w:pPr>
      <w:r>
        <w:t>a)</w:t>
      </w:r>
      <w:r>
        <w:tab/>
      </w:r>
      <w:r w:rsidR="000B0063" w:rsidRPr="00EB4A96">
        <w:t>neispunjenje obveze jedne od akreditiranih parlamentarnih asistentica da bude prisutna na radnom mjestu između 28. rujna 2015. i 2. srpnja 2019. i da obavlja svoje dužnosti,</w:t>
      </w:r>
    </w:p>
    <w:p w:rsidR="000B0063" w:rsidRPr="00EB4A96" w:rsidRDefault="00A249D1" w:rsidP="00A249D1">
      <w:pPr>
        <w:spacing w:after="240"/>
        <w:ind w:left="1134" w:hanging="567"/>
      </w:pPr>
      <w:r>
        <w:t>b)</w:t>
      </w:r>
      <w:r>
        <w:tab/>
      </w:r>
      <w:r w:rsidR="000B0063" w:rsidRPr="00EB4A96">
        <w:t xml:space="preserve">podnošenje zahtjeva za putni nalog i izjava o troškovima te primitak povrata troškova za službena putovanja koja nisu obavila četiri akreditirana parlamentarna asistenta Eve </w:t>
      </w:r>
      <w:proofErr w:type="spellStart"/>
      <w:r w:rsidR="000B0063" w:rsidRPr="00EB4A96">
        <w:t>Kaili</w:t>
      </w:r>
      <w:proofErr w:type="spellEnd"/>
      <w:r w:rsidR="000B0063" w:rsidRPr="00EB4A96">
        <w:t xml:space="preserve"> od veljače 2016. do ožujka 2018. za prvog asistenta, od svibnja 2015. do veljače 2020. za drugog, od prosinca 2015. do travnja 2019. za trećeg, te između listopada 2014. i veljače 2020. za četvrtog akreditiranog parlamentarnog asistenta,</w:t>
      </w:r>
    </w:p>
    <w:p w:rsidR="000B0063" w:rsidRPr="00EB4A96" w:rsidRDefault="00A249D1" w:rsidP="00A249D1">
      <w:pPr>
        <w:spacing w:after="240"/>
        <w:ind w:left="1134" w:hanging="567"/>
      </w:pPr>
      <w:r>
        <w:t>c)</w:t>
      </w:r>
      <w:r>
        <w:tab/>
      </w:r>
      <w:r w:rsidR="000B0063" w:rsidRPr="00EB4A96">
        <w:t xml:space="preserve">povrat dijela plaća / troškova službenih putovanja jedne akreditirane parlamentarne asistentice Evi </w:t>
      </w:r>
      <w:proofErr w:type="spellStart"/>
      <w:r w:rsidR="000B0063" w:rsidRPr="00EB4A96">
        <w:t>Kaili</w:t>
      </w:r>
      <w:proofErr w:type="spellEnd"/>
      <w:r w:rsidR="000B0063" w:rsidRPr="00EB4A96">
        <w:t xml:space="preserve"> na navodni zahtjev potonje između 28. rujna 2015. i 2. srpnja 2019.;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D.</w:t>
      </w:r>
      <w:r w:rsidRPr="00EB4A96">
        <w:tab/>
        <w:t>budući da, s jedne strane, Parlament ne može preuzeti ulogu suda te da se, s druge strane, zastupnik u kontekstu postupka ukidanja imuniteta ne može smatrati „optuženikom”</w:t>
      </w:r>
      <w:r w:rsidRPr="00EB4A96">
        <w:rPr>
          <w:vertAlign w:val="superscript"/>
        </w:rPr>
        <w:footnoteReference w:id="3"/>
      </w:r>
      <w:r w:rsidRPr="00EB4A96">
        <w:t>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E.</w:t>
      </w:r>
      <w:r w:rsidRPr="00EB4A96">
        <w:tab/>
        <w:t xml:space="preserve">budući da se navodno kazneno djelo ne odnosi na mišljenje ili glas Eve </w:t>
      </w:r>
      <w:proofErr w:type="spellStart"/>
      <w:r w:rsidRPr="00EB4A96">
        <w:t>Kaili</w:t>
      </w:r>
      <w:proofErr w:type="spellEnd"/>
      <w:r w:rsidRPr="00EB4A96">
        <w:t xml:space="preserve"> koji su dani u okviru njezina obnašanja dužnosti zastupnice u Europskom parlamentu u smislu članka 8. Protokola br. 7 o povlasticama i imunitetima Europske unije;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F.</w:t>
      </w:r>
      <w:r w:rsidRPr="00EB4A96">
        <w:tab/>
        <w:t xml:space="preserve">budući da, u skladu s člankom 9. Protokola br. 7 o povlasticama i imunitetima Europske unije, zastupnici u Europskom parlamentu na nacionalnom teritoriju svoje države imaju </w:t>
      </w:r>
      <w:r w:rsidRPr="00EB4A96">
        <w:lastRenderedPageBreak/>
        <w:t>isti imunitet koji se priznaje zastupnicima u nacionalnom parlamentu te države;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G.</w:t>
      </w:r>
      <w:r w:rsidRPr="00EB4A96">
        <w:tab/>
        <w:t>budući da se člankom 62. Ustava Helenske Republike predviđa, među ostalim, da se tijekom parlamentarnog saziva zastupnici u Parlamentu ne smiju kazneno goniti, uhititi ili zatvoriti te da im se ne smiju nametnuti druga ograničenja bez prethodnog odobrenja Parlamenta;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H.</w:t>
      </w:r>
      <w:r w:rsidRPr="00EB4A96">
        <w:tab/>
        <w:t>budući da je svrha zastupničkog imuniteta zaštititi Parlament i njegove zastupnike od sudskih postupaka u vezi s aktivnostima koje se provode pri obnašanju zastupničkih dužnosti i koje se od tih dužnosti ne mogu odvojiti;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I.</w:t>
      </w:r>
      <w:r w:rsidRPr="00EB4A96">
        <w:tab/>
        <w:t>budući da u ovom slučaju Parlament prema tome nije pronašao dokaze o postojanju</w:t>
      </w:r>
      <w:r w:rsidRPr="00EB4A96">
        <w:rPr>
          <w:i/>
        </w:rPr>
        <w:t xml:space="preserve"> </w:t>
      </w:r>
      <w:proofErr w:type="spellStart"/>
      <w:r w:rsidRPr="00EB4A96">
        <w:rPr>
          <w:i/>
        </w:rPr>
        <w:t>fumus</w:t>
      </w:r>
      <w:proofErr w:type="spellEnd"/>
      <w:r w:rsidRPr="00EB4A96">
        <w:rPr>
          <w:i/>
        </w:rPr>
        <w:t xml:space="preserve"> </w:t>
      </w:r>
      <w:proofErr w:type="spellStart"/>
      <w:r w:rsidRPr="00EB4A96">
        <w:rPr>
          <w:i/>
        </w:rPr>
        <w:t>persecutionis</w:t>
      </w:r>
      <w:proofErr w:type="spellEnd"/>
      <w:r w:rsidRPr="00EB4A96">
        <w:t>, odnosno o postojanju činjeničnih elemenata koji bi upućivali na to da se pravnim postupkom nastoji nanijeti šteta političkoj aktivnosti zastupnice, a time i Europskom parlamentu;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1.</w:t>
      </w:r>
      <w:r w:rsidRPr="00EB4A96">
        <w:tab/>
        <w:t xml:space="preserve">odlučuje ukinuti imunitet Evi </w:t>
      </w:r>
      <w:proofErr w:type="spellStart"/>
      <w:r w:rsidRPr="00EB4A96">
        <w:t>Kaili</w:t>
      </w:r>
      <w:proofErr w:type="spellEnd"/>
      <w:r w:rsidRPr="00EB4A96">
        <w:t>;</w:t>
      </w:r>
    </w:p>
    <w:p w:rsidR="000B0063" w:rsidRPr="00EB4A96" w:rsidRDefault="000B0063" w:rsidP="00A249D1">
      <w:pPr>
        <w:spacing w:after="240"/>
        <w:ind w:left="567" w:hanging="567"/>
      </w:pPr>
      <w:r w:rsidRPr="00EB4A96">
        <w:t>2.</w:t>
      </w:r>
      <w:r w:rsidRPr="00EB4A96">
        <w:tab/>
        <w:t xml:space="preserve">nalaže svojoj predsjednici da ovu odluku i izvješće nadležnog odbora odmah proslijedi Uredu europskog javnog tužitelja i Evi </w:t>
      </w:r>
      <w:proofErr w:type="spellStart"/>
      <w:r w:rsidRPr="00EB4A96">
        <w:t>Kaili</w:t>
      </w:r>
      <w:proofErr w:type="spellEnd"/>
      <w:r w:rsidRPr="00EB4A96">
        <w:t>.</w:t>
      </w:r>
    </w:p>
    <w:p w:rsidR="000B0063" w:rsidRPr="00EB4A96" w:rsidRDefault="000B0063" w:rsidP="000B0063"/>
    <w:p w:rsidR="00E365E1" w:rsidRPr="00EB4A96" w:rsidRDefault="00E365E1" w:rsidP="00B37BC2">
      <w:bookmarkStart w:id="9" w:name="TextBodyEnd"/>
      <w:bookmarkEnd w:id="9"/>
    </w:p>
    <w:sectPr w:rsidR="00E365E1" w:rsidRPr="00EB4A96" w:rsidSect="00EB4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BC2" w:rsidRPr="00EB4A96" w:rsidRDefault="00B37BC2">
      <w:r w:rsidRPr="00EB4A96">
        <w:separator/>
      </w:r>
    </w:p>
  </w:endnote>
  <w:endnote w:type="continuationSeparator" w:id="0">
    <w:p w:rsidR="00B37BC2" w:rsidRPr="00EB4A96" w:rsidRDefault="00B37BC2">
      <w:r w:rsidRPr="00EB4A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BC2" w:rsidRPr="00EB4A96" w:rsidRDefault="00B37BC2">
      <w:r w:rsidRPr="00EB4A96">
        <w:separator/>
      </w:r>
    </w:p>
  </w:footnote>
  <w:footnote w:type="continuationSeparator" w:id="0">
    <w:p w:rsidR="00B37BC2" w:rsidRPr="00EB4A96" w:rsidRDefault="00B37BC2">
      <w:r w:rsidRPr="00EB4A96">
        <w:continuationSeparator/>
      </w:r>
    </w:p>
  </w:footnote>
  <w:footnote w:id="1">
    <w:p w:rsidR="000B0063" w:rsidRPr="00EB4A96" w:rsidRDefault="000B0063" w:rsidP="00EB4A96">
      <w:pPr>
        <w:pStyle w:val="FootnoteText"/>
        <w:ind w:left="567" w:hanging="567"/>
        <w:rPr>
          <w:sz w:val="24"/>
          <w:lang w:val="hr-HR"/>
        </w:rPr>
      </w:pPr>
      <w:r w:rsidRPr="00EB4A96">
        <w:rPr>
          <w:rStyle w:val="FootnoteReference"/>
          <w:rFonts w:eastAsia="Calibri"/>
          <w:sz w:val="24"/>
          <w:lang w:val="hr-HR"/>
        </w:rPr>
        <w:footnoteRef/>
      </w:r>
      <w:r w:rsidR="00EB4A96" w:rsidRPr="00EB4A96">
        <w:rPr>
          <w:sz w:val="24"/>
          <w:lang w:val="hr-HR"/>
        </w:rPr>
        <w:t xml:space="preserve"> </w:t>
      </w:r>
      <w:r w:rsidR="00EB4A96" w:rsidRPr="00EB4A96">
        <w:rPr>
          <w:sz w:val="24"/>
          <w:lang w:val="hr-HR"/>
        </w:rPr>
        <w:tab/>
      </w:r>
      <w:r w:rsidRPr="00EB4A96">
        <w:rPr>
          <w:sz w:val="24"/>
          <w:lang w:val="hr-HR"/>
        </w:rPr>
        <w:t>SL L 283, 31.10.2017., str. 1.</w:t>
      </w:r>
    </w:p>
  </w:footnote>
  <w:footnote w:id="2">
    <w:p w:rsidR="000B0063" w:rsidRPr="00EB4A96" w:rsidRDefault="000B0063" w:rsidP="00EB4A96">
      <w:pPr>
        <w:pStyle w:val="FootnoteText"/>
        <w:ind w:left="567" w:hanging="567"/>
        <w:rPr>
          <w:sz w:val="24"/>
          <w:lang w:val="hr-HR"/>
        </w:rPr>
      </w:pPr>
      <w:r w:rsidRPr="00EB4A96">
        <w:rPr>
          <w:rStyle w:val="FootnoteReference"/>
          <w:rFonts w:eastAsia="Calibri"/>
          <w:sz w:val="24"/>
          <w:lang w:val="hr-HR"/>
        </w:rPr>
        <w:footnoteRef/>
      </w:r>
      <w:r w:rsidR="00EB4A96" w:rsidRPr="00EB4A96">
        <w:rPr>
          <w:sz w:val="24"/>
          <w:lang w:val="hr-HR"/>
        </w:rPr>
        <w:t xml:space="preserve"> </w:t>
      </w:r>
      <w:r w:rsidR="00EB4A96" w:rsidRPr="00EB4A96">
        <w:rPr>
          <w:sz w:val="24"/>
          <w:lang w:val="hr-HR"/>
        </w:rPr>
        <w:tab/>
      </w:r>
      <w:r w:rsidRPr="00EB4A96">
        <w:rPr>
          <w:sz w:val="24"/>
          <w:lang w:val="hr-HR"/>
        </w:rPr>
        <w:t xml:space="preserve">Presuda Suda od 21. listopada 2008., </w:t>
      </w:r>
      <w:proofErr w:type="spellStart"/>
      <w:r w:rsidRPr="00EB4A96">
        <w:rPr>
          <w:sz w:val="24"/>
          <w:lang w:val="hr-HR"/>
        </w:rPr>
        <w:t>Marra</w:t>
      </w:r>
      <w:proofErr w:type="spellEnd"/>
      <w:r w:rsidRPr="00EB4A96">
        <w:rPr>
          <w:sz w:val="24"/>
          <w:lang w:val="hr-HR"/>
        </w:rPr>
        <w:t xml:space="preserve">/De </w:t>
      </w:r>
      <w:proofErr w:type="spellStart"/>
      <w:r w:rsidRPr="00EB4A96">
        <w:rPr>
          <w:sz w:val="24"/>
          <w:lang w:val="hr-HR"/>
        </w:rPr>
        <w:t>Gregorio</w:t>
      </w:r>
      <w:proofErr w:type="spellEnd"/>
      <w:r w:rsidRPr="00EB4A96">
        <w:rPr>
          <w:sz w:val="24"/>
          <w:lang w:val="hr-HR"/>
        </w:rPr>
        <w:t xml:space="preserve"> i </w:t>
      </w:r>
      <w:proofErr w:type="spellStart"/>
      <w:r w:rsidRPr="00EB4A96">
        <w:rPr>
          <w:sz w:val="24"/>
          <w:lang w:val="hr-HR"/>
        </w:rPr>
        <w:t>Clemente</w:t>
      </w:r>
      <w:proofErr w:type="spellEnd"/>
      <w:r w:rsidRPr="00EB4A96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EB4A96">
        <w:rPr>
          <w:sz w:val="24"/>
          <w:lang w:val="hr-HR"/>
        </w:rPr>
        <w:t>Gollnisch</w:t>
      </w:r>
      <w:proofErr w:type="spellEnd"/>
      <w:r w:rsidRPr="00EB4A96">
        <w:rPr>
          <w:sz w:val="24"/>
          <w:lang w:val="hr-HR"/>
        </w:rPr>
        <w:t xml:space="preserve">/Parlament, T-42/06, ECLI:EU:T:2010:102; presuda Suda od 6. rujna 2011., </w:t>
      </w:r>
      <w:proofErr w:type="spellStart"/>
      <w:r w:rsidRPr="00EB4A96">
        <w:rPr>
          <w:sz w:val="24"/>
          <w:lang w:val="hr-HR"/>
        </w:rPr>
        <w:t>Patriciello</w:t>
      </w:r>
      <w:proofErr w:type="spellEnd"/>
      <w:r w:rsidRPr="00EB4A96">
        <w:rPr>
          <w:sz w:val="24"/>
          <w:lang w:val="hr-HR"/>
        </w:rPr>
        <w:t xml:space="preserve">, C 163/10, ECLI: EU:C:2011:543; presuda Općeg suda od 17. siječnja 2013., </w:t>
      </w:r>
      <w:proofErr w:type="spellStart"/>
      <w:r w:rsidRPr="00EB4A96">
        <w:rPr>
          <w:sz w:val="24"/>
          <w:lang w:val="hr-HR"/>
        </w:rPr>
        <w:t>Gollnisch</w:t>
      </w:r>
      <w:proofErr w:type="spellEnd"/>
      <w:r w:rsidRPr="00EB4A96">
        <w:rPr>
          <w:sz w:val="24"/>
          <w:lang w:val="hr-HR"/>
        </w:rPr>
        <w:t xml:space="preserve">/Parlament, T-346/11 i T-347/11, ECLI:EU:T:2013:23; presuda Suda od 19. prosinca 2019., </w:t>
      </w:r>
      <w:proofErr w:type="spellStart"/>
      <w:r w:rsidRPr="00EB4A96">
        <w:rPr>
          <w:sz w:val="24"/>
          <w:lang w:val="hr-HR"/>
        </w:rPr>
        <w:t>Junqueras</w:t>
      </w:r>
      <w:proofErr w:type="spellEnd"/>
      <w:r w:rsidRPr="00EB4A96">
        <w:rPr>
          <w:sz w:val="24"/>
          <w:lang w:val="hr-HR"/>
        </w:rPr>
        <w:t xml:space="preserve"> </w:t>
      </w:r>
      <w:proofErr w:type="spellStart"/>
      <w:r w:rsidRPr="00EB4A96">
        <w:rPr>
          <w:sz w:val="24"/>
          <w:lang w:val="hr-HR"/>
        </w:rPr>
        <w:t>Vies</w:t>
      </w:r>
      <w:proofErr w:type="spellEnd"/>
      <w:r w:rsidRPr="00EB4A96">
        <w:rPr>
          <w:sz w:val="24"/>
          <w:lang w:val="hr-HR"/>
        </w:rPr>
        <w:t>, C-502/19, ECLI:EU:C:2019:1115.</w:t>
      </w:r>
    </w:p>
  </w:footnote>
  <w:footnote w:id="3">
    <w:p w:rsidR="000B0063" w:rsidRPr="00EB4A96" w:rsidRDefault="000B0063" w:rsidP="00EB4A96">
      <w:pPr>
        <w:pStyle w:val="FootnoteText"/>
        <w:ind w:left="567" w:hanging="567"/>
        <w:rPr>
          <w:sz w:val="24"/>
          <w:lang w:val="hr-HR"/>
        </w:rPr>
      </w:pPr>
      <w:r w:rsidRPr="00EB4A96">
        <w:rPr>
          <w:rStyle w:val="FootnoteReference"/>
          <w:rFonts w:eastAsia="Calibri"/>
          <w:sz w:val="24"/>
          <w:lang w:val="hr-HR"/>
        </w:rPr>
        <w:footnoteRef/>
      </w:r>
      <w:r w:rsidR="00EB4A96" w:rsidRPr="00EB4A96">
        <w:rPr>
          <w:sz w:val="24"/>
          <w:lang w:val="hr-HR"/>
        </w:rPr>
        <w:t xml:space="preserve"> </w:t>
      </w:r>
      <w:r w:rsidR="00EB4A96" w:rsidRPr="00EB4A96">
        <w:rPr>
          <w:sz w:val="24"/>
          <w:lang w:val="hr-HR"/>
        </w:rPr>
        <w:tab/>
      </w:r>
      <w:r w:rsidRPr="00EB4A96">
        <w:rPr>
          <w:sz w:val="24"/>
          <w:lang w:val="hr-HR"/>
        </w:rPr>
        <w:t xml:space="preserve">Presuda Općeg suda od 30. travnja 2019., </w:t>
      </w:r>
      <w:proofErr w:type="spellStart"/>
      <w:r w:rsidRPr="00EB4A96">
        <w:rPr>
          <w:sz w:val="24"/>
          <w:lang w:val="hr-HR"/>
        </w:rPr>
        <w:t>Briois</w:t>
      </w:r>
      <w:proofErr w:type="spellEnd"/>
      <w:r w:rsidRPr="00EB4A96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4A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HR"/>
    <w:docVar w:name="dvnumam" w:val="0"/>
    <w:docVar w:name="dvpe" w:val="749.295"/>
    <w:docVar w:name="dvrapporteur" w:val="Izvjestiteljica: "/>
    <w:docVar w:name="dvtitre" w:val="Odluka Europskog parlamenta od .... 2024. o zahtjevu za ukidanje imuniteta Evi Kaili(2023/2007(IMM))"/>
  </w:docVars>
  <w:rsids>
    <w:rsidRoot w:val="00B37BC2"/>
    <w:rsid w:val="00002272"/>
    <w:rsid w:val="00064002"/>
    <w:rsid w:val="000677B9"/>
    <w:rsid w:val="000831BA"/>
    <w:rsid w:val="000A42CC"/>
    <w:rsid w:val="000B006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173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0DF"/>
    <w:rsid w:val="008C2AC6"/>
    <w:rsid w:val="00930C23"/>
    <w:rsid w:val="0093193B"/>
    <w:rsid w:val="009509D8"/>
    <w:rsid w:val="00950B64"/>
    <w:rsid w:val="00981893"/>
    <w:rsid w:val="00A1687D"/>
    <w:rsid w:val="00A249D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BC2"/>
    <w:rsid w:val="00B558F0"/>
    <w:rsid w:val="00BD48FE"/>
    <w:rsid w:val="00BD7BD8"/>
    <w:rsid w:val="00BE6ADC"/>
    <w:rsid w:val="00C043C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A9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0E3E2"/>
  <w15:chartTrackingRefBased/>
  <w15:docId w15:val="{A746975F-9B41-48FE-933C-FE1E59C8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B0063"/>
    <w:pPr>
      <w:spacing w:after="240"/>
      <w:ind w:left="567" w:hanging="567"/>
    </w:pPr>
  </w:style>
  <w:style w:type="paragraph" w:customStyle="1" w:styleId="EPComma">
    <w:name w:val="EPComma"/>
    <w:basedOn w:val="Normal"/>
    <w:rsid w:val="000B0063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F7FC0-4A0E-4CF6-83E1-B488EB32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794</Words>
  <Characters>4484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LL_Start</cp:lastModifiedBy>
  <cp:revision>2</cp:revision>
  <cp:lastPrinted>2004-11-19T15:42:00Z</cp:lastPrinted>
  <dcterms:created xsi:type="dcterms:W3CDTF">2024-06-13T09:58:00Z</dcterms:created>
  <dcterms:modified xsi:type="dcterms:W3CDTF">2024-06-13T09:58:00Z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