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E3BC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E3BC5" w:rsidRDefault="00612681" w:rsidP="0010095E">
            <w:pPr>
              <w:pStyle w:val="EPName"/>
            </w:pPr>
            <w:r w:rsidRPr="00EE3BC5">
              <w:t>Európai Parlament</w:t>
            </w:r>
          </w:p>
          <w:p w:rsidR="00751A4A" w:rsidRPr="00EE3BC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E3BC5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EE3BC5" w:rsidRDefault="00187494" w:rsidP="0010095E">
            <w:pPr>
              <w:pStyle w:val="EPLogo"/>
            </w:pPr>
            <w:r w:rsidRPr="00EE3BC5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E3BC5" w:rsidRDefault="00D058B8" w:rsidP="004C5D52">
      <w:pPr>
        <w:pStyle w:val="LineTop"/>
      </w:pPr>
    </w:p>
    <w:p w:rsidR="00680577" w:rsidRPr="00EE3BC5" w:rsidRDefault="00612681" w:rsidP="00680577">
      <w:pPr>
        <w:pStyle w:val="EPBodyTA1"/>
      </w:pPr>
      <w:r w:rsidRPr="00EE3BC5">
        <w:t>ELFOGADOTT SZÖVEGEK</w:t>
      </w:r>
    </w:p>
    <w:p w:rsidR="00D058B8" w:rsidRPr="00EE3BC5" w:rsidRDefault="00D058B8" w:rsidP="00D058B8">
      <w:pPr>
        <w:pStyle w:val="LineBottom"/>
      </w:pPr>
    </w:p>
    <w:p w:rsidR="00612681" w:rsidRPr="00EE3BC5" w:rsidRDefault="00612681" w:rsidP="00612681">
      <w:pPr>
        <w:pStyle w:val="ATHeading1"/>
      </w:pPr>
      <w:bookmarkStart w:id="0" w:name="TANumber"/>
      <w:r w:rsidRPr="00EE3BC5">
        <w:t>P9_</w:t>
      </w:r>
      <w:proofErr w:type="gramStart"/>
      <w:r w:rsidRPr="00EE3BC5">
        <w:t>TA(</w:t>
      </w:r>
      <w:proofErr w:type="gramEnd"/>
      <w:r w:rsidRPr="00EE3BC5">
        <w:t>2024)00</w:t>
      </w:r>
      <w:r w:rsidR="007834AA" w:rsidRPr="00EE3BC5">
        <w:t>56</w:t>
      </w:r>
      <w:bookmarkEnd w:id="0"/>
    </w:p>
    <w:p w:rsidR="00612681" w:rsidRPr="00EE3BC5" w:rsidRDefault="00A86AF0" w:rsidP="00612681">
      <w:pPr>
        <w:pStyle w:val="ATHeading2"/>
      </w:pPr>
      <w:bookmarkStart w:id="1" w:name="title"/>
      <w:r w:rsidRPr="00EE3BC5">
        <w:t xml:space="preserve">Eva </w:t>
      </w:r>
      <w:proofErr w:type="spellStart"/>
      <w:r w:rsidRPr="00EE3BC5">
        <w:t>Kaili</w:t>
      </w:r>
      <w:proofErr w:type="spellEnd"/>
      <w:r w:rsidRPr="00EE3BC5">
        <w:t xml:space="preserve"> mentelmi jogának felfüggesztésére irányuló kérelem</w:t>
      </w:r>
      <w:bookmarkEnd w:id="1"/>
    </w:p>
    <w:p w:rsidR="00612681" w:rsidRPr="00EE3BC5" w:rsidRDefault="00612681" w:rsidP="00612681">
      <w:pPr>
        <w:rPr>
          <w:i/>
          <w:vanish/>
        </w:rPr>
      </w:pPr>
      <w:r w:rsidRPr="00EE3BC5">
        <w:rPr>
          <w:i/>
        </w:rPr>
        <w:fldChar w:fldCharType="begin"/>
      </w:r>
      <w:r w:rsidRPr="00EE3BC5">
        <w:rPr>
          <w:i/>
        </w:rPr>
        <w:instrText xml:space="preserve"> TC"(</w:instrText>
      </w:r>
      <w:bookmarkStart w:id="2" w:name="DocNumber"/>
      <w:r w:rsidRPr="00EE3BC5">
        <w:rPr>
          <w:i/>
        </w:rPr>
        <w:instrText>A9-0029/2024</w:instrText>
      </w:r>
      <w:bookmarkEnd w:id="2"/>
      <w:r w:rsidRPr="00EE3BC5">
        <w:rPr>
          <w:i/>
        </w:rPr>
        <w:instrText xml:space="preserve"> - Előadó: </w:instrText>
      </w:r>
      <w:proofErr w:type="spellStart"/>
      <w:r w:rsidRPr="00EE3BC5">
        <w:rPr>
          <w:i/>
        </w:rPr>
        <w:instrText>Ilana</w:instrText>
      </w:r>
      <w:proofErr w:type="spellEnd"/>
      <w:r w:rsidRPr="00EE3BC5">
        <w:rPr>
          <w:i/>
        </w:rPr>
        <w:instrText> </w:instrText>
      </w:r>
      <w:proofErr w:type="spellStart"/>
      <w:r w:rsidRPr="00EE3BC5">
        <w:rPr>
          <w:i/>
        </w:rPr>
        <w:instrText>Cicurel</w:instrText>
      </w:r>
      <w:proofErr w:type="spellEnd"/>
      <w:r w:rsidRPr="00EE3BC5">
        <w:rPr>
          <w:i/>
        </w:rPr>
        <w:instrText xml:space="preserve">)"\l3 \n&gt; \* MERGEFORMAT </w:instrText>
      </w:r>
      <w:r w:rsidRPr="00EE3BC5">
        <w:rPr>
          <w:i/>
        </w:rPr>
        <w:fldChar w:fldCharType="end"/>
      </w:r>
    </w:p>
    <w:p w:rsidR="00612681" w:rsidRPr="00EE3BC5" w:rsidRDefault="00612681" w:rsidP="00612681">
      <w:pPr>
        <w:rPr>
          <w:vanish/>
        </w:rPr>
      </w:pPr>
      <w:bookmarkStart w:id="3" w:name="Commission"/>
      <w:r w:rsidRPr="00EE3BC5">
        <w:rPr>
          <w:vanish/>
        </w:rPr>
        <w:t>Jogi Bizottság</w:t>
      </w:r>
      <w:bookmarkEnd w:id="3"/>
    </w:p>
    <w:p w:rsidR="00612681" w:rsidRPr="00EE3BC5" w:rsidRDefault="00612681" w:rsidP="00612681">
      <w:pPr>
        <w:rPr>
          <w:vanish/>
        </w:rPr>
      </w:pPr>
      <w:bookmarkStart w:id="4" w:name="PE"/>
      <w:r w:rsidRPr="00EE3BC5">
        <w:rPr>
          <w:vanish/>
        </w:rPr>
        <w:t>PE749.295</w:t>
      </w:r>
      <w:bookmarkEnd w:id="4"/>
    </w:p>
    <w:p w:rsidR="00612681" w:rsidRPr="00EE3BC5" w:rsidRDefault="00612681" w:rsidP="00612681">
      <w:pPr>
        <w:pStyle w:val="ATHeading3"/>
      </w:pPr>
      <w:bookmarkStart w:id="5" w:name="Sujet"/>
      <w:r w:rsidRPr="00EE3BC5">
        <w:t xml:space="preserve">Az Európai Parlament 2024. </w:t>
      </w:r>
      <w:r w:rsidR="00A86AF0" w:rsidRPr="00EE3BC5">
        <w:t>február</w:t>
      </w:r>
      <w:r w:rsidRPr="00EE3BC5">
        <w:t xml:space="preserve"> </w:t>
      </w:r>
      <w:r w:rsidR="003A6316" w:rsidRPr="00EE3BC5">
        <w:t>6-</w:t>
      </w:r>
      <w:r w:rsidRPr="00EE3BC5">
        <w:t>i határozata az Eva </w:t>
      </w:r>
      <w:proofErr w:type="spellStart"/>
      <w:r w:rsidRPr="00EE3BC5">
        <w:t>Kaili</w:t>
      </w:r>
      <w:proofErr w:type="spellEnd"/>
      <w:r w:rsidRPr="00EE3BC5">
        <w:t xml:space="preserve"> mentelmi jogának felfüggesztésére irányuló kérelemről</w:t>
      </w:r>
      <w:bookmarkEnd w:id="5"/>
      <w:r w:rsidRPr="00EE3BC5">
        <w:t xml:space="preserve"> </w:t>
      </w:r>
      <w:bookmarkStart w:id="6" w:name="References"/>
      <w:r w:rsidRPr="00EE3BC5">
        <w:t>(2023/</w:t>
      </w:r>
      <w:proofErr w:type="gramStart"/>
      <w:r w:rsidRPr="00EE3BC5">
        <w:t>2007(</w:t>
      </w:r>
      <w:proofErr w:type="gramEnd"/>
      <w:r w:rsidRPr="00EE3BC5">
        <w:t>IMM))</w:t>
      </w:r>
      <w:bookmarkEnd w:id="6"/>
    </w:p>
    <w:p w:rsidR="004D09FA" w:rsidRPr="00EE3BC5" w:rsidRDefault="004D09FA" w:rsidP="004D09FA">
      <w:pPr>
        <w:pStyle w:val="EPComma"/>
      </w:pPr>
      <w:bookmarkStart w:id="7" w:name="TextBodyBegin"/>
      <w:bookmarkEnd w:id="7"/>
      <w:r w:rsidRPr="00EE3BC5">
        <w:rPr>
          <w:i/>
        </w:rPr>
        <w:t>Az Európai Parlament,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tekintettel a 2022. december 15-én az európai főügyész által eljuttatott és 2023. január 19-én a plenáris ülésen bejelentett, a</w:t>
      </w:r>
      <w:r w:rsidR="00A86AF0" w:rsidRPr="00EE3BC5">
        <w:t>z</w:t>
      </w:r>
      <w:r w:rsidRPr="00EE3BC5">
        <w:t xml:space="preserve"> Eva </w:t>
      </w:r>
      <w:proofErr w:type="spellStart"/>
      <w:r w:rsidRPr="00EE3BC5">
        <w:t>Kaili</w:t>
      </w:r>
      <w:proofErr w:type="spellEnd"/>
      <w:r w:rsidRPr="00EE3BC5">
        <w:t xml:space="preserve"> mentelmi jogának felfüggesztésére irányuló kérelemre,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miután eljárási szabályzata 9. cikke (6) bekezdésének megfelelően meghallgatta Eva </w:t>
      </w:r>
      <w:proofErr w:type="spellStart"/>
      <w:r w:rsidRPr="00EE3BC5">
        <w:t>Kailit</w:t>
      </w:r>
      <w:proofErr w:type="spellEnd"/>
      <w:r w:rsidRPr="00EE3BC5">
        <w:t>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tekintettel az Európai Unió kiváltságairól és mentességeiről szóló 7. jegyzőkönyv 8. és 9. cikkére, valamint az Európai Parlament képviselőinek közvetlen és általános választójog alapján történő választásáról szóló, 1976. szeptember 20-i okmány 6. cikkének (2) bekezdésére,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tekintettel az Európai Ügyészség létrehozására vonatkozó megerősített együttműködés bevezetéséről szóló, 2017. október 12-i (EU) 2017/1939 tanácsi rendeletre</w:t>
      </w:r>
      <w:r w:rsidRPr="00EE3BC5">
        <w:rPr>
          <w:vertAlign w:val="superscript"/>
        </w:rPr>
        <w:footnoteReference w:id="1"/>
      </w:r>
      <w:r w:rsidRPr="00EE3BC5">
        <w:t xml:space="preserve"> és különösen annak 29. cikke (2) bekezdésére,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tekintettel az Európai Unió Bírósága által 2008. október 21-én, 2010. március 19-én, 2011. szeptember 6-án, 2013. január 17-én és 2019. december 19-én hozott ítéletekre</w:t>
      </w:r>
      <w:r w:rsidRPr="00EE3BC5">
        <w:rPr>
          <w:vertAlign w:val="superscript"/>
        </w:rPr>
        <w:footnoteReference w:id="2"/>
      </w:r>
      <w:r w:rsidRPr="00EE3BC5">
        <w:t>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tekintettel az Görög Köztársaság alkotmányának 62. cikkére,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lastRenderedPageBreak/>
        <w:t>–</w:t>
      </w:r>
      <w:r w:rsidRPr="00EE3BC5">
        <w:tab/>
        <w:t>tekintettel eljárási szabályzata 5. cikkének (2) bekezdésére, 6. cikkének (1) bekezdésére és 9. cikkére,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–</w:t>
      </w:r>
      <w:r w:rsidRPr="00EE3BC5">
        <w:tab/>
        <w:t>tekintettel a Jogi Bizottság jelentésére (A9-0029/2024),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Α</w:t>
      </w:r>
      <w:proofErr w:type="gramStart"/>
      <w:r w:rsidRPr="00EE3BC5">
        <w:t>.</w:t>
      </w:r>
      <w:r w:rsidRPr="00EE3BC5">
        <w:tab/>
        <w:t>mivel egy, a vád szerint 120</w:t>
      </w:r>
      <w:r w:rsidR="00A86AF0" w:rsidRPr="00EE3BC5">
        <w:t> </w:t>
      </w:r>
      <w:proofErr w:type="gramEnd"/>
      <w:r w:rsidRPr="00EE3BC5">
        <w:t>000 EUR-t és 150</w:t>
      </w:r>
      <w:r w:rsidR="00A86AF0" w:rsidRPr="00EE3BC5">
        <w:t> </w:t>
      </w:r>
      <w:r w:rsidRPr="00EE3BC5">
        <w:t xml:space="preserve">000 EUR-t meghaladó összegű kárt okozó, az Európai Unió pénzügyi érdekeit sértő csalásra való felbujtás ismétlődően elkövetett, súlyos bűncselekményének minősülő, 5-től 15 évig terjedő szabadságvesztéssel büntethető cselekményekre vonatkozó, folyamatban lévő nyomozáshoz kapcsolódóan az európai főügyész kérte Eva </w:t>
      </w:r>
      <w:proofErr w:type="spellStart"/>
      <w:r w:rsidRPr="00EE3BC5">
        <w:t>Kaili</w:t>
      </w:r>
      <w:proofErr w:type="spellEnd"/>
      <w:r w:rsidRPr="00EE3BC5">
        <w:t xml:space="preserve"> parlamenti mentelmi jogának felfüggesztését (a vád szerint a következő jogszabályokat sértették meg: a görög büntető törvénykönyv 46. cikkének (1) bekezdése, 52. cikkének (2) bekezdése és 98. cikkének (2) bekezdése, a 2803/2000</w:t>
      </w:r>
      <w:r w:rsidR="00A2118F" w:rsidRPr="00EE3BC5">
        <w:t>. sz.</w:t>
      </w:r>
      <w:r w:rsidRPr="00EE3BC5">
        <w:t xml:space="preserve"> törvény 4. cikkének (1) bekezdése és 4. cikke (2) bekezdésének b) pontja a görög büntető törvénykönyv 2. cikkének (1) bekezdésével és 386. cikkének (2) bekezdésével összefüggésben, valamint a 4689/2020</w:t>
      </w:r>
      <w:r w:rsidR="00A2118F" w:rsidRPr="00EE3BC5">
        <w:t>. sz.</w:t>
      </w:r>
      <w:r w:rsidRPr="00EE3BC5">
        <w:t xml:space="preserve"> törvény 24. cikkének (2) bekezdése és 26. cikkének (3) bekezdése);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Β.</w:t>
      </w:r>
      <w:r w:rsidRPr="00EE3BC5">
        <w:tab/>
        <w:t>mivel az Európai Ügyészség által 2021. július 1-jén nyilvántartásba vett OLAF-jelentést követően a görög delegált európai ügyész 2021. szeptember 8-án megindította a szóban forgó nyomozást; mivel 2021. november 12-én az ügyért felelős delegált európai ügyész a feladatkörével összhangban felkérte az OLAF-</w:t>
      </w:r>
      <w:proofErr w:type="spellStart"/>
      <w:r w:rsidRPr="00EE3BC5">
        <w:t>ot</w:t>
      </w:r>
      <w:proofErr w:type="spellEnd"/>
      <w:r w:rsidRPr="00EE3BC5">
        <w:t>, hogy adja át az aktában szereplő dokumentumokat; mivel az ügy elemzését követően 2022. február 2-án további vizsgálatot kért az OLAF-</w:t>
      </w:r>
      <w:proofErr w:type="spellStart"/>
      <w:r w:rsidRPr="00EE3BC5">
        <w:t>tól</w:t>
      </w:r>
      <w:proofErr w:type="spellEnd"/>
      <w:r w:rsidRPr="00EE3BC5">
        <w:t>, és 2022. február 7-én kérte az ügy iratainak angolról görögre történő lefordítását; mivel az OLAF 2022. december 8-án benyújtotta végleges jelentését és az igazoló dokumentumokat, a kapcsolódó fordításokat pedig 2022. december 14-én továbbította;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C.</w:t>
      </w:r>
      <w:r w:rsidRPr="00EE3BC5">
        <w:tab/>
        <w:t xml:space="preserve">mivel a vád szerint Eva </w:t>
      </w:r>
      <w:proofErr w:type="spellStart"/>
      <w:r w:rsidRPr="00EE3BC5">
        <w:t>Kaili</w:t>
      </w:r>
      <w:proofErr w:type="spellEnd"/>
      <w:r w:rsidRPr="00EE3BC5">
        <w:t xml:space="preserve"> tudomásával elkövetett szabálytalanságok különösen a következőkre vonatkoznak:</w:t>
      </w:r>
    </w:p>
    <w:p w:rsidR="004D09FA" w:rsidRPr="00EE3BC5" w:rsidRDefault="004D09FA" w:rsidP="00EE3BC5">
      <w:pPr>
        <w:widowControl/>
        <w:spacing w:after="240"/>
        <w:ind w:left="1134" w:hanging="567"/>
      </w:pPr>
      <w:r w:rsidRPr="00EE3BC5">
        <w:t xml:space="preserve">a) </w:t>
      </w:r>
      <w:r w:rsidR="00A86AF0" w:rsidRPr="00EE3BC5">
        <w:tab/>
      </w:r>
      <w:r w:rsidRPr="00EE3BC5">
        <w:t>az egyik akkreditált parlamenti asszisztense (APA) 2015. szeptember 28. és 2019. július 2. között nem tett eleget azon kötelezettségének, hogy jelen legyen a munkahelyén, és nem teljesítette feladatait</w:t>
      </w:r>
      <w:r w:rsidR="00A86AF0" w:rsidRPr="00EE3BC5">
        <w:t>;</w:t>
      </w:r>
    </w:p>
    <w:p w:rsidR="004D09FA" w:rsidRPr="00EE3BC5" w:rsidRDefault="004D09FA" w:rsidP="00EE3BC5">
      <w:pPr>
        <w:widowControl/>
        <w:spacing w:after="240"/>
        <w:ind w:left="1134" w:hanging="567"/>
      </w:pPr>
      <w:r w:rsidRPr="00EE3BC5">
        <w:t xml:space="preserve">b) </w:t>
      </w:r>
      <w:r w:rsidR="00A86AF0" w:rsidRPr="00EE3BC5">
        <w:tab/>
      </w:r>
      <w:r w:rsidRPr="00EE3BC5">
        <w:t xml:space="preserve">az Eva </w:t>
      </w:r>
      <w:proofErr w:type="spellStart"/>
      <w:r w:rsidRPr="00EE3BC5">
        <w:t>Kaili</w:t>
      </w:r>
      <w:proofErr w:type="spellEnd"/>
      <w:r w:rsidRPr="00EE3BC5">
        <w:t xml:space="preserve"> négy akkreditált parlamenti asszisztense által benyújtott kiküldetési megbízások, elszámolások és költségtérítések, amelyekhez kapcsolódóan a vád szerint nem került sor tényleges kiküldetésekre (mindez az első asszisztens esetében 2016 februárja és 2018 márciusa között, a második esetében 2015 májusa és 2020 februárja között, a harmadik esetében 2015 decembere és 2019 áprilisa, a negyedik esetében pedig 2014 októbere és 2020 februárja között történt)</w:t>
      </w:r>
      <w:r w:rsidR="00A86AF0" w:rsidRPr="00EE3BC5">
        <w:t>;</w:t>
      </w:r>
    </w:p>
    <w:p w:rsidR="004D09FA" w:rsidRPr="00EE3BC5" w:rsidRDefault="004D09FA" w:rsidP="00EE3BC5">
      <w:pPr>
        <w:widowControl/>
        <w:spacing w:after="240"/>
        <w:ind w:left="1134" w:hanging="567"/>
      </w:pPr>
      <w:r w:rsidRPr="00EE3BC5">
        <w:t xml:space="preserve">c) </w:t>
      </w:r>
      <w:r w:rsidR="00A86AF0" w:rsidRPr="00EE3BC5">
        <w:tab/>
      </w:r>
      <w:r w:rsidRPr="00EE3BC5">
        <w:t xml:space="preserve">egy akkreditált parlamenti asszisztens fizetése/kiküldetési költségei egy részének kifizetése Eva </w:t>
      </w:r>
      <w:proofErr w:type="spellStart"/>
      <w:r w:rsidRPr="00EE3BC5">
        <w:t>Kaili</w:t>
      </w:r>
      <w:proofErr w:type="spellEnd"/>
      <w:r w:rsidRPr="00EE3BC5">
        <w:t xml:space="preserve"> részére, </w:t>
      </w:r>
      <w:r w:rsidR="003A6316" w:rsidRPr="00EE3BC5">
        <w:t xml:space="preserve">állítólag </w:t>
      </w:r>
      <w:r w:rsidRPr="00EE3BC5">
        <w:t>az ő kérésére, 2015. szeptember 28. és 2019. július 2. között;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lastRenderedPageBreak/>
        <w:t>D.</w:t>
      </w:r>
      <w:r w:rsidRPr="00EE3BC5">
        <w:tab/>
        <w:t>mivel egyrészről a Parlamentet nem lehet bírósághoz hasonlítani, másrészről pedig a mentelmi jog felfüggesztésére irányuló eljárásban az érintett képviselő nem tekinthető „vádlottnak”</w:t>
      </w:r>
      <w:r w:rsidRPr="00EE3BC5">
        <w:rPr>
          <w:vertAlign w:val="superscript"/>
        </w:rPr>
        <w:footnoteReference w:id="3"/>
      </w:r>
      <w:r w:rsidRPr="00EE3BC5">
        <w:t>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E.</w:t>
      </w:r>
      <w:r w:rsidRPr="00EE3BC5">
        <w:tab/>
        <w:t>mivel a feltételezett bűncselekmény nem függ össze Eva </w:t>
      </w:r>
      <w:proofErr w:type="spellStart"/>
      <w:r w:rsidRPr="00EE3BC5">
        <w:t>Kaili</w:t>
      </w:r>
      <w:proofErr w:type="spellEnd"/>
      <w:r w:rsidRPr="00EE3BC5">
        <w:t xml:space="preserve"> európai parlamenti képviselői feladatainak ellátása során kifejtett véleményével vagy leadott szavazatával az Európai Unió kiváltságairól és mentességeiről szóló 7. jegyzőkönyv 8. cikke értelmében;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F.</w:t>
      </w:r>
      <w:r w:rsidRPr="00EE3BC5">
        <w:tab/>
        <w:t>mivel az Európai Unió kiváltságairól és mentességeiről szóló 7. jegyzőkönyv 9. cikke szerint az európai parlamenti képviselők saját országuk területén az országuk parlamenti képviselőit megillető mentelmi jogot élveznek;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G.</w:t>
      </w:r>
      <w:r w:rsidRPr="00EE3BC5">
        <w:tab/>
        <w:t>mivel a Görög Köztársaság Alkotmányának 62. cikke előírja, hogy a parlamenti ciklus alatt a képviselők ellen a Parlament előzetes engedélye nélkül nem lehet büntetőeljárást indítani, sem őket letartóztatni, bebörtönözni vagy velük szemben más kényszert alkalmazni;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H.</w:t>
      </w:r>
      <w:r w:rsidRPr="00EE3BC5">
        <w:tab/>
        <w:t>mivel a parlamenti mentelmi jog célja a Parlament és képviselői megóvása a parlamenti megbízatás teljesítése során végzett és e megbízatástól elválaszthatatlan tevékenységekkel összefüggésben velük szemben kezdeményezett jogi eljárásoktól;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I.</w:t>
      </w:r>
      <w:r w:rsidRPr="00EE3BC5">
        <w:tab/>
        <w:t xml:space="preserve">mivel ebben az esetben a Parlament nem talált bizonyítékot </w:t>
      </w:r>
      <w:proofErr w:type="spellStart"/>
      <w:r w:rsidRPr="00EE3BC5">
        <w:rPr>
          <w:i/>
          <w:iCs/>
        </w:rPr>
        <w:t>fumus</w:t>
      </w:r>
      <w:proofErr w:type="spellEnd"/>
      <w:r w:rsidRPr="00EE3BC5">
        <w:rPr>
          <w:i/>
          <w:iCs/>
        </w:rPr>
        <w:t xml:space="preserve"> </w:t>
      </w:r>
      <w:proofErr w:type="spellStart"/>
      <w:r w:rsidRPr="00EE3BC5">
        <w:rPr>
          <w:i/>
          <w:iCs/>
        </w:rPr>
        <w:t>persecutionis</w:t>
      </w:r>
      <w:proofErr w:type="spellEnd"/>
      <w:r w:rsidRPr="00EE3BC5">
        <w:t xml:space="preserve"> fennállására, azaz nem merült fel arra utaló tény, hogy a szóban forgó bírósági eljárást a képviselő, következésképpen pedig az Európai Parlament politikai tevékenységének károsítására irányuló szándékkal indították volna;</w:t>
      </w:r>
    </w:p>
    <w:p w:rsidR="004D09FA" w:rsidRPr="00EE3BC5" w:rsidRDefault="004D09FA" w:rsidP="00A86AF0">
      <w:pPr>
        <w:widowControl/>
        <w:spacing w:after="240"/>
        <w:ind w:left="567" w:hanging="567"/>
      </w:pPr>
      <w:r w:rsidRPr="00EE3BC5">
        <w:t>1.</w:t>
      </w:r>
      <w:r w:rsidRPr="00EE3BC5">
        <w:tab/>
        <w:t>úgy határoz, hogy felfüggeszti Eva </w:t>
      </w:r>
      <w:proofErr w:type="spellStart"/>
      <w:r w:rsidRPr="00EE3BC5">
        <w:t>Kaili</w:t>
      </w:r>
      <w:proofErr w:type="spellEnd"/>
      <w:r w:rsidRPr="00EE3BC5">
        <w:t xml:space="preserve"> mentelmi jogát;</w:t>
      </w:r>
    </w:p>
    <w:p w:rsidR="004D09FA" w:rsidRPr="00A2540D" w:rsidRDefault="004D09FA" w:rsidP="00A86AF0">
      <w:pPr>
        <w:widowControl/>
        <w:spacing w:after="240"/>
        <w:ind w:left="567" w:hanging="567"/>
      </w:pPr>
      <w:r w:rsidRPr="00EE3BC5">
        <w:t>2.</w:t>
      </w:r>
      <w:r w:rsidRPr="00EE3BC5">
        <w:tab/>
        <w:t>utasítja elnökét, hogy haladéktalanul továbbítsa ezt a határozatot és az illetékes bizottság jelentését az Európai Ügyészségnek és Eva </w:t>
      </w:r>
      <w:proofErr w:type="spellStart"/>
      <w:r w:rsidRPr="00EE3BC5">
        <w:t>Kailinak</w:t>
      </w:r>
      <w:proofErr w:type="spellEnd"/>
      <w:r w:rsidRPr="00EE3BC5">
        <w:t>.</w:t>
      </w:r>
      <w:bookmarkStart w:id="8" w:name="_GoBack"/>
      <w:bookmarkEnd w:id="8"/>
    </w:p>
    <w:sectPr w:rsidR="004D09FA" w:rsidRPr="00A2540D" w:rsidSect="00A254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681" w:rsidRPr="00A2540D" w:rsidRDefault="00612681">
      <w:r w:rsidRPr="00A2540D">
        <w:separator/>
      </w:r>
    </w:p>
  </w:endnote>
  <w:endnote w:type="continuationSeparator" w:id="0">
    <w:p w:rsidR="00612681" w:rsidRPr="00A2540D" w:rsidRDefault="00612681">
      <w:r w:rsidRPr="00A254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54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54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54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681" w:rsidRPr="00A2540D" w:rsidRDefault="00612681">
      <w:r w:rsidRPr="00A2540D">
        <w:separator/>
      </w:r>
    </w:p>
  </w:footnote>
  <w:footnote w:type="continuationSeparator" w:id="0">
    <w:p w:rsidR="00612681" w:rsidRPr="00A2540D" w:rsidRDefault="00612681">
      <w:r w:rsidRPr="00A2540D">
        <w:continuationSeparator/>
      </w:r>
    </w:p>
  </w:footnote>
  <w:footnote w:id="1">
    <w:p w:rsidR="004D09FA" w:rsidRPr="00A2540D" w:rsidRDefault="004D09FA" w:rsidP="00A2540D">
      <w:pPr>
        <w:pStyle w:val="FootnoteText"/>
        <w:ind w:left="567" w:hanging="567"/>
        <w:rPr>
          <w:sz w:val="24"/>
          <w:lang w:val="hu-HU"/>
        </w:rPr>
      </w:pPr>
      <w:r w:rsidRPr="00A2540D">
        <w:rPr>
          <w:rStyle w:val="FootnoteReference"/>
          <w:rFonts w:eastAsia="Calibri"/>
          <w:sz w:val="24"/>
          <w:lang w:val="hu-HU"/>
        </w:rPr>
        <w:footnoteRef/>
      </w:r>
      <w:r w:rsidR="00A2540D" w:rsidRPr="00A2540D">
        <w:rPr>
          <w:sz w:val="24"/>
          <w:lang w:val="hu-HU"/>
        </w:rPr>
        <w:t xml:space="preserve"> </w:t>
      </w:r>
      <w:r w:rsidR="00A2540D" w:rsidRPr="00A2540D">
        <w:rPr>
          <w:sz w:val="24"/>
          <w:lang w:val="hu-HU"/>
        </w:rPr>
        <w:tab/>
      </w:r>
      <w:r w:rsidRPr="00A2540D">
        <w:rPr>
          <w:sz w:val="24"/>
          <w:lang w:val="hu-HU"/>
        </w:rPr>
        <w:t>HL L 283., 2017.10.31</w:t>
      </w:r>
      <w:proofErr w:type="gramStart"/>
      <w:r w:rsidRPr="00A2540D">
        <w:rPr>
          <w:sz w:val="24"/>
          <w:lang w:val="hu-HU"/>
        </w:rPr>
        <w:t>.,</w:t>
      </w:r>
      <w:proofErr w:type="gramEnd"/>
      <w:r w:rsidRPr="00A2540D">
        <w:rPr>
          <w:sz w:val="24"/>
          <w:lang w:val="hu-HU"/>
        </w:rPr>
        <w:t xml:space="preserve"> 1. o.</w:t>
      </w:r>
    </w:p>
  </w:footnote>
  <w:footnote w:id="2">
    <w:p w:rsidR="004D09FA" w:rsidRPr="00A2540D" w:rsidRDefault="004D09FA" w:rsidP="00A2540D">
      <w:pPr>
        <w:pStyle w:val="FootnoteText"/>
        <w:ind w:left="567" w:hanging="567"/>
        <w:rPr>
          <w:sz w:val="24"/>
          <w:lang w:val="hu-HU"/>
        </w:rPr>
      </w:pPr>
      <w:r w:rsidRPr="00A2540D">
        <w:rPr>
          <w:rStyle w:val="FootnoteReference"/>
          <w:rFonts w:eastAsia="Calibri"/>
          <w:sz w:val="24"/>
          <w:lang w:val="hu-HU"/>
        </w:rPr>
        <w:footnoteRef/>
      </w:r>
      <w:r w:rsidR="00A2540D" w:rsidRPr="00A2540D">
        <w:rPr>
          <w:sz w:val="24"/>
          <w:lang w:val="hu-HU"/>
        </w:rPr>
        <w:t xml:space="preserve"> </w:t>
      </w:r>
      <w:r w:rsidR="00A2540D" w:rsidRPr="00A2540D">
        <w:rPr>
          <w:sz w:val="24"/>
          <w:lang w:val="hu-HU"/>
        </w:rPr>
        <w:tab/>
      </w:r>
      <w:proofErr w:type="gramStart"/>
      <w:r w:rsidR="001402EB">
        <w:rPr>
          <w:sz w:val="24"/>
          <w:lang w:val="hu-HU"/>
        </w:rPr>
        <w:t>A</w:t>
      </w:r>
      <w:r w:rsidRPr="00A2540D">
        <w:rPr>
          <w:sz w:val="24"/>
          <w:lang w:val="hu-HU"/>
        </w:rPr>
        <w:t xml:space="preserve"> Bíróság 2008. október 21-i ítélete, Marra kontra De </w:t>
      </w:r>
      <w:proofErr w:type="spellStart"/>
      <w:r w:rsidRPr="00A2540D">
        <w:rPr>
          <w:sz w:val="24"/>
          <w:lang w:val="hu-HU"/>
        </w:rPr>
        <w:t>Gregorio</w:t>
      </w:r>
      <w:proofErr w:type="spellEnd"/>
      <w:r w:rsidRPr="00A2540D">
        <w:rPr>
          <w:sz w:val="24"/>
          <w:lang w:val="hu-HU"/>
        </w:rPr>
        <w:t xml:space="preserve"> és </w:t>
      </w:r>
      <w:proofErr w:type="spellStart"/>
      <w:r w:rsidRPr="00A2540D">
        <w:rPr>
          <w:sz w:val="24"/>
          <w:lang w:val="hu-HU"/>
        </w:rPr>
        <w:t>Clemente</w:t>
      </w:r>
      <w:proofErr w:type="spellEnd"/>
      <w:r w:rsidRPr="00A2540D">
        <w:rPr>
          <w:sz w:val="24"/>
          <w:lang w:val="hu-HU"/>
        </w:rPr>
        <w:t xml:space="preserve">, C-200/07 és C-201/07, ECLI:EU:C:2008:579; a Törvényszék 2010. március 19-i ítélete, </w:t>
      </w:r>
      <w:proofErr w:type="spellStart"/>
      <w:r w:rsidRPr="00A2540D">
        <w:rPr>
          <w:sz w:val="24"/>
          <w:lang w:val="hu-HU"/>
        </w:rPr>
        <w:t>Gollnisch</w:t>
      </w:r>
      <w:proofErr w:type="spellEnd"/>
      <w:r w:rsidRPr="00A2540D">
        <w:rPr>
          <w:sz w:val="24"/>
          <w:lang w:val="hu-HU"/>
        </w:rPr>
        <w:t xml:space="preserve"> kontra Európai Parlament, T-42/06, ECLI:EU:T:2010:102; a Bíróság 2011. szeptember 6-i ítélete, </w:t>
      </w:r>
      <w:proofErr w:type="spellStart"/>
      <w:r w:rsidRPr="00A2540D">
        <w:rPr>
          <w:sz w:val="24"/>
          <w:lang w:val="hu-HU"/>
        </w:rPr>
        <w:t>Patriciello</w:t>
      </w:r>
      <w:proofErr w:type="spellEnd"/>
      <w:r w:rsidRPr="00A2540D">
        <w:rPr>
          <w:sz w:val="24"/>
          <w:lang w:val="hu-HU"/>
        </w:rPr>
        <w:t xml:space="preserve">, C-163/10, ECLI: EU:C:2011:543; a Törvényszék 2013. január 17-i ítélete, </w:t>
      </w:r>
      <w:proofErr w:type="spellStart"/>
      <w:r w:rsidRPr="00A2540D">
        <w:rPr>
          <w:sz w:val="24"/>
          <w:lang w:val="hu-HU"/>
        </w:rPr>
        <w:t>Gollnisch</w:t>
      </w:r>
      <w:proofErr w:type="spellEnd"/>
      <w:r w:rsidRPr="00A2540D">
        <w:rPr>
          <w:sz w:val="24"/>
          <w:lang w:val="hu-HU"/>
        </w:rPr>
        <w:t xml:space="preserve"> kontra Parlament, T-346/11 és T-347/11, ECLI:EU:T:2013:23; a Bíróság 2019. december 19-i ítélete, </w:t>
      </w:r>
      <w:proofErr w:type="spellStart"/>
      <w:r w:rsidRPr="00A2540D">
        <w:rPr>
          <w:sz w:val="24"/>
          <w:lang w:val="hu-HU"/>
        </w:rPr>
        <w:t>Junqueras</w:t>
      </w:r>
      <w:proofErr w:type="spellEnd"/>
      <w:r w:rsidRPr="00A2540D">
        <w:rPr>
          <w:sz w:val="24"/>
          <w:lang w:val="hu-HU"/>
        </w:rPr>
        <w:t xml:space="preserve"> </w:t>
      </w:r>
      <w:proofErr w:type="spellStart"/>
      <w:r w:rsidRPr="00A2540D">
        <w:rPr>
          <w:sz w:val="24"/>
          <w:lang w:val="hu-HU"/>
        </w:rPr>
        <w:t>Vies</w:t>
      </w:r>
      <w:proofErr w:type="spellEnd"/>
      <w:r w:rsidRPr="00A2540D">
        <w:rPr>
          <w:sz w:val="24"/>
          <w:lang w:val="hu-HU"/>
        </w:rPr>
        <w:t>, C-502/19, ECLI:EU:C:2019:1115.</w:t>
      </w:r>
      <w:proofErr w:type="gramEnd"/>
    </w:p>
  </w:footnote>
  <w:footnote w:id="3">
    <w:p w:rsidR="004D09FA" w:rsidRPr="00A2540D" w:rsidRDefault="004D09FA" w:rsidP="00A2540D">
      <w:pPr>
        <w:pStyle w:val="FootnoteText"/>
        <w:ind w:left="567" w:hanging="567"/>
        <w:rPr>
          <w:sz w:val="24"/>
          <w:lang w:val="hu-HU"/>
        </w:rPr>
      </w:pPr>
      <w:r w:rsidRPr="00A2540D">
        <w:rPr>
          <w:rStyle w:val="FootnoteReference"/>
          <w:rFonts w:eastAsia="Calibri"/>
          <w:sz w:val="24"/>
          <w:lang w:val="hu-HU"/>
        </w:rPr>
        <w:footnoteRef/>
      </w:r>
      <w:r w:rsidR="00A2540D" w:rsidRPr="00A2540D">
        <w:rPr>
          <w:sz w:val="24"/>
          <w:lang w:val="hu-HU"/>
        </w:rPr>
        <w:t xml:space="preserve"> </w:t>
      </w:r>
      <w:r w:rsidR="00A2540D" w:rsidRPr="00A2540D">
        <w:rPr>
          <w:sz w:val="24"/>
          <w:lang w:val="hu-HU"/>
        </w:rPr>
        <w:tab/>
      </w:r>
      <w:r w:rsidRPr="00A2540D">
        <w:rPr>
          <w:sz w:val="24"/>
          <w:lang w:val="hu-HU"/>
        </w:rPr>
        <w:t xml:space="preserve">A Törvényszék 2019. április 30-i </w:t>
      </w:r>
      <w:proofErr w:type="spellStart"/>
      <w:r w:rsidRPr="00A2540D">
        <w:rPr>
          <w:sz w:val="24"/>
          <w:lang w:val="hu-HU"/>
        </w:rPr>
        <w:t>Briois</w:t>
      </w:r>
      <w:proofErr w:type="spellEnd"/>
      <w:r w:rsidRPr="00A2540D">
        <w:rPr>
          <w:sz w:val="24"/>
          <w:lang w:val="hu-HU"/>
        </w:rPr>
        <w:t xml:space="preserve"> kontra Európai Parlament ítélete, T-214/18, ECLI</w:t>
      </w:r>
      <w:proofErr w:type="gramStart"/>
      <w:r w:rsidRPr="00A2540D">
        <w:rPr>
          <w:sz w:val="24"/>
          <w:lang w:val="hu-HU"/>
        </w:rPr>
        <w:t>:EU</w:t>
      </w:r>
      <w:proofErr w:type="gramEnd"/>
      <w:r w:rsidRPr="00A2540D">
        <w:rPr>
          <w:sz w:val="24"/>
          <w:lang w:val="hu-HU"/>
        </w:rPr>
        <w:t>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54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54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254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9/2024"/>
    <w:docVar w:name="dvlangue" w:val="HU"/>
    <w:docVar w:name="dvnumam" w:val="0"/>
    <w:docVar w:name="dvpe" w:val="749.295"/>
    <w:docVar w:name="dvrapporteur" w:val="Előadó: "/>
    <w:docVar w:name="dvtitre" w:val="Az Európai Parlament 2024.  ...-i határozata az Eva Kaili mentelmi jogának felfüggesztésére irányuló kérelemről(2023/2007(IMM))"/>
  </w:docVars>
  <w:rsids>
    <w:rsidRoot w:val="00612681"/>
    <w:rsid w:val="00002272"/>
    <w:rsid w:val="00064002"/>
    <w:rsid w:val="000677B9"/>
    <w:rsid w:val="000831BA"/>
    <w:rsid w:val="000A42CC"/>
    <w:rsid w:val="000E7DD9"/>
    <w:rsid w:val="0010095E"/>
    <w:rsid w:val="00125B37"/>
    <w:rsid w:val="001402EB"/>
    <w:rsid w:val="00187494"/>
    <w:rsid w:val="001F32AE"/>
    <w:rsid w:val="002767FF"/>
    <w:rsid w:val="002B18FE"/>
    <w:rsid w:val="002B5493"/>
    <w:rsid w:val="00343214"/>
    <w:rsid w:val="00361C00"/>
    <w:rsid w:val="00395FA1"/>
    <w:rsid w:val="003A631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9FA"/>
    <w:rsid w:val="0050519A"/>
    <w:rsid w:val="005072A1"/>
    <w:rsid w:val="00514517"/>
    <w:rsid w:val="00545827"/>
    <w:rsid w:val="00560270"/>
    <w:rsid w:val="005C2568"/>
    <w:rsid w:val="005E1CCA"/>
    <w:rsid w:val="006037C0"/>
    <w:rsid w:val="0061268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34AA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18F"/>
    <w:rsid w:val="00A2540D"/>
    <w:rsid w:val="00A43E52"/>
    <w:rsid w:val="00A4678D"/>
    <w:rsid w:val="00A778C7"/>
    <w:rsid w:val="00A86AF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BC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7C4416"/>
  <w15:chartTrackingRefBased/>
  <w15:docId w15:val="{FC5B4EF8-E7C8-4B16-9CE7-4D7A984E5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D09FA"/>
    <w:pPr>
      <w:spacing w:before="480" w:after="240"/>
    </w:pPr>
  </w:style>
  <w:style w:type="paragraph" w:styleId="BalloonText">
    <w:name w:val="Balloon Text"/>
    <w:basedOn w:val="Normal"/>
    <w:link w:val="BalloonTextChar"/>
    <w:rsid w:val="00A86A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86AF0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46216-9E33-4099-9F7B-BD14E6BE7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748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2024-02-06T12:06:00Z</dcterms:created>
  <dcterms:modified xsi:type="dcterms:W3CDTF">2024-02-06T12:06:00Z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A9-0029/2024</vt:lpwstr>
  </property>
  <property fmtid="{D5CDD505-2E9C-101B-9397-08002B2CF9AE}" pid="4" name="&lt;Type&gt;">
    <vt:lpwstr>RR</vt:lpwstr>
  </property>
</Properties>
</file>