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72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727F" w:rsidRDefault="000C0C3C" w:rsidP="0010095E">
            <w:pPr>
              <w:pStyle w:val="EPName"/>
            </w:pPr>
            <w:bookmarkStart w:id="0" w:name="_GoBack"/>
            <w:bookmarkEnd w:id="0"/>
            <w:r w:rsidRPr="00AC727F">
              <w:t>Parlamento europeo</w:t>
            </w:r>
          </w:p>
          <w:p w:rsidR="00751A4A" w:rsidRPr="00AC727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727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727F" w:rsidRDefault="00187494" w:rsidP="0010095E">
            <w:pPr>
              <w:pStyle w:val="EPLogo"/>
            </w:pPr>
            <w:r w:rsidRPr="00AC72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727F" w:rsidRDefault="00D058B8" w:rsidP="004C5D52">
      <w:pPr>
        <w:pStyle w:val="LineTop"/>
      </w:pPr>
    </w:p>
    <w:p w:rsidR="00680577" w:rsidRPr="00AC727F" w:rsidRDefault="000C0C3C" w:rsidP="00680577">
      <w:pPr>
        <w:pStyle w:val="EPBodyTA1"/>
      </w:pPr>
      <w:r w:rsidRPr="00AC727F">
        <w:t>TESTI APPROVATI</w:t>
      </w:r>
    </w:p>
    <w:p w:rsidR="00D058B8" w:rsidRPr="00AC727F" w:rsidRDefault="00D058B8" w:rsidP="00D058B8">
      <w:pPr>
        <w:pStyle w:val="LineBottom"/>
      </w:pPr>
    </w:p>
    <w:p w:rsidR="000C0C3C" w:rsidRPr="00AC727F" w:rsidRDefault="000C0C3C" w:rsidP="000C0C3C">
      <w:pPr>
        <w:pStyle w:val="ATHeading1"/>
      </w:pPr>
      <w:bookmarkStart w:id="1" w:name="TANumber"/>
      <w:r w:rsidRPr="00AC727F">
        <w:t>P9_</w:t>
      </w:r>
      <w:proofErr w:type="gramStart"/>
      <w:r w:rsidRPr="00AC727F">
        <w:t>TA(</w:t>
      </w:r>
      <w:proofErr w:type="gramEnd"/>
      <w:r w:rsidRPr="00AC727F">
        <w:t>2024)00</w:t>
      </w:r>
      <w:bookmarkEnd w:id="1"/>
      <w:r w:rsidR="00AC727F" w:rsidRPr="00AC727F">
        <w:t>56</w:t>
      </w:r>
    </w:p>
    <w:p w:rsidR="000C0C3C" w:rsidRPr="00AC727F" w:rsidRDefault="000C0C3C" w:rsidP="000C0C3C">
      <w:pPr>
        <w:pStyle w:val="ATHeading2"/>
      </w:pPr>
      <w:bookmarkStart w:id="2" w:name="title"/>
      <w:r w:rsidRPr="00AC727F">
        <w:t xml:space="preserve">Richiesta di revoca dell'immunità di Eva </w:t>
      </w:r>
      <w:proofErr w:type="spellStart"/>
      <w:r w:rsidRPr="00AC727F">
        <w:t>Kaili</w:t>
      </w:r>
      <w:bookmarkEnd w:id="2"/>
      <w:proofErr w:type="spellEnd"/>
    </w:p>
    <w:p w:rsidR="000C0C3C" w:rsidRPr="00AC727F" w:rsidRDefault="000C0C3C" w:rsidP="000C0C3C">
      <w:pPr>
        <w:rPr>
          <w:i/>
          <w:vanish/>
        </w:rPr>
      </w:pPr>
      <w:r w:rsidRPr="00AC727F">
        <w:rPr>
          <w:i/>
        </w:rPr>
        <w:fldChar w:fldCharType="begin"/>
      </w:r>
      <w:r w:rsidRPr="00AC727F">
        <w:rPr>
          <w:i/>
        </w:rPr>
        <w:instrText xml:space="preserve"> TC"(</w:instrText>
      </w:r>
      <w:bookmarkStart w:id="3" w:name="DocNumber"/>
      <w:r w:rsidRPr="00AC727F">
        <w:rPr>
          <w:i/>
        </w:rPr>
        <w:instrText>A9-0029/2024</w:instrText>
      </w:r>
      <w:bookmarkEnd w:id="3"/>
      <w:r w:rsidRPr="00AC727F">
        <w:rPr>
          <w:i/>
        </w:rPr>
        <w:instrText xml:space="preserve"> - Relatrice: </w:instrText>
      </w:r>
      <w:proofErr w:type="spellStart"/>
      <w:r w:rsidRPr="00AC727F">
        <w:rPr>
          <w:i/>
        </w:rPr>
        <w:instrText>Ilana</w:instrText>
      </w:r>
      <w:proofErr w:type="spellEnd"/>
      <w:r w:rsidRPr="00AC727F">
        <w:rPr>
          <w:i/>
        </w:rPr>
        <w:instrText> </w:instrText>
      </w:r>
      <w:proofErr w:type="spellStart"/>
      <w:r w:rsidRPr="00AC727F">
        <w:rPr>
          <w:i/>
        </w:rPr>
        <w:instrText>Cicurel</w:instrText>
      </w:r>
      <w:proofErr w:type="spellEnd"/>
      <w:r w:rsidRPr="00AC727F">
        <w:rPr>
          <w:i/>
        </w:rPr>
        <w:instrText xml:space="preserve">)"\l3 \n&gt; \* MERGEFORMAT </w:instrText>
      </w:r>
      <w:r w:rsidRPr="00AC727F">
        <w:rPr>
          <w:i/>
        </w:rPr>
        <w:fldChar w:fldCharType="end"/>
      </w:r>
    </w:p>
    <w:p w:rsidR="000C0C3C" w:rsidRPr="00AC727F" w:rsidRDefault="000C0C3C" w:rsidP="000C0C3C">
      <w:pPr>
        <w:rPr>
          <w:vanish/>
        </w:rPr>
      </w:pPr>
      <w:bookmarkStart w:id="4" w:name="Commission"/>
      <w:r w:rsidRPr="00AC727F">
        <w:rPr>
          <w:vanish/>
        </w:rPr>
        <w:t>Commissione giuridica</w:t>
      </w:r>
      <w:bookmarkEnd w:id="4"/>
    </w:p>
    <w:p w:rsidR="000C0C3C" w:rsidRPr="00AC727F" w:rsidRDefault="000C0C3C" w:rsidP="000C0C3C">
      <w:pPr>
        <w:rPr>
          <w:vanish/>
        </w:rPr>
      </w:pPr>
      <w:bookmarkStart w:id="5" w:name="PE"/>
      <w:r w:rsidRPr="00AC727F">
        <w:rPr>
          <w:vanish/>
        </w:rPr>
        <w:t>PE749.295</w:t>
      </w:r>
      <w:bookmarkEnd w:id="5"/>
    </w:p>
    <w:p w:rsidR="000C0C3C" w:rsidRPr="00AC727F" w:rsidRDefault="000C0C3C" w:rsidP="004A7A59">
      <w:pPr>
        <w:pStyle w:val="ATHeading3"/>
      </w:pPr>
      <w:bookmarkStart w:id="6" w:name="Sujet"/>
      <w:r w:rsidRPr="00AC727F">
        <w:t>Decisione del Parlamento europeo del 6 febbraio 2024 sulla richiesta di revoca dell'immunità di Eva </w:t>
      </w:r>
      <w:proofErr w:type="spellStart"/>
      <w:r w:rsidRPr="00AC727F">
        <w:t>Kaili</w:t>
      </w:r>
      <w:bookmarkEnd w:id="6"/>
      <w:proofErr w:type="spellEnd"/>
      <w:r w:rsidRPr="00AC727F">
        <w:t xml:space="preserve"> </w:t>
      </w:r>
      <w:bookmarkStart w:id="7" w:name="References"/>
      <w:r w:rsidRPr="00AC727F">
        <w:t>(2023/2007(IMM))</w:t>
      </w:r>
      <w:bookmarkEnd w:id="7"/>
    </w:p>
    <w:p w:rsidR="00E16F9B" w:rsidRPr="00AC727F" w:rsidRDefault="00E16F9B" w:rsidP="00E16F9B">
      <w:pPr>
        <w:pStyle w:val="EPComma"/>
      </w:pPr>
      <w:bookmarkStart w:id="8" w:name="TextBodyBegin"/>
      <w:bookmarkEnd w:id="8"/>
      <w:r w:rsidRPr="00AC727F">
        <w:rPr>
          <w:i/>
        </w:rPr>
        <w:t>Il Parlamento europeo</w:t>
      </w:r>
      <w:r w:rsidRPr="00AC727F">
        <w:t>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–</w:t>
      </w:r>
      <w:r w:rsidRPr="00AC727F">
        <w:tab/>
        <w:t xml:space="preserve">vista la richiesta di revoca dell'immunità di Eva </w:t>
      </w:r>
      <w:proofErr w:type="spellStart"/>
      <w:r w:rsidRPr="00AC727F">
        <w:t>Kaili</w:t>
      </w:r>
      <w:proofErr w:type="spellEnd"/>
      <w:r w:rsidRPr="00AC727F">
        <w:t>, trasmessa dal Procuratore capo europeo, in data 15 dicembre 2022, e comunicata in Aula il 19 gennaio 2023,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–</w:t>
      </w:r>
      <w:r w:rsidRPr="00AC727F">
        <w:tab/>
        <w:t>avendo ascoltato Eva </w:t>
      </w:r>
      <w:proofErr w:type="spellStart"/>
      <w:r w:rsidRPr="00AC727F">
        <w:t>Kaili</w:t>
      </w:r>
      <w:proofErr w:type="spellEnd"/>
      <w:r w:rsidRPr="00AC727F">
        <w:t>, a norma dell'articolo 9, paragrafo 6, del suo regolamento,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–</w:t>
      </w:r>
      <w:r w:rsidRPr="00AC727F">
        <w:tab/>
        <w:t>visti gli articoli 8 e 9 del protocollo n. 7 sui privilegi e sulle immunità dell'Unione europea e l'articolo 6, paragrafo 2, dell'atto relativo all'elezione dei membri del Parlamento europeo a suffragio universale diretto, del 20 settembre 1976,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–</w:t>
      </w:r>
      <w:r w:rsidRPr="00AC727F">
        <w:tab/>
        <w:t>visto il regolamento (UE) 2017/1939 del Consiglio, del 12 ottobre 2017, relativo all'attuazione di una cooperazione rafforzata sull'istituzione della Procura europea ("EPPO")</w:t>
      </w:r>
      <w:r w:rsidRPr="00AC727F">
        <w:rPr>
          <w:vertAlign w:val="superscript"/>
        </w:rPr>
        <w:footnoteReference w:id="1"/>
      </w:r>
      <w:r w:rsidRPr="00AC727F">
        <w:t>, in particolare l'articolo 29, paragrafo 2,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–</w:t>
      </w:r>
      <w:r w:rsidRPr="00AC727F">
        <w:tab/>
        <w:t>viste le sentenze pronunciate dalla Corte di giustizia dell'Unione europea il 21 ottobre 2008, 19 marzo 2010, 6 settembre 2011, 17 gennaio 2013 e 19 dicembre 2019</w:t>
      </w:r>
      <w:r w:rsidRPr="00AC727F">
        <w:rPr>
          <w:vertAlign w:val="superscript"/>
        </w:rPr>
        <w:footnoteReference w:id="2"/>
      </w:r>
      <w:r w:rsidRPr="00AC727F">
        <w:t>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–</w:t>
      </w:r>
      <w:r w:rsidRPr="00AC727F">
        <w:tab/>
        <w:t>visto l'articolo 62 della Costituzione della Repubblica ellenica,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–</w:t>
      </w:r>
      <w:r w:rsidRPr="00AC727F">
        <w:tab/>
        <w:t>visti l'articolo 5, paragrafo 2, l'articolo 6, paragrafo 1, e l'articolo 9 del suo regolamento,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lastRenderedPageBreak/>
        <w:t>–</w:t>
      </w:r>
      <w:r w:rsidRPr="00AC727F">
        <w:tab/>
        <w:t>vista la relazione della commissione giuridica (A9</w:t>
      </w:r>
      <w:r w:rsidRPr="00AC727F">
        <w:noBreakHyphen/>
        <w:t>0029/2024),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Α.</w:t>
      </w:r>
      <w:r w:rsidRPr="00AC727F">
        <w:tab/>
        <w:t>considerando che l</w:t>
      </w:r>
      <w:r w:rsidR="004A7A59" w:rsidRPr="00AC727F">
        <w:t>a</w:t>
      </w:r>
      <w:r w:rsidRPr="00AC727F">
        <w:t xml:space="preserve"> </w:t>
      </w:r>
      <w:r w:rsidR="004A7A59" w:rsidRPr="00AC727F">
        <w:t>p</w:t>
      </w:r>
      <w:r w:rsidRPr="00AC727F">
        <w:t>rocuratr</w:t>
      </w:r>
      <w:r w:rsidR="004A7A59" w:rsidRPr="00AC727F">
        <w:t>ic</w:t>
      </w:r>
      <w:r w:rsidRPr="00AC727F">
        <w:t>e capo europe</w:t>
      </w:r>
      <w:r w:rsidR="004A7A59" w:rsidRPr="00AC727F">
        <w:t>a</w:t>
      </w:r>
      <w:r w:rsidRPr="00AC727F">
        <w:t xml:space="preserve"> ha chiesto la revoca dell'immunità parlamentare di Eva </w:t>
      </w:r>
      <w:proofErr w:type="spellStart"/>
      <w:r w:rsidRPr="00AC727F">
        <w:t>Kaili</w:t>
      </w:r>
      <w:proofErr w:type="spellEnd"/>
      <w:r w:rsidRPr="00AC727F">
        <w:t xml:space="preserve"> nell'ambito di un'indagine in corso vertente su fatti suscettibili di costituire reato di istigazione alla frode a</w:t>
      </w:r>
      <w:r w:rsidR="004A7A59" w:rsidRPr="00AC727F">
        <w:t>i</w:t>
      </w:r>
      <w:r w:rsidRPr="00AC727F">
        <w:t xml:space="preserve"> dann</w:t>
      </w:r>
      <w:r w:rsidR="004A7A59" w:rsidRPr="00AC727F">
        <w:t>i</w:t>
      </w:r>
      <w:r w:rsidRPr="00AC727F">
        <w:t xml:space="preserve"> degli interessi finanziari dell'U</w:t>
      </w:r>
      <w:r w:rsidR="004A7A59" w:rsidRPr="00AC727F">
        <w:t>nione europea</w:t>
      </w:r>
      <w:r w:rsidRPr="00AC727F">
        <w:t xml:space="preserve">, commesso ripetutamente, che ha causato danni superiori a 120 000 e 150 000 EUR, punibile con la reclusione da 5 a 15 anni, come previsto dall'articolo 46, paragrafo 1, dall'articolo 52, paragrafo 2, e dall'articolo 98, paragrafo 2, del codice penale greco, così come dall'articolo 4, paragrafi 1 e 2, lettera b), della legge </w:t>
      </w:r>
      <w:r w:rsidR="004A7A59" w:rsidRPr="00AC727F">
        <w:t>n. </w:t>
      </w:r>
      <w:r w:rsidRPr="00AC727F">
        <w:t xml:space="preserve">2803/2000, in combinato disposto con l'articolo 2, paragrafo 1 e con l'articolo 386, paragrafo 2, del codice penale greco, con l'articolo 24, paragrafo 2, e con l'articolo 26, paragrafo 3, della legge </w:t>
      </w:r>
      <w:r w:rsidR="004A7A59" w:rsidRPr="00AC727F">
        <w:t>n. </w:t>
      </w:r>
      <w:r w:rsidRPr="00AC727F">
        <w:t>4689/2020.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Β.</w:t>
      </w:r>
      <w:r w:rsidRPr="00AC727F">
        <w:tab/>
        <w:t>considerando che l'8 settembre 2021, a seguito di una relazione dell'OLAF iscritta dalla Procura europea il 1° luglio 2021, il procuratore europeo delegato greco ha avviato l'indagine in questione; che il 12 novembre 2021 il procuratore europeo delegato incaricato del caso, conformemente alle sue responsabilità, ha chiesto all'OLAF la trasmissione dei documenti contenuti nel fascicolo; che a seguito dell'analisi del fascicolo ha chiesto, in data 2 febbraio 2022, un'ulteriore indagine all'OLAF e, il 7 febbraio 2022, la traduzione dei documenti del fascicolo dall'inglese al greco; che l'OLAF ha presentato la relazione finale e la relativa documentazione l'8 dicembre 2022, nonché le corrispondenti traduzioni il 14 dicembre 2022;</w:t>
      </w:r>
    </w:p>
    <w:p w:rsidR="004A7A59" w:rsidRPr="00AC727F" w:rsidRDefault="00E16F9B" w:rsidP="004A7A59">
      <w:pPr>
        <w:spacing w:after="240"/>
        <w:ind w:left="567" w:hanging="567"/>
      </w:pPr>
      <w:r w:rsidRPr="00AC727F">
        <w:t>C.</w:t>
      </w:r>
      <w:r w:rsidRPr="00AC727F">
        <w:tab/>
        <w:t xml:space="preserve">considerando che le presunte irregolarità di cui Eva </w:t>
      </w:r>
      <w:proofErr w:type="spellStart"/>
      <w:r w:rsidRPr="00AC727F">
        <w:t>Kaili</w:t>
      </w:r>
      <w:proofErr w:type="spellEnd"/>
      <w:r w:rsidRPr="00AC727F">
        <w:t xml:space="preserve"> </w:t>
      </w:r>
      <w:r w:rsidR="004A7A59" w:rsidRPr="00AC727F">
        <w:t>sarebbe stata a</w:t>
      </w:r>
      <w:r w:rsidRPr="00AC727F">
        <w:t xml:space="preserve"> conoscenza riguardano in particolare:</w:t>
      </w:r>
    </w:p>
    <w:p w:rsidR="004A7A59" w:rsidRPr="00AC727F" w:rsidRDefault="00E16F9B" w:rsidP="004A7A59">
      <w:pPr>
        <w:spacing w:after="240"/>
        <w:ind w:left="1134" w:hanging="567"/>
      </w:pPr>
      <w:r w:rsidRPr="00AC727F">
        <w:t>a)</w:t>
      </w:r>
      <w:r w:rsidR="004A7A59" w:rsidRPr="00AC727F">
        <w:tab/>
      </w:r>
      <w:r w:rsidRPr="00AC727F">
        <w:t>l'inosservanza, da parte di una dei suoi assistenti parlamentari accreditati (APA), dei suoi obblighi di presenza sul luogo di lavoro tra il 28 settembre 2015 e il 2 luglio 2019, così come dell'esercizio delle funzioni da parte della stessa APA,</w:t>
      </w:r>
    </w:p>
    <w:p w:rsidR="004A7A59" w:rsidRPr="00AC727F" w:rsidRDefault="00E16F9B" w:rsidP="004A7A59">
      <w:pPr>
        <w:spacing w:after="240"/>
        <w:ind w:left="1134" w:hanging="567"/>
      </w:pPr>
      <w:r w:rsidRPr="00AC727F">
        <w:t>b)</w:t>
      </w:r>
      <w:r w:rsidR="004A7A59" w:rsidRPr="00AC727F">
        <w:tab/>
      </w:r>
      <w:r w:rsidRPr="00AC727F">
        <w:t xml:space="preserve">la presentazione di richieste di ordini di missione e di dichiarazioni di spese, nonché la riscossione di rimborsi per missioni che non sarebbero state effettuate, da parte di quattro APA di Eva </w:t>
      </w:r>
      <w:proofErr w:type="spellStart"/>
      <w:r w:rsidRPr="00AC727F">
        <w:t>Kaili</w:t>
      </w:r>
      <w:proofErr w:type="spellEnd"/>
      <w:r w:rsidRPr="00AC727F">
        <w:t>: tra febbraio 2016 e marzo 2018</w:t>
      </w:r>
      <w:r w:rsidR="004A7A59" w:rsidRPr="00AC727F">
        <w:t xml:space="preserve"> per quanto riguarda il primo APA</w:t>
      </w:r>
      <w:r w:rsidRPr="00AC727F">
        <w:t>, tra maggio 2015 e febbraio 2020 per quanto concerne il secondo, tra dicembre 2015 e aprile 2019 relativamente al terzo, e tra ottobre 2014 e febbraio 2020 nel caso del quarto APA,</w:t>
      </w:r>
    </w:p>
    <w:p w:rsidR="00E16F9B" w:rsidRPr="00AC727F" w:rsidRDefault="00E16F9B" w:rsidP="004A7A59">
      <w:pPr>
        <w:spacing w:after="240"/>
        <w:ind w:left="1134" w:hanging="567"/>
      </w:pPr>
      <w:r w:rsidRPr="00AC727F">
        <w:t>c)</w:t>
      </w:r>
      <w:r w:rsidR="004A7A59" w:rsidRPr="00AC727F">
        <w:tab/>
      </w:r>
      <w:r w:rsidRPr="00AC727F">
        <w:t xml:space="preserve">il versamento, dal 28 settembre 2015 al 2 luglio 2019, di una parte degli stipendi/delle spese di missione degli APA a Eva </w:t>
      </w:r>
      <w:proofErr w:type="spellStart"/>
      <w:r w:rsidR="004A7A59" w:rsidRPr="00AC727F">
        <w:t>Kaili</w:t>
      </w:r>
      <w:proofErr w:type="spellEnd"/>
      <w:r w:rsidR="004A7A59" w:rsidRPr="00AC727F">
        <w:t xml:space="preserve"> </w:t>
      </w:r>
      <w:r w:rsidRPr="00AC727F">
        <w:t>su presunta richiesta di quest'ultima.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D.</w:t>
      </w:r>
      <w:r w:rsidRPr="00AC727F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AC727F">
        <w:rPr>
          <w:vertAlign w:val="superscript"/>
        </w:rPr>
        <w:footnoteReference w:id="3"/>
      </w:r>
      <w:r w:rsidRPr="00AC727F">
        <w:t>;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E.</w:t>
      </w:r>
      <w:r w:rsidRPr="00AC727F">
        <w:tab/>
        <w:t xml:space="preserve">considerando che il presunto reato non </w:t>
      </w:r>
      <w:r w:rsidR="004A7A59" w:rsidRPr="00AC727F">
        <w:t>riguarda</w:t>
      </w:r>
      <w:r w:rsidRPr="00AC727F">
        <w:t xml:space="preserve"> opinioni o voti espressi da Eva </w:t>
      </w:r>
      <w:proofErr w:type="spellStart"/>
      <w:r w:rsidRPr="00AC727F">
        <w:t>Kaili</w:t>
      </w:r>
      <w:proofErr w:type="spellEnd"/>
      <w:r w:rsidRPr="00AC727F">
        <w:t xml:space="preserve"> nell'esercizio delle sue funzioni di deputato al Parlamento europeo ai sensi dell'articolo 8 del protocollo n. 7 sui privilegi e sulle immunità dell'Unione europea;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lastRenderedPageBreak/>
        <w:t>F.</w:t>
      </w:r>
      <w:r w:rsidRPr="00AC727F">
        <w:tab/>
        <w:t>considerando che, ai sensi dell'articolo 9 del protocollo n. 7 sui privilegi e sulle immunità dell'Unione europea, i membri del Parlamento europeo beneficiano, sul territorio nazionale, delle immunità riconosciute ai membri del parlamento del loro paese;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G.</w:t>
      </w:r>
      <w:r w:rsidRPr="00AC727F">
        <w:tab/>
        <w:t>considerando che l'articolo 62 della Costituzione della Repubblica ellenica prevede in particolare che, durante la legislatura, i deputati non possano essere perseguiti, arrestati, detenuti o altrimenti privati della libertà senza la preventiva autorizzazione del Parlamento;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H.</w:t>
      </w:r>
      <w:r w:rsidRPr="00AC727F">
        <w:tab/>
        <w:t>considerando che l'immunità parlamentare è intesa a proteggere il Parlamento e i deputati che lo compongono da procedimenti penali relativi ad attività svolte nell'esercizio del mandato parlamentare e che non possono essere disgiunte da tale mandato;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I.</w:t>
      </w:r>
      <w:r w:rsidRPr="00AC727F">
        <w:tab/>
        <w:t xml:space="preserve">considerando che, nel caso di specie, il Parlamento non ha riscontrato alcuna prova di </w:t>
      </w:r>
      <w:proofErr w:type="spellStart"/>
      <w:r w:rsidRPr="00AC727F">
        <w:rPr>
          <w:i/>
          <w:iCs/>
        </w:rPr>
        <w:t>fumus</w:t>
      </w:r>
      <w:proofErr w:type="spellEnd"/>
      <w:r w:rsidRPr="00AC727F">
        <w:rPr>
          <w:i/>
          <w:iCs/>
        </w:rPr>
        <w:t xml:space="preserve"> </w:t>
      </w:r>
      <w:proofErr w:type="spellStart"/>
      <w:r w:rsidRPr="00AC727F">
        <w:rPr>
          <w:i/>
          <w:iCs/>
        </w:rPr>
        <w:t>persecutionis</w:t>
      </w:r>
      <w:proofErr w:type="spellEnd"/>
      <w:r w:rsidRPr="00AC727F">
        <w:t>, vale a dire elementi effettivi dai quali si evinca che l'intento alla base del procedimento giudiziario potrebbe essere quello di danneggiare l'attività politica della deputata e di conseguenza il Parlamento europeo;</w:t>
      </w:r>
    </w:p>
    <w:p w:rsidR="00E16F9B" w:rsidRPr="00AC727F" w:rsidRDefault="00E16F9B" w:rsidP="004A7A59">
      <w:pPr>
        <w:spacing w:after="240"/>
        <w:ind w:left="567" w:hanging="567"/>
      </w:pPr>
      <w:r w:rsidRPr="00AC727F">
        <w:t>1.</w:t>
      </w:r>
      <w:r w:rsidRPr="00AC727F">
        <w:tab/>
        <w:t>decide di revocare l'immunità di Eva </w:t>
      </w:r>
      <w:proofErr w:type="spellStart"/>
      <w:r w:rsidRPr="00AC727F">
        <w:t>Kaili</w:t>
      </w:r>
      <w:proofErr w:type="spellEnd"/>
      <w:r w:rsidRPr="00AC727F">
        <w:t>;</w:t>
      </w:r>
    </w:p>
    <w:p w:rsidR="00E365E1" w:rsidRPr="00AC727F" w:rsidRDefault="00E16F9B" w:rsidP="004A7A59">
      <w:pPr>
        <w:spacing w:after="240"/>
        <w:ind w:left="567" w:hanging="567"/>
      </w:pPr>
      <w:r w:rsidRPr="00AC727F">
        <w:t>2.</w:t>
      </w:r>
      <w:r w:rsidRPr="00AC727F">
        <w:tab/>
        <w:t>incarica la sua Presidente di trasmettere immediatamente la presente decisione e la relazione della sua commissione competente alla Procura europea e a Eva </w:t>
      </w:r>
      <w:proofErr w:type="spellStart"/>
      <w:r w:rsidRPr="00AC727F">
        <w:t>Kaili</w:t>
      </w:r>
      <w:proofErr w:type="spellEnd"/>
      <w:r w:rsidRPr="00AC727F">
        <w:t>.</w:t>
      </w:r>
      <w:bookmarkStart w:id="9" w:name="TextBodyEnd"/>
      <w:bookmarkEnd w:id="9"/>
    </w:p>
    <w:sectPr w:rsidR="00E365E1" w:rsidRPr="00AC727F" w:rsidSect="00BF61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C3C" w:rsidRPr="00BF6160" w:rsidRDefault="000C0C3C">
      <w:r w:rsidRPr="00BF6160">
        <w:separator/>
      </w:r>
    </w:p>
  </w:endnote>
  <w:endnote w:type="continuationSeparator" w:id="0">
    <w:p w:rsidR="000C0C3C" w:rsidRPr="00BF6160" w:rsidRDefault="000C0C3C">
      <w:r w:rsidRPr="00BF61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61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61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61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C3C" w:rsidRPr="00BF6160" w:rsidRDefault="000C0C3C">
      <w:r w:rsidRPr="00BF6160">
        <w:separator/>
      </w:r>
    </w:p>
  </w:footnote>
  <w:footnote w:type="continuationSeparator" w:id="0">
    <w:p w:rsidR="000C0C3C" w:rsidRPr="00BF6160" w:rsidRDefault="000C0C3C">
      <w:r w:rsidRPr="00BF6160">
        <w:continuationSeparator/>
      </w:r>
    </w:p>
  </w:footnote>
  <w:footnote w:id="1">
    <w:p w:rsidR="00E16F9B" w:rsidRPr="00BF6160" w:rsidRDefault="00E16F9B" w:rsidP="00BF6160">
      <w:pPr>
        <w:pStyle w:val="FootnoteText"/>
        <w:ind w:left="567" w:hanging="567"/>
        <w:rPr>
          <w:sz w:val="24"/>
          <w:lang w:val="it-IT"/>
        </w:rPr>
      </w:pPr>
      <w:r w:rsidRPr="00BF6160">
        <w:rPr>
          <w:rStyle w:val="FootnoteReference"/>
          <w:rFonts w:eastAsia="Calibri"/>
          <w:sz w:val="24"/>
          <w:lang w:val="it-IT"/>
        </w:rPr>
        <w:footnoteRef/>
      </w:r>
      <w:r w:rsidR="00BF6160" w:rsidRPr="00BF6160">
        <w:rPr>
          <w:sz w:val="24"/>
          <w:lang w:val="it-IT"/>
        </w:rPr>
        <w:t xml:space="preserve"> </w:t>
      </w:r>
      <w:r w:rsidR="00BF6160" w:rsidRPr="00BF6160">
        <w:rPr>
          <w:sz w:val="24"/>
          <w:lang w:val="it-IT"/>
        </w:rPr>
        <w:tab/>
      </w:r>
      <w:r w:rsidRPr="00BF6160">
        <w:rPr>
          <w:sz w:val="24"/>
          <w:lang w:val="it-IT"/>
        </w:rPr>
        <w:t>GU L 283 del 31.10.2017, pag. 1.</w:t>
      </w:r>
    </w:p>
  </w:footnote>
  <w:footnote w:id="2">
    <w:p w:rsidR="00E16F9B" w:rsidRPr="00BF6160" w:rsidRDefault="00E16F9B" w:rsidP="00BF6160">
      <w:pPr>
        <w:pStyle w:val="FootnoteText"/>
        <w:ind w:left="567" w:hanging="567"/>
        <w:rPr>
          <w:sz w:val="24"/>
          <w:lang w:val="it-IT"/>
        </w:rPr>
      </w:pPr>
      <w:r w:rsidRPr="00BF6160">
        <w:rPr>
          <w:rStyle w:val="FootnoteReference"/>
          <w:rFonts w:eastAsia="Calibri"/>
          <w:sz w:val="24"/>
          <w:lang w:val="it-IT"/>
        </w:rPr>
        <w:footnoteRef/>
      </w:r>
      <w:r w:rsidR="00BF6160" w:rsidRPr="00BF6160">
        <w:rPr>
          <w:sz w:val="24"/>
          <w:lang w:val="it-IT"/>
        </w:rPr>
        <w:t xml:space="preserve"> </w:t>
      </w:r>
      <w:r w:rsidR="00BF6160" w:rsidRPr="00BF6160">
        <w:rPr>
          <w:sz w:val="24"/>
          <w:lang w:val="it-IT"/>
        </w:rPr>
        <w:tab/>
      </w:r>
      <w:r w:rsidRPr="00BF6160">
        <w:rPr>
          <w:sz w:val="24"/>
          <w:lang w:val="it-IT"/>
        </w:rPr>
        <w:t xml:space="preserve">Sentenza della Corte di giustizia del 21 ottobre 2008, </w:t>
      </w:r>
      <w:r w:rsidRPr="00AC727F">
        <w:rPr>
          <w:i/>
          <w:sz w:val="24"/>
          <w:lang w:val="it-IT"/>
        </w:rPr>
        <w:t>Marra/De Gregorio e Clemente</w:t>
      </w:r>
      <w:r w:rsidRPr="00BF6160">
        <w:rPr>
          <w:sz w:val="24"/>
          <w:lang w:val="it-IT"/>
        </w:rPr>
        <w:t xml:space="preserve">, C-200/07 e C-201/07, EU:C:2008:579; sentenza del Tribunale del 19 marzo 2010, </w:t>
      </w:r>
      <w:proofErr w:type="spellStart"/>
      <w:r w:rsidRPr="00AC727F">
        <w:rPr>
          <w:i/>
          <w:sz w:val="24"/>
          <w:lang w:val="it-IT"/>
        </w:rPr>
        <w:t>Gollnisch</w:t>
      </w:r>
      <w:proofErr w:type="spellEnd"/>
      <w:r w:rsidRPr="00AC727F">
        <w:rPr>
          <w:i/>
          <w:sz w:val="24"/>
          <w:lang w:val="it-IT"/>
        </w:rPr>
        <w:t>/Parlamento</w:t>
      </w:r>
      <w:r w:rsidRPr="00BF6160">
        <w:rPr>
          <w:sz w:val="24"/>
          <w:lang w:val="it-IT"/>
        </w:rPr>
        <w:t xml:space="preserve">, T-42/06, EU:T:2010:102; sentenza della Corte di giustizia del 6 settembre 2011, </w:t>
      </w:r>
      <w:r w:rsidRPr="00AC727F">
        <w:rPr>
          <w:i/>
          <w:sz w:val="24"/>
          <w:lang w:val="it-IT"/>
        </w:rPr>
        <w:t>Patriciello</w:t>
      </w:r>
      <w:r w:rsidRPr="00BF6160">
        <w:rPr>
          <w:sz w:val="24"/>
          <w:lang w:val="it-IT"/>
        </w:rPr>
        <w:t xml:space="preserve">, C-163/10, EU:C:2011:543; sentenza del Tribunale del 17 gennaio 2013, </w:t>
      </w:r>
      <w:proofErr w:type="spellStart"/>
      <w:r w:rsidRPr="00AC727F">
        <w:rPr>
          <w:i/>
          <w:sz w:val="24"/>
          <w:lang w:val="it-IT"/>
        </w:rPr>
        <w:t>Gollnisch</w:t>
      </w:r>
      <w:proofErr w:type="spellEnd"/>
      <w:r w:rsidRPr="00AC727F">
        <w:rPr>
          <w:i/>
          <w:sz w:val="24"/>
          <w:lang w:val="it-IT"/>
        </w:rPr>
        <w:t>/Parlamento</w:t>
      </w:r>
      <w:r w:rsidRPr="00BF6160">
        <w:rPr>
          <w:sz w:val="24"/>
          <w:lang w:val="it-IT"/>
        </w:rPr>
        <w:t xml:space="preserve">, T-346/11 e T-347/11, EU:T:2013:23; sentenza della Corte di giustizia del 19 dicembre 2019, </w:t>
      </w:r>
      <w:proofErr w:type="spellStart"/>
      <w:r w:rsidRPr="00AC727F">
        <w:rPr>
          <w:i/>
          <w:sz w:val="24"/>
          <w:lang w:val="it-IT"/>
        </w:rPr>
        <w:t>Junqueras</w:t>
      </w:r>
      <w:proofErr w:type="spellEnd"/>
      <w:r w:rsidRPr="00AC727F">
        <w:rPr>
          <w:i/>
          <w:sz w:val="24"/>
          <w:lang w:val="it-IT"/>
        </w:rPr>
        <w:t xml:space="preserve"> </w:t>
      </w:r>
      <w:proofErr w:type="spellStart"/>
      <w:r w:rsidRPr="00AC727F">
        <w:rPr>
          <w:i/>
          <w:sz w:val="24"/>
          <w:lang w:val="it-IT"/>
        </w:rPr>
        <w:t>Vies</w:t>
      </w:r>
      <w:proofErr w:type="spellEnd"/>
      <w:r w:rsidRPr="00BF6160">
        <w:rPr>
          <w:sz w:val="24"/>
          <w:lang w:val="it-IT"/>
        </w:rPr>
        <w:t>, C-502/19, EU:C:2019:1115.</w:t>
      </w:r>
    </w:p>
  </w:footnote>
  <w:footnote w:id="3">
    <w:p w:rsidR="00E16F9B" w:rsidRPr="00BF6160" w:rsidRDefault="00E16F9B" w:rsidP="00BF6160">
      <w:pPr>
        <w:pStyle w:val="FootnoteText"/>
        <w:ind w:left="567" w:hanging="567"/>
        <w:rPr>
          <w:sz w:val="24"/>
          <w:lang w:val="it-IT"/>
        </w:rPr>
      </w:pPr>
      <w:r w:rsidRPr="00BF6160">
        <w:rPr>
          <w:rStyle w:val="FootnoteReference"/>
          <w:rFonts w:eastAsia="Calibri"/>
          <w:sz w:val="24"/>
          <w:lang w:val="it-IT"/>
        </w:rPr>
        <w:footnoteRef/>
      </w:r>
      <w:r w:rsidR="00BF6160" w:rsidRPr="00BF6160">
        <w:rPr>
          <w:sz w:val="24"/>
          <w:lang w:val="it-IT"/>
        </w:rPr>
        <w:t xml:space="preserve"> </w:t>
      </w:r>
      <w:r w:rsidR="00BF6160" w:rsidRPr="00BF6160">
        <w:rPr>
          <w:sz w:val="24"/>
          <w:lang w:val="it-IT"/>
        </w:rPr>
        <w:tab/>
      </w:r>
      <w:r w:rsidRPr="00BF6160">
        <w:rPr>
          <w:sz w:val="24"/>
          <w:lang w:val="it-IT"/>
        </w:rPr>
        <w:t xml:space="preserve">Sentenza del Tribunale del 30 aprile 2019, </w:t>
      </w:r>
      <w:proofErr w:type="spellStart"/>
      <w:r w:rsidRPr="00BF6160">
        <w:rPr>
          <w:sz w:val="24"/>
          <w:lang w:val="it-IT"/>
        </w:rPr>
        <w:t>Briois</w:t>
      </w:r>
      <w:proofErr w:type="spellEnd"/>
      <w:r w:rsidRPr="00BF6160">
        <w:rPr>
          <w:sz w:val="24"/>
          <w:lang w:val="it-IT"/>
        </w:rPr>
        <w:t xml:space="preserve">/Parlamento, T-214/18, </w:t>
      </w:r>
      <w:proofErr w:type="gramStart"/>
      <w:r w:rsidRPr="00BF6160">
        <w:rPr>
          <w:sz w:val="24"/>
          <w:lang w:val="it-IT"/>
        </w:rPr>
        <w:t>EU:T</w:t>
      </w:r>
      <w:proofErr w:type="gramEnd"/>
      <w:r w:rsidRPr="00BF6160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61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61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61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IT"/>
    <w:docVar w:name="dvnumam" w:val="0"/>
    <w:docVar w:name="dvpe" w:val="749.295"/>
    <w:docVar w:name="dvrapporteur" w:val="Relatrice: "/>
    <w:docVar w:name="dvtitre" w:val="Decisione del Parlamento europeo del 6 febbraio 2024 sulla richiesta di revoca dell'immunità di Eva Kaili(2023/2007(IMM))"/>
  </w:docVars>
  <w:rsids>
    <w:rsidRoot w:val="000C0C3C"/>
    <w:rsid w:val="00002272"/>
    <w:rsid w:val="00064002"/>
    <w:rsid w:val="000677B9"/>
    <w:rsid w:val="000831BA"/>
    <w:rsid w:val="000A42CC"/>
    <w:rsid w:val="000C0C3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A59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27F"/>
    <w:rsid w:val="00AE0928"/>
    <w:rsid w:val="00AF3B82"/>
    <w:rsid w:val="00B12E95"/>
    <w:rsid w:val="00B22876"/>
    <w:rsid w:val="00B558F0"/>
    <w:rsid w:val="00BD48FE"/>
    <w:rsid w:val="00BD7BD8"/>
    <w:rsid w:val="00BE6ADC"/>
    <w:rsid w:val="00BF616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F9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C9CE6"/>
  <w15:chartTrackingRefBased/>
  <w15:docId w15:val="{C8300D01-F1C3-4E26-9F4E-411B9B0E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6F9B"/>
    <w:pPr>
      <w:spacing w:before="480" w:after="240"/>
    </w:pPr>
  </w:style>
  <w:style w:type="paragraph" w:styleId="BalloonText">
    <w:name w:val="Balloon Text"/>
    <w:basedOn w:val="Normal"/>
    <w:link w:val="BalloonTextChar"/>
    <w:rsid w:val="004A7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7A59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7BA18-E93E-4B39-AF8A-A6A11023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864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ARossi-C.sto</dc:creator>
  <cp:keywords/>
  <cp:lastModifiedBy>ARossi-C.sto</cp:lastModifiedBy>
  <cp:revision>2</cp:revision>
  <cp:lastPrinted>2004-11-19T15:42:00Z</cp:lastPrinted>
  <dcterms:created xsi:type="dcterms:W3CDTF">2024-02-06T11:39:00Z</dcterms:created>
  <dcterms:modified xsi:type="dcterms:W3CDTF">2024-02-06T11:39:00Z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