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4B9A" w:rsidTr="0010095E">
        <w:trPr>
          <w:trHeight w:hRule="exact" w:val="1418"/>
        </w:trPr>
        <w:tc>
          <w:tcPr>
            <w:tcW w:w="6804" w:type="dxa"/>
            <w:shd w:val="clear" w:color="auto" w:fill="auto"/>
            <w:vAlign w:val="center"/>
          </w:tcPr>
          <w:p w:rsidR="00751A4A" w:rsidRPr="00774B9A" w:rsidRDefault="00475642" w:rsidP="0010095E">
            <w:pPr>
              <w:pStyle w:val="EPName"/>
            </w:pPr>
            <w:r w:rsidRPr="00774B9A">
              <w:t>Europos Parlamentas</w:t>
            </w:r>
          </w:p>
          <w:p w:rsidR="00751A4A" w:rsidRPr="00774B9A" w:rsidRDefault="00817416" w:rsidP="00756632">
            <w:pPr>
              <w:pStyle w:val="EPTerm"/>
              <w:rPr>
                <w:rStyle w:val="HideTWBExt"/>
                <w:noProof w:val="0"/>
                <w:vanish w:val="0"/>
                <w:color w:val="auto"/>
              </w:rPr>
            </w:pPr>
            <w:r w:rsidRPr="00774B9A">
              <w:t>2019-2024</w:t>
            </w:r>
          </w:p>
        </w:tc>
        <w:tc>
          <w:tcPr>
            <w:tcW w:w="2268" w:type="dxa"/>
            <w:shd w:val="clear" w:color="auto" w:fill="auto"/>
          </w:tcPr>
          <w:p w:rsidR="00751A4A" w:rsidRPr="00774B9A" w:rsidRDefault="00187494" w:rsidP="0010095E">
            <w:pPr>
              <w:pStyle w:val="EPLogo"/>
            </w:pPr>
            <w:r w:rsidRPr="00774B9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4B9A" w:rsidRDefault="00D058B8" w:rsidP="004C5D52">
      <w:pPr>
        <w:pStyle w:val="LineTop"/>
      </w:pPr>
    </w:p>
    <w:p w:rsidR="00680577" w:rsidRPr="00774B9A" w:rsidRDefault="00475642" w:rsidP="00680577">
      <w:pPr>
        <w:pStyle w:val="EPBodyTA1"/>
      </w:pPr>
      <w:r w:rsidRPr="00774B9A">
        <w:t>PRIIMTI TEKSTAI</w:t>
      </w:r>
    </w:p>
    <w:p w:rsidR="00D058B8" w:rsidRPr="00774B9A" w:rsidRDefault="00D058B8" w:rsidP="00D058B8">
      <w:pPr>
        <w:pStyle w:val="LineBottom"/>
      </w:pPr>
    </w:p>
    <w:p w:rsidR="00475642" w:rsidRPr="00774B9A" w:rsidRDefault="00475642" w:rsidP="00475642">
      <w:pPr>
        <w:pStyle w:val="ATHeading1"/>
      </w:pPr>
      <w:bookmarkStart w:id="0" w:name="TANumber"/>
      <w:r w:rsidRPr="00774B9A">
        <w:t>P9_TA(2024)00</w:t>
      </w:r>
      <w:r w:rsidR="00B778F0">
        <w:t>56</w:t>
      </w:r>
      <w:bookmarkEnd w:id="0"/>
    </w:p>
    <w:p w:rsidR="00475642" w:rsidRPr="00774B9A" w:rsidRDefault="00475642" w:rsidP="00475642">
      <w:pPr>
        <w:pStyle w:val="ATHeading2"/>
      </w:pPr>
      <w:bookmarkStart w:id="1" w:name="title"/>
      <w:r w:rsidRPr="00774B9A">
        <w:t xml:space="preserve">Prašymas </w:t>
      </w:r>
      <w:r w:rsidRPr="000D71D2">
        <w:t>atšaukti Evos Kaili (Eva Kaili) imunitetą</w:t>
      </w:r>
      <w:bookmarkEnd w:id="1"/>
    </w:p>
    <w:p w:rsidR="00475642" w:rsidRPr="00774B9A" w:rsidRDefault="00475642" w:rsidP="00475642">
      <w:pPr>
        <w:rPr>
          <w:i/>
          <w:vanish/>
        </w:rPr>
      </w:pPr>
      <w:r w:rsidRPr="00774B9A">
        <w:rPr>
          <w:i/>
        </w:rPr>
        <w:fldChar w:fldCharType="begin"/>
      </w:r>
      <w:r w:rsidRPr="00774B9A">
        <w:rPr>
          <w:i/>
        </w:rPr>
        <w:instrText xml:space="preserve"> TC"(</w:instrText>
      </w:r>
      <w:bookmarkStart w:id="2" w:name="DocNumber"/>
      <w:r w:rsidRPr="00774B9A">
        <w:rPr>
          <w:i/>
        </w:rPr>
        <w:instrText>A9-0029/2024</w:instrText>
      </w:r>
      <w:bookmarkEnd w:id="2"/>
      <w:r w:rsidRPr="00774B9A">
        <w:rPr>
          <w:i/>
        </w:rPr>
        <w:instrText xml:space="preserve"> - Pranešėja: Ilana Cicurel)"\l3 \n&gt; \* MERGEFORMAT </w:instrText>
      </w:r>
      <w:r w:rsidRPr="00774B9A">
        <w:rPr>
          <w:i/>
        </w:rPr>
        <w:fldChar w:fldCharType="end"/>
      </w:r>
    </w:p>
    <w:p w:rsidR="00475642" w:rsidRPr="00774B9A" w:rsidRDefault="00475642" w:rsidP="00475642">
      <w:pPr>
        <w:rPr>
          <w:vanish/>
        </w:rPr>
      </w:pPr>
      <w:bookmarkStart w:id="3" w:name="Commission"/>
      <w:r w:rsidRPr="00774B9A">
        <w:rPr>
          <w:vanish/>
        </w:rPr>
        <w:t>Teisės reikalų komitetas</w:t>
      </w:r>
      <w:bookmarkEnd w:id="3"/>
    </w:p>
    <w:p w:rsidR="00475642" w:rsidRPr="00774B9A" w:rsidRDefault="00475642" w:rsidP="00475642">
      <w:pPr>
        <w:rPr>
          <w:vanish/>
        </w:rPr>
      </w:pPr>
      <w:bookmarkStart w:id="4" w:name="PE"/>
      <w:r w:rsidRPr="00774B9A">
        <w:rPr>
          <w:vanish/>
        </w:rPr>
        <w:t>PE749.295</w:t>
      </w:r>
      <w:bookmarkEnd w:id="4"/>
    </w:p>
    <w:p w:rsidR="00475642" w:rsidRPr="00774B9A" w:rsidRDefault="00475642" w:rsidP="0029054D">
      <w:pPr>
        <w:pStyle w:val="ATHeading3"/>
      </w:pPr>
      <w:bookmarkStart w:id="5" w:name="Sujet"/>
      <w:r w:rsidRPr="00774B9A">
        <w:t>2024 m. vasario 6 d. Europos Parlamento sprendimas dėl prašymo atšaukti Evos Kaili (Eva Kaili) imunitetą</w:t>
      </w:r>
      <w:bookmarkEnd w:id="5"/>
      <w:r w:rsidRPr="00774B9A">
        <w:t xml:space="preserve"> </w:t>
      </w:r>
      <w:bookmarkStart w:id="6" w:name="References"/>
      <w:r w:rsidRPr="00774B9A">
        <w:t>(2023/2007(IMM))</w:t>
      </w:r>
      <w:bookmarkEnd w:id="6"/>
    </w:p>
    <w:p w:rsidR="00C63BE2" w:rsidRPr="00774B9A" w:rsidRDefault="00C63BE2" w:rsidP="00C63BE2">
      <w:pPr>
        <w:pStyle w:val="EPComma"/>
      </w:pPr>
      <w:bookmarkStart w:id="7" w:name="TextBodyBegin"/>
      <w:bookmarkEnd w:id="7"/>
      <w:r w:rsidRPr="00774B9A">
        <w:rPr>
          <w:i/>
        </w:rPr>
        <w:t>Europos Parlamentas</w:t>
      </w:r>
      <w:r w:rsidRPr="00774B9A">
        <w:t>,</w:t>
      </w:r>
    </w:p>
    <w:p w:rsidR="00C63BE2" w:rsidRPr="00774B9A" w:rsidRDefault="00C63BE2" w:rsidP="00C63BE2">
      <w:pPr>
        <w:pStyle w:val="NormalHanging12a"/>
      </w:pPr>
      <w:r w:rsidRPr="00774B9A">
        <w:t>–</w:t>
      </w:r>
      <w:r w:rsidRPr="00774B9A">
        <w:tab/>
        <w:t>atsižvelgdamas į Europos vyriausiosios prokurorės pateiktą 2022 m. gruodžio 15 d. prašymą atšaukti Evos Kaili imunitetą, kuris buvo paskelbtas 2023 m. sausio 19 d. plenariniame posėdyje,</w:t>
      </w:r>
    </w:p>
    <w:p w:rsidR="00C63BE2" w:rsidRPr="00774B9A" w:rsidRDefault="00C63BE2" w:rsidP="00C63BE2">
      <w:pPr>
        <w:pStyle w:val="NormalHanging12a"/>
      </w:pPr>
      <w:r w:rsidRPr="00774B9A">
        <w:t>–</w:t>
      </w:r>
      <w:r w:rsidRPr="00774B9A">
        <w:tab/>
        <w:t>išklausęs Evos Kaili paaiškinimų, kaip nurodyta Darbo tvarkos taisyklių 9 straipsnio 6 dalyje,</w:t>
      </w:r>
    </w:p>
    <w:p w:rsidR="00C63BE2" w:rsidRPr="00774B9A" w:rsidRDefault="00C63BE2" w:rsidP="00C63BE2">
      <w:pPr>
        <w:pStyle w:val="NormalHanging12a"/>
      </w:pPr>
      <w:r w:rsidRPr="00774B9A">
        <w:t>–</w:t>
      </w:r>
      <w:r w:rsidRPr="00774B9A">
        <w:tab/>
        <w:t>atsižvelgdamas į Protokolo Nr. 7 dėl Europos Sąjungos privilegijų ir imunitetų 8 ir 9 straipsnius ir į 1976 m. rugsėjo 20 d. Akto dėl Europos Parlamento narių rinkimų remiantis tiesiogine visuotine rinkimų teise 6 straipsnio 2 dalį,</w:t>
      </w:r>
    </w:p>
    <w:p w:rsidR="00C63BE2" w:rsidRPr="00774B9A" w:rsidRDefault="00C63BE2" w:rsidP="00C63BE2">
      <w:pPr>
        <w:pStyle w:val="NormalHanging12a"/>
      </w:pPr>
      <w:r w:rsidRPr="00774B9A">
        <w:t>–</w:t>
      </w:r>
      <w:r w:rsidRPr="00774B9A">
        <w:tab/>
        <w:t>atsižvelgdamas į 2017 m. spalio 12 d. Tarybos reglamentą (ES) 2017/1939, kuriuo įgyvendinamas tvirtesnis bendradarbiavimas Europos prokuratūros įsteigimo srityje</w:t>
      </w:r>
      <w:r w:rsidRPr="00774B9A">
        <w:rPr>
          <w:rStyle w:val="FootnoteReference"/>
        </w:rPr>
        <w:footnoteReference w:id="1"/>
      </w:r>
      <w:r w:rsidRPr="00774B9A">
        <w:t>, ypač į jo 29 straipsnio 2 dalį,</w:t>
      </w:r>
    </w:p>
    <w:p w:rsidR="00C63BE2" w:rsidRPr="00774B9A" w:rsidRDefault="00C63BE2" w:rsidP="00C63BE2">
      <w:pPr>
        <w:pStyle w:val="NormalHanging12a"/>
      </w:pPr>
      <w:r w:rsidRPr="00774B9A">
        <w:t>–</w:t>
      </w:r>
      <w:r w:rsidRPr="00774B9A">
        <w:tab/>
        <w:t>atsižvelgdamas į Europos Sąjungos Teisingumo Teismo 2008 m. spalio 21 d., 2010 m. kovo 19 d., 2011 m. rugsėjo 6 d., 2013 m. sausio 17 d. ir 2019 m. gruodžio 19 d. sprendimus</w:t>
      </w:r>
      <w:r w:rsidRPr="00774B9A">
        <w:rPr>
          <w:rStyle w:val="FootnoteReference"/>
        </w:rPr>
        <w:footnoteReference w:id="2"/>
      </w:r>
      <w:r w:rsidRPr="00774B9A">
        <w:t>,</w:t>
      </w:r>
    </w:p>
    <w:p w:rsidR="00C63BE2" w:rsidRPr="00774B9A" w:rsidRDefault="00C63BE2" w:rsidP="00C63BE2">
      <w:pPr>
        <w:pStyle w:val="NormalHanging12a"/>
      </w:pPr>
      <w:r w:rsidRPr="00774B9A">
        <w:t>–</w:t>
      </w:r>
      <w:r w:rsidRPr="00774B9A">
        <w:tab/>
        <w:t>atsižvelgdamas į Graikijos Respublikos Konstitucijos 62 straipsnį,</w:t>
      </w:r>
    </w:p>
    <w:p w:rsidR="00C63BE2" w:rsidRPr="00774B9A" w:rsidRDefault="00C63BE2" w:rsidP="00C63BE2">
      <w:pPr>
        <w:pStyle w:val="NormalHanging12a"/>
      </w:pPr>
      <w:r w:rsidRPr="00774B9A">
        <w:t>–</w:t>
      </w:r>
      <w:r w:rsidRPr="00774B9A">
        <w:tab/>
        <w:t xml:space="preserve">atsižvelgdamas į Darbo tvarkos taisyklių 5 straipsnio 2 dalį, 6 straipsnio 1 dalį ir 9 </w:t>
      </w:r>
      <w:r w:rsidRPr="00774B9A">
        <w:lastRenderedPageBreak/>
        <w:t>straipsnį,</w:t>
      </w:r>
    </w:p>
    <w:p w:rsidR="00C63BE2" w:rsidRPr="00774B9A" w:rsidRDefault="00C63BE2" w:rsidP="00C63BE2">
      <w:pPr>
        <w:pStyle w:val="NormalHanging12a"/>
      </w:pPr>
      <w:r w:rsidRPr="00774B9A">
        <w:t>–</w:t>
      </w:r>
      <w:r w:rsidRPr="00774B9A">
        <w:tab/>
        <w:t>atsižvelgdamas į Teisės reikalų komiteto pranešimą (A9</w:t>
      </w:r>
      <w:r w:rsidRPr="00774B9A">
        <w:noBreakHyphen/>
        <w:t>0029/2024),</w:t>
      </w:r>
    </w:p>
    <w:p w:rsidR="00C63BE2" w:rsidRPr="00774B9A" w:rsidRDefault="00C63BE2" w:rsidP="0029054D">
      <w:pPr>
        <w:spacing w:after="240"/>
        <w:ind w:left="567" w:hanging="567"/>
      </w:pPr>
      <w:r w:rsidRPr="00774B9A">
        <w:t>A.</w:t>
      </w:r>
      <w:r w:rsidRPr="00774B9A">
        <w:tab/>
        <w:t xml:space="preserve">kadangi Europos vyriausioji prokurorė paprašė atšaukti Parlamento narės Evos Kaili imunitetą ryšium </w:t>
      </w:r>
      <w:bookmarkStart w:id="8" w:name="_GoBack"/>
      <w:bookmarkEnd w:id="8"/>
      <w:r w:rsidRPr="00774B9A">
        <w:t>su šiuo metu atliekamu tyrimu dėl faktinių aplinkybių, kurios gali būti kvalifikuojamos kaip kartotinė sunki nusikalstama veika – kurstymas vykdyti Europos Sąjungos finansiniams interesams kenkiantį sukčiavimą, dėl kurio padaryta didesnė nei 120 000 EUR ir 150 000 EUR žala, už kurį baudžiama laisvės atėmimo bausme nuo 5 iki 15 metų, kaip numatyta Graikijos baudžiamojo kodekso 46 straipsnio 1 dalyje, 52 straipsnio 2 dalyje ir 98 straipsnio 2 dalyje ir Įstatymo Nr. 2803/2000 4 straipsnio 1 dalyje ir 4 straipsnio 2 dalies b punkte, kurie taikomi kartu su Graikijos baudžiamojo kodekso 2 straipsnio 1 dalimi ir 386 straipsnio 2 dalimi, Įstatymo Nr. 4689/2020 24 straipsnio 2 dalimi ir 26 straipsnio 3 dalimi;</w:t>
      </w:r>
    </w:p>
    <w:p w:rsidR="00C63BE2" w:rsidRPr="00774B9A" w:rsidRDefault="00C63BE2" w:rsidP="0029054D">
      <w:pPr>
        <w:spacing w:after="240"/>
        <w:ind w:left="567" w:hanging="567"/>
      </w:pPr>
      <w:r w:rsidRPr="00774B9A">
        <w:t>B.</w:t>
      </w:r>
      <w:r w:rsidRPr="00774B9A">
        <w:tab/>
        <w:t>kadangi po to, kai 2021 m. liepos 1 d. Europos prokuratūroje buvo užregistruota OLAF ataskaita, Europos deleguotasis prokuroras Graikijoje 2021 m. rugsėjo 8 d. pradėjo minėtąjį tyrimą; kadangi 2021 m. lapkričio 12 d., vykdydama savo pareigas, už bylą atsakinga Europos deleguotoji prokurorė paprašė OLAF pateikti byloje esančius dokumentus; kadangi, išnagrinėjusi dokumentus, ši prokurorė 2022 m. vasario 2 d. paprašė OLAF atlikti papildomą tyrimą, o 2022 m. vasario 7 d. – išversti bylos dokumentus iš anglų kalbos į graikų kalbą; kadangi 2022 m. gruodžio 8 d. OLAF pateikė savo galutinę ataskaitą ir patvirtinamuosius dokumentus, o 2022 m. gruodžio 14 d. – atitinkamus vertimus;</w:t>
      </w:r>
    </w:p>
    <w:p w:rsidR="00C63BE2" w:rsidRPr="00774B9A" w:rsidRDefault="00C63BE2" w:rsidP="0029054D">
      <w:pPr>
        <w:spacing w:after="240"/>
        <w:ind w:left="567" w:hanging="567"/>
      </w:pPr>
      <w:r w:rsidRPr="00774B9A">
        <w:t>C.</w:t>
      </w:r>
      <w:r w:rsidRPr="00774B9A">
        <w:tab/>
        <w:t>kadangi įtariami pažeidimai, apie kuriuos, kaip manoma, Eva Kaili žinojo, visų pirma yra susiję su šiomis aplinkybėmis:</w:t>
      </w:r>
    </w:p>
    <w:p w:rsidR="00C63BE2" w:rsidRPr="00774B9A" w:rsidRDefault="00C63BE2" w:rsidP="0029054D">
      <w:pPr>
        <w:spacing w:after="240"/>
        <w:ind w:left="1134" w:hanging="567"/>
      </w:pPr>
      <w:r w:rsidRPr="00774B9A">
        <w:t>a)</w:t>
      </w:r>
      <w:r w:rsidR="00B778F0">
        <w:tab/>
      </w:r>
      <w:r w:rsidRPr="00774B9A">
        <w:t>viena iš jos akredituotų padėjėjų nevykdė pareigos būti savo darbo vietoje laikotarpiu nuo 2015 m. rugsėjo 28 d. iki 2019 m. liepos 2 d. ir neatliko jai priklausančių užduočių,</w:t>
      </w:r>
    </w:p>
    <w:p w:rsidR="00C63BE2" w:rsidRPr="00774B9A" w:rsidRDefault="00C63BE2" w:rsidP="0029054D">
      <w:pPr>
        <w:spacing w:after="240"/>
        <w:ind w:left="1134" w:hanging="567"/>
      </w:pPr>
      <w:r w:rsidRPr="00774B9A">
        <w:t>b)</w:t>
      </w:r>
      <w:r w:rsidR="00B778F0">
        <w:tab/>
      </w:r>
      <w:r w:rsidRPr="00774B9A">
        <w:t>buvo teikiami prašymai išduoti siuntimą į komandiruotę ir išlaidų deklaracijos ir gaunamos išlaidų kompensacijos už komandiruotes, į kurias, kaip manoma, nėra vykę keturi Evos Kaili akredituoti padėjėjai: pirmasis laikotarpiu nuo 2016 m. vasario mėn. iki 2018 m. kovo mėn., antrasis – laikotarpiu nuo 2015 m. gegužės mėn. iki 2020 m. vasario mėn., trečiasis – laikotarpiu nuo 2015 m. gruodžio mėn. iki 2019 m. balandžio mėn. ir ketvirtasis – laikotarpiu nuo 2014 m. spalio mėn. iki 2020 m. va</w:t>
      </w:r>
      <w:r w:rsidR="00257C48">
        <w:t>sario mėn.,</w:t>
      </w:r>
    </w:p>
    <w:p w:rsidR="00C63BE2" w:rsidRPr="00774B9A" w:rsidRDefault="00C63BE2" w:rsidP="0029054D">
      <w:pPr>
        <w:ind w:left="1134" w:hanging="567"/>
      </w:pPr>
      <w:r w:rsidRPr="00774B9A">
        <w:t>c)</w:t>
      </w:r>
      <w:r w:rsidR="00B778F0">
        <w:tab/>
      </w:r>
      <w:r w:rsidRPr="00774B9A">
        <w:t>dalis akredituotosios padėjėjos darbo užmokesčio ir komandiruotės išlaidų kompensacijų laikotarpiu nuo 2015 m. rugsėjo 28 d. iki 2019 m. liepos 2 d. buvo pervedama Evai Kaili pastarosios prašymu;</w:t>
      </w:r>
    </w:p>
    <w:p w:rsidR="00C63BE2" w:rsidRPr="00774B9A" w:rsidRDefault="00C63BE2" w:rsidP="0029054D">
      <w:pPr>
        <w:spacing w:after="240"/>
        <w:ind w:left="567" w:hanging="567"/>
      </w:pPr>
      <w:r w:rsidRPr="00774B9A">
        <w:t>D.</w:t>
      </w:r>
      <w:r w:rsidRPr="00774B9A">
        <w:tab/>
        <w:t>kadangi, pirma, Parlamentas negali būti prilyginamas teismui ir, antra, vykstant imuniteto atšaukimo procedūrai Parlamento narys negali būti laikomas „kaltinamuoju“</w:t>
      </w:r>
      <w:r w:rsidRPr="00774B9A">
        <w:rPr>
          <w:vertAlign w:val="superscript"/>
        </w:rPr>
        <w:footnoteReference w:id="3"/>
      </w:r>
      <w:r w:rsidRPr="00774B9A">
        <w:t>;</w:t>
      </w:r>
    </w:p>
    <w:p w:rsidR="00C63BE2" w:rsidRPr="00774B9A" w:rsidRDefault="00C63BE2" w:rsidP="0029054D">
      <w:pPr>
        <w:spacing w:after="240"/>
        <w:ind w:left="567" w:hanging="567"/>
      </w:pPr>
      <w:r w:rsidRPr="00774B9A">
        <w:t>E.</w:t>
      </w:r>
      <w:r w:rsidRPr="00774B9A">
        <w:tab/>
        <w:t>kadangi veika, kuria įtariama Eva Kaili, nėra susijusi su jai einant Europos Parlamento nario pareigas pareikšta nuomone ar balsavimu, kaip numatyta Protokolo (Nr. 7) dėl Europos Sąjungos privilegijų ir imunitetų 8 straipsnyje;</w:t>
      </w:r>
    </w:p>
    <w:p w:rsidR="00C63BE2" w:rsidRPr="00774B9A" w:rsidRDefault="00C63BE2" w:rsidP="0029054D">
      <w:pPr>
        <w:spacing w:after="240"/>
        <w:ind w:left="567" w:hanging="567"/>
      </w:pPr>
      <w:r w:rsidRPr="00774B9A">
        <w:lastRenderedPageBreak/>
        <w:t>F.</w:t>
      </w:r>
      <w:r w:rsidRPr="00774B9A">
        <w:tab/>
        <w:t>kadangi, kaip nustatyta Protokolo (Nr. 7) dėl Europos Sąjungos privilegijų ir imunitetų 9 straipsnyje, Europos Parlamento nariai savo valstybės teritorijoje naudojasi imunitetais, kurie toje valstybėje yra suteikiami parlamento nariams;</w:t>
      </w:r>
    </w:p>
    <w:p w:rsidR="00C63BE2" w:rsidRPr="00774B9A" w:rsidRDefault="00C63BE2" w:rsidP="0029054D">
      <w:pPr>
        <w:spacing w:after="240"/>
        <w:ind w:left="567" w:hanging="567"/>
      </w:pPr>
      <w:r w:rsidRPr="00774B9A">
        <w:t>G.</w:t>
      </w:r>
      <w:r w:rsidRPr="00774B9A">
        <w:tab/>
        <w:t>kadangi Graikijos Respublikos Konstitucijos 62 straipsnyje, be kita ko, numatyta, kad parlamento nariai kadencijos laikotarpiu be išankstinio parlamento leidimo negali būti traukiami atsakomybėn, suimami, įkalinami ar negali būti kitaip suvaržoma jų laisvė;</w:t>
      </w:r>
    </w:p>
    <w:p w:rsidR="00C63BE2" w:rsidRPr="00774B9A" w:rsidRDefault="00C63BE2" w:rsidP="0029054D">
      <w:pPr>
        <w:spacing w:after="240"/>
        <w:ind w:left="567" w:hanging="567"/>
      </w:pPr>
      <w:r w:rsidRPr="00774B9A">
        <w:t>H.</w:t>
      </w:r>
      <w:r w:rsidRPr="00774B9A">
        <w:tab/>
        <w:t>kadangi Parlamento nario imuniteto paskirtis – apsaugoti Parlamentą ir jo narius nuo patraukimo atsakomybėn už veiksmus, kurie yra padaryti vykdant Parlamento nario įgaliojimus ir kurių negalima atskirti nuo tų įgaliojimų;</w:t>
      </w:r>
    </w:p>
    <w:p w:rsidR="00C63BE2" w:rsidRPr="00774B9A" w:rsidRDefault="00C63BE2" w:rsidP="0029054D">
      <w:pPr>
        <w:spacing w:after="240"/>
        <w:ind w:left="567" w:hanging="567"/>
      </w:pPr>
      <w:r w:rsidRPr="00774B9A">
        <w:t>I.</w:t>
      </w:r>
      <w:r w:rsidRPr="00774B9A">
        <w:tab/>
        <w:t xml:space="preserve">kadangi šiuo atveju Parlamentas nenustatė, jog būtų </w:t>
      </w:r>
      <w:r w:rsidRPr="00774B9A">
        <w:rPr>
          <w:i/>
          <w:iCs/>
        </w:rPr>
        <w:t>fumus persecutionis</w:t>
      </w:r>
      <w:r w:rsidRPr="00774B9A">
        <w:t xml:space="preserve"> įrodymų, t. y. faktinių aplinkybių, kurios rodytų, kad šis teismo procesas buvo pradėtas siekiant pakenkti Europos Parlamento narės, taigi ir Europos Parlamento, politinei veiklai;</w:t>
      </w:r>
    </w:p>
    <w:p w:rsidR="00C63BE2" w:rsidRPr="00774B9A" w:rsidRDefault="00C63BE2" w:rsidP="001D4EEE">
      <w:pPr>
        <w:pStyle w:val="NormalHanging12a"/>
      </w:pPr>
      <w:r w:rsidRPr="00774B9A">
        <w:t>1.</w:t>
      </w:r>
      <w:r w:rsidRPr="00774B9A">
        <w:tab/>
        <w:t>nusprendžia atšaukti Evos Kaili imunitetą;</w:t>
      </w:r>
    </w:p>
    <w:p w:rsidR="00C63BE2" w:rsidRPr="00774B9A" w:rsidRDefault="00C63BE2">
      <w:pPr>
        <w:pStyle w:val="NormalHanging12a"/>
      </w:pPr>
      <w:r w:rsidRPr="00774B9A">
        <w:t>2.</w:t>
      </w:r>
      <w:r w:rsidRPr="00774B9A">
        <w:tab/>
        <w:t>paveda Pirmininkei nedelsiant perduoti šį sprendimą ir atsakingo komiteto pranešimą Europos prokuratūrai ir Evai Kaili.</w:t>
      </w:r>
    </w:p>
    <w:p w:rsidR="00E365E1" w:rsidRPr="00774B9A" w:rsidRDefault="00E365E1" w:rsidP="00475642">
      <w:bookmarkStart w:id="9" w:name="TextBodyEnd"/>
      <w:bookmarkEnd w:id="9"/>
    </w:p>
    <w:sectPr w:rsidR="00E365E1" w:rsidRPr="00774B9A" w:rsidSect="00774B9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642" w:rsidRPr="00774B9A" w:rsidRDefault="00475642">
      <w:r w:rsidRPr="00774B9A">
        <w:separator/>
      </w:r>
    </w:p>
  </w:endnote>
  <w:endnote w:type="continuationSeparator" w:id="0">
    <w:p w:rsidR="00475642" w:rsidRPr="00774B9A" w:rsidRDefault="00475642">
      <w:r w:rsidRPr="00774B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642" w:rsidRPr="00774B9A" w:rsidRDefault="00475642">
      <w:r w:rsidRPr="00774B9A">
        <w:separator/>
      </w:r>
    </w:p>
  </w:footnote>
  <w:footnote w:type="continuationSeparator" w:id="0">
    <w:p w:rsidR="00475642" w:rsidRPr="00774B9A" w:rsidRDefault="00475642">
      <w:r w:rsidRPr="00774B9A">
        <w:continuationSeparator/>
      </w:r>
    </w:p>
  </w:footnote>
  <w:footnote w:id="1">
    <w:p w:rsidR="00C63BE2" w:rsidRPr="00774B9A" w:rsidRDefault="00C63BE2" w:rsidP="00774B9A">
      <w:pPr>
        <w:pStyle w:val="FootnoteText"/>
        <w:ind w:left="567" w:hanging="567"/>
        <w:rPr>
          <w:sz w:val="24"/>
          <w:lang w:val="lt-LT"/>
        </w:rPr>
      </w:pPr>
      <w:r w:rsidRPr="00774B9A">
        <w:rPr>
          <w:rStyle w:val="FootnoteReference"/>
          <w:sz w:val="24"/>
          <w:lang w:val="lt-LT"/>
        </w:rPr>
        <w:footnoteRef/>
      </w:r>
      <w:r w:rsidR="00774B9A" w:rsidRPr="00774B9A">
        <w:rPr>
          <w:sz w:val="24"/>
          <w:lang w:val="lt-LT"/>
        </w:rPr>
        <w:t xml:space="preserve"> </w:t>
      </w:r>
      <w:r w:rsidR="00774B9A" w:rsidRPr="00774B9A">
        <w:rPr>
          <w:sz w:val="24"/>
          <w:lang w:val="lt-LT"/>
        </w:rPr>
        <w:tab/>
      </w:r>
      <w:r w:rsidRPr="00774B9A">
        <w:rPr>
          <w:sz w:val="24"/>
          <w:lang w:val="lt-LT"/>
        </w:rPr>
        <w:t>OL L 283, 2017 10 31, p. 1.</w:t>
      </w:r>
    </w:p>
  </w:footnote>
  <w:footnote w:id="2">
    <w:p w:rsidR="00C63BE2" w:rsidRPr="00774B9A" w:rsidRDefault="00C63BE2" w:rsidP="00774B9A">
      <w:pPr>
        <w:pStyle w:val="FootnoteText"/>
        <w:ind w:left="567" w:hanging="567"/>
        <w:rPr>
          <w:sz w:val="24"/>
          <w:lang w:val="lt-LT"/>
        </w:rPr>
      </w:pPr>
      <w:r w:rsidRPr="00774B9A">
        <w:rPr>
          <w:rStyle w:val="FootnoteReference"/>
          <w:sz w:val="24"/>
          <w:lang w:val="lt-LT"/>
        </w:rPr>
        <w:footnoteRef/>
      </w:r>
      <w:r w:rsidR="00774B9A" w:rsidRPr="00774B9A">
        <w:rPr>
          <w:sz w:val="24"/>
          <w:lang w:val="lt-LT"/>
        </w:rPr>
        <w:t xml:space="preserve"> </w:t>
      </w:r>
      <w:r w:rsidR="00774B9A" w:rsidRPr="00774B9A">
        <w:rPr>
          <w:sz w:val="24"/>
          <w:lang w:val="lt-LT"/>
        </w:rPr>
        <w:tab/>
      </w:r>
      <w:r w:rsidRPr="00774B9A">
        <w:rPr>
          <w:sz w:val="24"/>
          <w:lang w:val="lt-LT"/>
        </w:rPr>
        <w:t xml:space="preserve">2008 m. spalio 21 d. Teisingumo Teismo sprendimas </w:t>
      </w:r>
      <w:r w:rsidRPr="00774B9A">
        <w:rPr>
          <w:i/>
          <w:sz w:val="24"/>
          <w:lang w:val="lt-LT"/>
        </w:rPr>
        <w:t>Marra / De Gregorio ir Clemente</w:t>
      </w:r>
      <w:r w:rsidRPr="00774B9A">
        <w:rPr>
          <w:sz w:val="24"/>
          <w:lang w:val="lt-LT"/>
        </w:rPr>
        <w:t xml:space="preserve">, C-200/07 ir C-201/07, ECLI:EU:C:2008:579; 2010 m. kovo 19 d. Bendrojo Teismo sprendimas </w:t>
      </w:r>
      <w:r w:rsidRPr="00774B9A">
        <w:rPr>
          <w:i/>
          <w:sz w:val="24"/>
          <w:lang w:val="lt-LT"/>
        </w:rPr>
        <w:t>Gollnisch / Parlamentas</w:t>
      </w:r>
      <w:r w:rsidRPr="00774B9A">
        <w:rPr>
          <w:sz w:val="24"/>
          <w:lang w:val="lt-LT"/>
        </w:rPr>
        <w:t xml:space="preserve">, T-42/06, ECLI:EU:T:2010:102; 2011 m. rugsėjo 6 d. Teisingumo Teismo sprendimas </w:t>
      </w:r>
      <w:r w:rsidRPr="00774B9A">
        <w:rPr>
          <w:i/>
          <w:sz w:val="24"/>
          <w:lang w:val="lt-LT"/>
        </w:rPr>
        <w:t>Patriciello</w:t>
      </w:r>
      <w:r w:rsidRPr="00774B9A">
        <w:rPr>
          <w:sz w:val="24"/>
          <w:lang w:val="lt-LT"/>
        </w:rPr>
        <w:t xml:space="preserve">, C-163/10, ECLI:EU:C:2011:543; 2013 m. sausio 17 d. Bendrojo Teismo sprendimas </w:t>
      </w:r>
      <w:r w:rsidRPr="00774B9A">
        <w:rPr>
          <w:i/>
          <w:sz w:val="24"/>
          <w:lang w:val="lt-LT"/>
        </w:rPr>
        <w:t>Gollnisch / Parlamentas</w:t>
      </w:r>
      <w:r w:rsidRPr="00774B9A">
        <w:rPr>
          <w:sz w:val="24"/>
          <w:lang w:val="lt-LT"/>
        </w:rPr>
        <w:t xml:space="preserve">, T-346/11 ir T-347/11, ECLI:EU:T:2013:23; 2019 m. gruodžio 19 d. Teisingumo Teismo sprendimas </w:t>
      </w:r>
      <w:r w:rsidRPr="00774B9A">
        <w:rPr>
          <w:i/>
          <w:sz w:val="24"/>
          <w:lang w:val="lt-LT"/>
        </w:rPr>
        <w:t>Junqueras Vies</w:t>
      </w:r>
      <w:r w:rsidRPr="00774B9A">
        <w:rPr>
          <w:sz w:val="24"/>
          <w:lang w:val="lt-LT"/>
        </w:rPr>
        <w:t>, C-502/19, ECLI:EU:C:2019:1115.</w:t>
      </w:r>
    </w:p>
  </w:footnote>
  <w:footnote w:id="3">
    <w:p w:rsidR="00C63BE2" w:rsidRPr="00774B9A" w:rsidRDefault="00C63BE2" w:rsidP="00774B9A">
      <w:pPr>
        <w:pStyle w:val="FootnoteText"/>
        <w:ind w:left="567" w:hanging="567"/>
        <w:rPr>
          <w:sz w:val="24"/>
          <w:lang w:val="lt-LT"/>
        </w:rPr>
      </w:pPr>
      <w:r w:rsidRPr="00774B9A">
        <w:rPr>
          <w:rStyle w:val="FootnoteReference"/>
          <w:rFonts w:eastAsia="Calibri"/>
          <w:sz w:val="24"/>
          <w:lang w:val="lt-LT"/>
        </w:rPr>
        <w:footnoteRef/>
      </w:r>
      <w:r w:rsidR="00774B9A" w:rsidRPr="00774B9A">
        <w:rPr>
          <w:sz w:val="24"/>
          <w:lang w:val="lt-LT"/>
        </w:rPr>
        <w:t xml:space="preserve"> </w:t>
      </w:r>
      <w:r w:rsidR="00774B9A" w:rsidRPr="00774B9A">
        <w:rPr>
          <w:sz w:val="24"/>
          <w:lang w:val="lt-LT"/>
        </w:rPr>
        <w:tab/>
      </w:r>
      <w:r w:rsidRPr="00774B9A">
        <w:rPr>
          <w:sz w:val="24"/>
          <w:lang w:val="lt-LT"/>
        </w:rPr>
        <w:t xml:space="preserve">2019 m. balandžio 30 d. </w:t>
      </w:r>
      <w:r w:rsidRPr="00774B9A">
        <w:rPr>
          <w:sz w:val="24"/>
          <w:lang w:val="lt-LT"/>
        </w:rPr>
        <w:t xml:space="preserve">Bendrojo Teismo sprendimas </w:t>
      </w:r>
      <w:r w:rsidRPr="00774B9A">
        <w:rPr>
          <w:i/>
          <w:iCs/>
          <w:sz w:val="24"/>
          <w:lang w:val="lt-LT"/>
        </w:rPr>
        <w:t>Briois / Parlamentas</w:t>
      </w:r>
      <w:r w:rsidRPr="00774B9A">
        <w:rPr>
          <w:sz w:val="24"/>
          <w:lang w:val="lt-LT"/>
        </w:rPr>
        <w: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4"/>
    <w:docVar w:name="dvlangue" w:val="LT"/>
    <w:docVar w:name="dvnumam" w:val="0"/>
    <w:docVar w:name="dvpe" w:val="749.295"/>
    <w:docVar w:name="dvrapporteur" w:val="Pranešėja: "/>
    <w:docVar w:name="dvtitre" w:val="2024 m. vasario 6 d. Europos Parlamento sprendimas dėl prašymo atšaukti Evos Kaili (Eva Kaili) imunitetą(2023/2007(IMM))"/>
  </w:docVars>
  <w:rsids>
    <w:rsidRoot w:val="00475642"/>
    <w:rsid w:val="00002272"/>
    <w:rsid w:val="00064002"/>
    <w:rsid w:val="000677B9"/>
    <w:rsid w:val="000831BA"/>
    <w:rsid w:val="000A42CC"/>
    <w:rsid w:val="000D71D2"/>
    <w:rsid w:val="000E7DD9"/>
    <w:rsid w:val="0010095E"/>
    <w:rsid w:val="00125B37"/>
    <w:rsid w:val="00187494"/>
    <w:rsid w:val="001D4EEE"/>
    <w:rsid w:val="001F32AE"/>
    <w:rsid w:val="00257C48"/>
    <w:rsid w:val="00264193"/>
    <w:rsid w:val="002767FF"/>
    <w:rsid w:val="0029054D"/>
    <w:rsid w:val="002B18FE"/>
    <w:rsid w:val="002B5493"/>
    <w:rsid w:val="00343214"/>
    <w:rsid w:val="00361C00"/>
    <w:rsid w:val="00395FA1"/>
    <w:rsid w:val="003E15D4"/>
    <w:rsid w:val="00411CCE"/>
    <w:rsid w:val="0041666E"/>
    <w:rsid w:val="00421060"/>
    <w:rsid w:val="00471C19"/>
    <w:rsid w:val="00475642"/>
    <w:rsid w:val="004867E3"/>
    <w:rsid w:val="00494A28"/>
    <w:rsid w:val="004C0004"/>
    <w:rsid w:val="004C5D52"/>
    <w:rsid w:val="0050519A"/>
    <w:rsid w:val="005072A1"/>
    <w:rsid w:val="00514517"/>
    <w:rsid w:val="00545827"/>
    <w:rsid w:val="00560270"/>
    <w:rsid w:val="005B2FA3"/>
    <w:rsid w:val="005C2568"/>
    <w:rsid w:val="006037C0"/>
    <w:rsid w:val="006631B6"/>
    <w:rsid w:val="00680577"/>
    <w:rsid w:val="006F74FA"/>
    <w:rsid w:val="00731ADD"/>
    <w:rsid w:val="00734777"/>
    <w:rsid w:val="00737E38"/>
    <w:rsid w:val="00747932"/>
    <w:rsid w:val="00751A4A"/>
    <w:rsid w:val="00756632"/>
    <w:rsid w:val="00762C74"/>
    <w:rsid w:val="00774B9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8F0"/>
    <w:rsid w:val="00BD48FE"/>
    <w:rsid w:val="00BD7BD8"/>
    <w:rsid w:val="00BE6ADC"/>
    <w:rsid w:val="00C05BFE"/>
    <w:rsid w:val="00C23CD4"/>
    <w:rsid w:val="00C61C0C"/>
    <w:rsid w:val="00C63BE2"/>
    <w:rsid w:val="00C941CB"/>
    <w:rsid w:val="00CC2357"/>
    <w:rsid w:val="00CF071A"/>
    <w:rsid w:val="00D058B8"/>
    <w:rsid w:val="00D56C11"/>
    <w:rsid w:val="00D834A0"/>
    <w:rsid w:val="00D872DF"/>
    <w:rsid w:val="00D91E21"/>
    <w:rsid w:val="00DA7FCD"/>
    <w:rsid w:val="00DD2DE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282052"/>
  <w15:chartTrackingRefBased/>
  <w15:docId w15:val="{59586735-B96D-4F09-8DF2-A7359F395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63BE2"/>
    <w:pPr>
      <w:spacing w:after="240"/>
      <w:ind w:left="567" w:hanging="567"/>
    </w:pPr>
  </w:style>
  <w:style w:type="paragraph" w:customStyle="1" w:styleId="EPComma">
    <w:name w:val="EPComma"/>
    <w:basedOn w:val="Normal"/>
    <w:rsid w:val="00C63BE2"/>
    <w:pPr>
      <w:spacing w:before="480" w:after="240"/>
    </w:pPr>
  </w:style>
  <w:style w:type="paragraph" w:styleId="BalloonText">
    <w:name w:val="Balloon Text"/>
    <w:basedOn w:val="Normal"/>
    <w:link w:val="BalloonTextChar"/>
    <w:rsid w:val="001D4EEE"/>
    <w:rPr>
      <w:rFonts w:ascii="Segoe UI" w:hAnsi="Segoe UI" w:cs="Segoe UI"/>
      <w:sz w:val="18"/>
      <w:szCs w:val="18"/>
    </w:rPr>
  </w:style>
  <w:style w:type="character" w:customStyle="1" w:styleId="BalloonTextChar">
    <w:name w:val="Balloon Text Char"/>
    <w:basedOn w:val="DefaultParagraphFont"/>
    <w:link w:val="BalloonText"/>
    <w:rsid w:val="001D4EE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D2F4F-B42D-4C0E-8A97-C6228DCB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794</Words>
  <Characters>4770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2024-02-06T11:50:00Z</dcterms:created>
  <dcterms:modified xsi:type="dcterms:W3CDTF">2024-02-06T11:50:00Z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A9-0029/2024</vt:lpwstr>
  </property>
  <property fmtid="{D5CDD505-2E9C-101B-9397-08002B2CF9AE}" pid="4" name="&lt;Type&gt;">
    <vt:lpwstr>RR</vt:lpwstr>
  </property>
</Properties>
</file>