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0502" w:rsidTr="0010095E">
        <w:trPr>
          <w:trHeight w:hRule="exact" w:val="1418"/>
        </w:trPr>
        <w:tc>
          <w:tcPr>
            <w:tcW w:w="6804" w:type="dxa"/>
            <w:shd w:val="clear" w:color="auto" w:fill="auto"/>
            <w:vAlign w:val="center"/>
          </w:tcPr>
          <w:p w:rsidR="00751A4A" w:rsidRPr="00B90502" w:rsidRDefault="00C80176" w:rsidP="0010095E">
            <w:pPr>
              <w:pStyle w:val="EPName"/>
            </w:pPr>
            <w:r w:rsidRPr="00B90502">
              <w:t>Eiropas Parlaments</w:t>
            </w:r>
          </w:p>
          <w:p w:rsidR="00751A4A" w:rsidRPr="00B90502" w:rsidRDefault="00817416" w:rsidP="00756632">
            <w:pPr>
              <w:pStyle w:val="EPTerm"/>
              <w:rPr>
                <w:rStyle w:val="HideTWBExt"/>
                <w:noProof w:val="0"/>
                <w:vanish w:val="0"/>
                <w:color w:val="auto"/>
              </w:rPr>
            </w:pPr>
            <w:r w:rsidRPr="00B90502">
              <w:t>2019-2024</w:t>
            </w:r>
          </w:p>
        </w:tc>
        <w:tc>
          <w:tcPr>
            <w:tcW w:w="2268" w:type="dxa"/>
            <w:shd w:val="clear" w:color="auto" w:fill="auto"/>
          </w:tcPr>
          <w:p w:rsidR="00751A4A" w:rsidRPr="00B90502" w:rsidRDefault="00187494" w:rsidP="0010095E">
            <w:pPr>
              <w:pStyle w:val="EPLogo"/>
            </w:pPr>
            <w:r w:rsidRPr="00B90502">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0502" w:rsidRDefault="00D058B8" w:rsidP="004C5D52">
      <w:pPr>
        <w:pStyle w:val="LineTop"/>
      </w:pPr>
    </w:p>
    <w:p w:rsidR="00680577" w:rsidRPr="00B90502" w:rsidRDefault="00C80176" w:rsidP="00680577">
      <w:pPr>
        <w:pStyle w:val="EPBodyTA1"/>
      </w:pPr>
      <w:r w:rsidRPr="00B90502">
        <w:t>PIEŅEMTIE TEKSTI</w:t>
      </w:r>
    </w:p>
    <w:p w:rsidR="00D058B8" w:rsidRPr="00B90502" w:rsidRDefault="00D058B8" w:rsidP="00D058B8">
      <w:pPr>
        <w:pStyle w:val="LineBottom"/>
      </w:pPr>
    </w:p>
    <w:p w:rsidR="00C80176" w:rsidRPr="00B90502" w:rsidRDefault="00C80176" w:rsidP="00C80176">
      <w:pPr>
        <w:pStyle w:val="ATHeading1"/>
      </w:pPr>
      <w:bookmarkStart w:id="0" w:name="TANumber"/>
      <w:r w:rsidRPr="00B90502">
        <w:t>P9_TA(2024)00</w:t>
      </w:r>
      <w:bookmarkEnd w:id="0"/>
      <w:r w:rsidR="00B90502">
        <w:t>56</w:t>
      </w:r>
    </w:p>
    <w:p w:rsidR="00C80176" w:rsidRPr="00B90502" w:rsidRDefault="00C80176" w:rsidP="00C80176">
      <w:pPr>
        <w:pStyle w:val="ATHeading2"/>
      </w:pPr>
      <w:bookmarkStart w:id="1" w:name="title"/>
      <w:r w:rsidRPr="00B90502">
        <w:t xml:space="preserve">Pieprasījums atcelt </w:t>
      </w:r>
      <w:r w:rsidRPr="00B90502">
        <w:rPr>
          <w:i/>
        </w:rPr>
        <w:t>Eva Kaili</w:t>
      </w:r>
      <w:r w:rsidRPr="00B90502">
        <w:t xml:space="preserve"> imunitāti</w:t>
      </w:r>
      <w:bookmarkEnd w:id="1"/>
    </w:p>
    <w:p w:rsidR="00C80176" w:rsidRPr="00B90502" w:rsidRDefault="00C80176" w:rsidP="00C80176">
      <w:pPr>
        <w:rPr>
          <w:i/>
          <w:vanish/>
        </w:rPr>
      </w:pPr>
      <w:r w:rsidRPr="00B90502">
        <w:rPr>
          <w:i/>
        </w:rPr>
        <w:fldChar w:fldCharType="begin"/>
      </w:r>
      <w:r w:rsidRPr="00B90502">
        <w:rPr>
          <w:i/>
        </w:rPr>
        <w:instrText xml:space="preserve"> TC"(</w:instrText>
      </w:r>
      <w:bookmarkStart w:id="2" w:name="DocNumber"/>
      <w:r w:rsidRPr="00B90502">
        <w:rPr>
          <w:i/>
        </w:rPr>
        <w:instrText>A9-0029/2024</w:instrText>
      </w:r>
      <w:bookmarkEnd w:id="2"/>
      <w:r w:rsidRPr="00B90502">
        <w:rPr>
          <w:i/>
        </w:rPr>
        <w:instrText xml:space="preserve"> - Referente: </w:instrText>
      </w:r>
      <w:proofErr w:type="spellStart"/>
      <w:r w:rsidRPr="00B90502">
        <w:rPr>
          <w:i/>
        </w:rPr>
        <w:instrText>Ilana</w:instrText>
      </w:r>
      <w:proofErr w:type="spellEnd"/>
      <w:r w:rsidRPr="00B90502">
        <w:rPr>
          <w:i/>
        </w:rPr>
        <w:instrText> </w:instrText>
      </w:r>
      <w:proofErr w:type="spellStart"/>
      <w:r w:rsidRPr="00B90502">
        <w:rPr>
          <w:i/>
        </w:rPr>
        <w:instrText>Cicurel</w:instrText>
      </w:r>
      <w:proofErr w:type="spellEnd"/>
      <w:r w:rsidRPr="00B90502">
        <w:rPr>
          <w:i/>
        </w:rPr>
        <w:instrText xml:space="preserve">)"\l3 \n&gt; \* MERGEFORMAT </w:instrText>
      </w:r>
      <w:r w:rsidRPr="00B90502">
        <w:rPr>
          <w:i/>
        </w:rPr>
        <w:fldChar w:fldCharType="end"/>
      </w:r>
    </w:p>
    <w:p w:rsidR="00C80176" w:rsidRPr="00B90502" w:rsidRDefault="00C80176" w:rsidP="00C80176">
      <w:pPr>
        <w:rPr>
          <w:vanish/>
        </w:rPr>
      </w:pPr>
      <w:bookmarkStart w:id="3" w:name="Commission"/>
      <w:r w:rsidRPr="00B90502">
        <w:rPr>
          <w:vanish/>
        </w:rPr>
        <w:t>Juridiskā komiteja</w:t>
      </w:r>
      <w:bookmarkEnd w:id="3"/>
    </w:p>
    <w:p w:rsidR="00C80176" w:rsidRPr="00B90502" w:rsidRDefault="00C80176" w:rsidP="00C80176">
      <w:pPr>
        <w:rPr>
          <w:vanish/>
        </w:rPr>
      </w:pPr>
      <w:bookmarkStart w:id="4" w:name="PE"/>
      <w:r w:rsidRPr="00B90502">
        <w:rPr>
          <w:vanish/>
        </w:rPr>
        <w:t>PE749.295</w:t>
      </w:r>
      <w:bookmarkEnd w:id="4"/>
    </w:p>
    <w:p w:rsidR="00517BB6" w:rsidRPr="00B90502" w:rsidRDefault="00C80176" w:rsidP="002672C5">
      <w:pPr>
        <w:pStyle w:val="ATHeading3"/>
      </w:pPr>
      <w:bookmarkStart w:id="5" w:name="Sujet"/>
      <w:r w:rsidRPr="00B90502">
        <w:t xml:space="preserve">Eiropas Parlamenta 2024. gada </w:t>
      </w:r>
      <w:r w:rsidR="002672C5" w:rsidRPr="00B90502">
        <w:t>6</w:t>
      </w:r>
      <w:r w:rsidRPr="00B90502">
        <w:t xml:space="preserve">. </w:t>
      </w:r>
      <w:r w:rsidR="002672C5" w:rsidRPr="00B90502">
        <w:t>februāra</w:t>
      </w:r>
      <w:r w:rsidRPr="00B90502">
        <w:t xml:space="preserve"> lēmums par pieprasījumu atcelt </w:t>
      </w:r>
      <w:r w:rsidRPr="00B90502">
        <w:rPr>
          <w:i/>
        </w:rPr>
        <w:t>Eva Kaili</w:t>
      </w:r>
      <w:r w:rsidRPr="00B90502">
        <w:t xml:space="preserve"> imunitāti</w:t>
      </w:r>
      <w:bookmarkEnd w:id="5"/>
      <w:r w:rsidRPr="00B90502">
        <w:t xml:space="preserve"> </w:t>
      </w:r>
      <w:bookmarkStart w:id="6" w:name="References"/>
      <w:r w:rsidRPr="00B90502">
        <w:t>(2023/2007(IMM))</w:t>
      </w:r>
      <w:bookmarkStart w:id="7" w:name="TextBodyBegin"/>
      <w:bookmarkEnd w:id="6"/>
      <w:bookmarkEnd w:id="7"/>
    </w:p>
    <w:p w:rsidR="00517BB6" w:rsidRPr="00B90502" w:rsidRDefault="00517BB6" w:rsidP="00517BB6">
      <w:pPr>
        <w:pStyle w:val="EPComma"/>
      </w:pPr>
      <w:r w:rsidRPr="00B90502">
        <w:rPr>
          <w:i/>
        </w:rPr>
        <w:t>Eiropas Parlaments</w:t>
      </w:r>
      <w:r w:rsidRPr="00B90502">
        <w:t>,</w:t>
      </w:r>
    </w:p>
    <w:p w:rsidR="00517BB6" w:rsidRPr="00B90502" w:rsidRDefault="00517BB6" w:rsidP="002672C5">
      <w:pPr>
        <w:spacing w:after="240"/>
        <w:ind w:left="567" w:hanging="567"/>
      </w:pPr>
      <w:r w:rsidRPr="00B90502">
        <w:t>–</w:t>
      </w:r>
      <w:r w:rsidRPr="00B90502">
        <w:tab/>
        <w:t xml:space="preserve">ņemot vērā 2022. gada 15. decembra pieprasījumu atcelt </w:t>
      </w:r>
      <w:r w:rsidRPr="00B90502">
        <w:rPr>
          <w:i/>
        </w:rPr>
        <w:t>Eva Kaili</w:t>
      </w:r>
      <w:r w:rsidRPr="00B90502">
        <w:t xml:space="preserve"> imunitāti, kuru nosūtījis Eiropas galvenais prokurors un par kuru paziņots </w:t>
      </w:r>
      <w:r w:rsidR="00920E43">
        <w:t>2023</w:t>
      </w:r>
      <w:bookmarkStart w:id="8" w:name="_GoBack"/>
      <w:bookmarkEnd w:id="8"/>
      <w:r w:rsidRPr="00B90502">
        <w:t>. gada 19. janvāra plenārsēdē,</w:t>
      </w:r>
    </w:p>
    <w:p w:rsidR="00517BB6" w:rsidRPr="00B90502" w:rsidRDefault="00517BB6" w:rsidP="00517BB6">
      <w:pPr>
        <w:spacing w:after="240"/>
        <w:ind w:left="567" w:hanging="567"/>
        <w:jc w:val="both"/>
      </w:pPr>
      <w:r w:rsidRPr="00B90502">
        <w:t>–</w:t>
      </w:r>
      <w:r w:rsidRPr="00B90502">
        <w:tab/>
        <w:t xml:space="preserve">pēc </w:t>
      </w:r>
      <w:r w:rsidRPr="00B90502">
        <w:rPr>
          <w:i/>
        </w:rPr>
        <w:t>Eva Kaili</w:t>
      </w:r>
      <w:r w:rsidRPr="00B90502">
        <w:t xml:space="preserve"> uzklausīšanas saskaņā ar Reglamenta 9. panta 6. punktu,</w:t>
      </w:r>
    </w:p>
    <w:p w:rsidR="00517BB6" w:rsidRPr="00B90502" w:rsidRDefault="00517BB6" w:rsidP="00517BB6">
      <w:pPr>
        <w:spacing w:after="240"/>
        <w:ind w:left="567" w:hanging="567"/>
        <w:jc w:val="both"/>
      </w:pPr>
      <w:r w:rsidRPr="00B90502">
        <w:t>–</w:t>
      </w:r>
      <w:r w:rsidRPr="00B90502">
        <w:tab/>
        <w:t>ņemot vērā Protokola Nr. 7 par privilēģijām un imunitāti Eiropas Savienībā 8. un 9. pantu, kā arī 1976. gada 20. septembra Akta par Eiropas Parlamenta deputātu ievēlēšanu tiešās vispārējās vēlēšanās 6. panta 2. punktu,</w:t>
      </w:r>
    </w:p>
    <w:p w:rsidR="00517BB6" w:rsidRPr="00B90502" w:rsidRDefault="00517BB6" w:rsidP="002672C5">
      <w:pPr>
        <w:spacing w:after="240"/>
        <w:ind w:left="567" w:hanging="567"/>
      </w:pPr>
      <w:r w:rsidRPr="00B90502">
        <w:t>–</w:t>
      </w:r>
      <w:r w:rsidRPr="00B90502">
        <w:tab/>
        <w:t>ņemot vērā Padomes Regulu (ES) 2017/1939 (2017. gada 12. oktobris), ar ko īsteno ciešāku sadarbību Eiropas Prokuratūras izveidei</w:t>
      </w:r>
      <w:r w:rsidRPr="00B90502">
        <w:rPr>
          <w:vertAlign w:val="superscript"/>
        </w:rPr>
        <w:footnoteReference w:id="1"/>
      </w:r>
      <w:r w:rsidRPr="00B90502">
        <w:t>, un jo īpaši tās 29. panta 2. punktu,</w:t>
      </w:r>
    </w:p>
    <w:p w:rsidR="00517BB6" w:rsidRPr="00B90502" w:rsidRDefault="00517BB6" w:rsidP="002672C5">
      <w:pPr>
        <w:spacing w:after="240"/>
        <w:ind w:left="567" w:hanging="567"/>
      </w:pPr>
      <w:r w:rsidRPr="00B90502">
        <w:t>–</w:t>
      </w:r>
      <w:r w:rsidRPr="00B90502">
        <w:tab/>
        <w:t>ņemot vērā Eiropas Savienības Tiesas 2008. gada 21. oktobra, 2010. gada 19. marta, 2011. gada 6. septembra, 2013. gada 17. janvāra un 2019. gada 19. decembra spriedumu</w:t>
      </w:r>
      <w:r w:rsidRPr="00B90502">
        <w:rPr>
          <w:vertAlign w:val="superscript"/>
        </w:rPr>
        <w:footnoteReference w:id="2"/>
      </w:r>
      <w:r w:rsidRPr="00B90502">
        <w:t>,</w:t>
      </w:r>
    </w:p>
    <w:p w:rsidR="00517BB6" w:rsidRPr="00B90502" w:rsidRDefault="00517BB6" w:rsidP="002672C5">
      <w:pPr>
        <w:spacing w:after="240"/>
        <w:ind w:left="567" w:hanging="567"/>
      </w:pPr>
      <w:r w:rsidRPr="00B90502">
        <w:t>–</w:t>
      </w:r>
      <w:r w:rsidRPr="00B90502">
        <w:tab/>
        <w:t>ņemot vērā Grieķijas Republikas konstitūcijas 62. pantu,</w:t>
      </w:r>
    </w:p>
    <w:p w:rsidR="00517BB6" w:rsidRPr="00B90502" w:rsidRDefault="00517BB6" w:rsidP="002672C5">
      <w:pPr>
        <w:spacing w:after="240"/>
        <w:ind w:left="567" w:hanging="567"/>
      </w:pPr>
      <w:r w:rsidRPr="00B90502">
        <w:t>–</w:t>
      </w:r>
      <w:r w:rsidRPr="00B90502">
        <w:tab/>
        <w:t>ņemot vērā Reglamenta 5. panta 2. punktu, 6. panta 1. punktu un 9. pantu,</w:t>
      </w:r>
    </w:p>
    <w:p w:rsidR="00517BB6" w:rsidRPr="00B90502" w:rsidRDefault="00517BB6" w:rsidP="00517BB6">
      <w:pPr>
        <w:spacing w:after="240"/>
        <w:ind w:left="567" w:hanging="567"/>
        <w:jc w:val="both"/>
      </w:pPr>
      <w:r w:rsidRPr="00B90502">
        <w:lastRenderedPageBreak/>
        <w:t>–</w:t>
      </w:r>
      <w:r w:rsidRPr="00B90502">
        <w:tab/>
        <w:t>ņemot vērā Ārlietu komitejas ziņojumu (A9</w:t>
      </w:r>
      <w:r w:rsidRPr="00B90502">
        <w:noBreakHyphen/>
        <w:t>0029/2024),</w:t>
      </w:r>
    </w:p>
    <w:p w:rsidR="00517BB6" w:rsidRPr="00B90502" w:rsidRDefault="00517BB6" w:rsidP="002672C5">
      <w:pPr>
        <w:spacing w:after="240"/>
        <w:ind w:left="567" w:hanging="567"/>
      </w:pPr>
      <w:r w:rsidRPr="00B90502">
        <w:t>Α.</w:t>
      </w:r>
      <w:r w:rsidRPr="00B90502">
        <w:tab/>
        <w:t xml:space="preserve">tā kā Eiropas galvenais prokurors ir lūdzis atcelt </w:t>
      </w:r>
      <w:r w:rsidRPr="00B90502">
        <w:rPr>
          <w:i/>
        </w:rPr>
        <w:t>Eva Kaili</w:t>
      </w:r>
      <w:r w:rsidRPr="00B90502">
        <w:t xml:space="preserve"> parlamentāro imunitāti saistībā ar patlaban notiekošu izmeklēšanu par darbībām, kas varētu būt smags noziedzīgs nodarījums — musināšana uz krāpšanu, kas apdraud Eiropas Savienības finanšu intereses un kuras esot izdarītas atkārtoti, kā rezultātā, iespējams, ticis nodarīts kaitējums vairāk nekā 120 000 EUR un 150 000 EUR apmērā, par ko pienākas sods — ieslodzījums no 5 līdz 15 gadiem, kas ir paredzēts Grieķijas Kriminālkodeksa 46. panta 1. punktā, 52. panta 2. punktā un 98. panta 2. punktā, kā arī Likuma Nr. 2803/2000 4. panta 1. punktā un 4. panta 2. punkta b) apakšpunktā kopsakarā ar Grieķijas Kriminālkodeksa 2. panta 1. punktu un 386. panta 2. punktu un Likuma Nr. 4689/2020 24. panta 2. punktu un 26. panta 3. punktu;</w:t>
      </w:r>
    </w:p>
    <w:p w:rsidR="00517BB6" w:rsidRPr="00B90502" w:rsidRDefault="00517BB6" w:rsidP="002672C5">
      <w:pPr>
        <w:spacing w:after="240"/>
        <w:ind w:left="567" w:hanging="567"/>
      </w:pPr>
      <w:r w:rsidRPr="00B90502">
        <w:t>Β.</w:t>
      </w:r>
      <w:r w:rsidRPr="00B90502">
        <w:tab/>
        <w:t xml:space="preserve">tā kā pēc </w:t>
      </w:r>
      <w:r w:rsidRPr="00B90502">
        <w:rPr>
          <w:i/>
        </w:rPr>
        <w:t>OLAF</w:t>
      </w:r>
      <w:r w:rsidRPr="00B90502">
        <w:t xml:space="preserve"> ziņojuma, ko Eiropas Prokuratūra reģistrēja 2021. gada 1. jūlijā, no Grieķijas deleģētais Eiropas prokurors šeit apspriežamo izmeklēšanu sāka 2021. gada 8. septembrī; tā kā 2021. gada 12. novembrī par šo lietu atbildīgā deleģētā Eiropas prokurore saskaņā ar saviem pienākumiem lūdza </w:t>
      </w:r>
      <w:r w:rsidRPr="00B90502">
        <w:rPr>
          <w:i/>
        </w:rPr>
        <w:t>OLAF</w:t>
      </w:r>
      <w:r w:rsidRPr="00B90502">
        <w:t xml:space="preserve"> nodot lietas materiālus; tā kā pēc lietas analīzes 2022. gada 2. februārī viņa lūdza </w:t>
      </w:r>
      <w:r w:rsidRPr="00B90502">
        <w:rPr>
          <w:i/>
        </w:rPr>
        <w:t>OLAF</w:t>
      </w:r>
      <w:r w:rsidRPr="00B90502">
        <w:t xml:space="preserve"> veikt papildu izmeklēšanu un 2022. gada 7. februārī tulkot lietas dokumentus no angļu valodas grieķu valodā; tā kā </w:t>
      </w:r>
      <w:r w:rsidRPr="00B90502">
        <w:rPr>
          <w:i/>
        </w:rPr>
        <w:t>OLAF</w:t>
      </w:r>
      <w:r w:rsidRPr="00B90502">
        <w:t xml:space="preserve"> savu galīgo ziņojumu un apliecinošos dokumentus iesniedza 2022. gada 8. decembrī un attiecīgos tulkojumus — 2022. gada 14. decembrī;</w:t>
      </w:r>
    </w:p>
    <w:p w:rsidR="00517BB6" w:rsidRPr="00B90502" w:rsidRDefault="00517BB6" w:rsidP="002672C5">
      <w:pPr>
        <w:spacing w:before="120" w:after="120"/>
        <w:ind w:left="567" w:hanging="567"/>
      </w:pPr>
      <w:r w:rsidRPr="00B90502">
        <w:t>C.</w:t>
      </w:r>
      <w:r w:rsidRPr="00B90502">
        <w:tab/>
        <w:t xml:space="preserve">tā kā iespējamie pārkāpumi, par kuriem </w:t>
      </w:r>
      <w:r w:rsidRPr="00B90502">
        <w:rPr>
          <w:i/>
        </w:rPr>
        <w:t>Eva Kaili</w:t>
      </w:r>
      <w:r w:rsidRPr="00B90502">
        <w:t xml:space="preserve"> esot zinājusi, cita starpā attiecoties uz:</w:t>
      </w:r>
    </w:p>
    <w:p w:rsidR="00517BB6" w:rsidRPr="00B90502" w:rsidRDefault="002672C5" w:rsidP="002672C5">
      <w:pPr>
        <w:spacing w:before="120" w:after="120"/>
        <w:ind w:left="1437" w:hanging="870"/>
      </w:pPr>
      <w:r w:rsidRPr="00B90502">
        <w:t>a)</w:t>
      </w:r>
      <w:r w:rsidRPr="00B90502">
        <w:tab/>
      </w:r>
      <w:r w:rsidR="00517BB6" w:rsidRPr="00B90502">
        <w:t>vienas no viņas reģistrētajiem deputātu palīgiem pienākumu nepildīšanu, proti, laikposmā no 2015. gada 28. septembra līdz 2019. gada 2. jūlijam minētā reģistrētā deputāta palīdze neatradās savā darba vietā, kā arī nepildījis savus pienākumus;</w:t>
      </w:r>
    </w:p>
    <w:p w:rsidR="00517BB6" w:rsidRPr="00B90502" w:rsidRDefault="002672C5" w:rsidP="002672C5">
      <w:pPr>
        <w:spacing w:before="120" w:after="120"/>
        <w:ind w:left="1437" w:hanging="870"/>
      </w:pPr>
      <w:r w:rsidRPr="00B90502">
        <w:t>b)</w:t>
      </w:r>
      <w:r w:rsidRPr="00B90502">
        <w:tab/>
      </w:r>
      <w:r w:rsidR="00517BB6" w:rsidRPr="00B90502">
        <w:t xml:space="preserve">lūgumu izdot tādu komandējuma rīkojumus un izdevumu deklarācijas iesniegšanu par tiem, kā arī atlīdzības par tādiem komandējumiem saņemšanu, kuros četri </w:t>
      </w:r>
      <w:r w:rsidR="00517BB6" w:rsidRPr="00B90502">
        <w:rPr>
          <w:i/>
        </w:rPr>
        <w:t>Eva Kaili</w:t>
      </w:r>
      <w:r w:rsidR="00517BB6" w:rsidRPr="00B90502">
        <w:t xml:space="preserve"> reģistrētie deputātu palīgi devušies neesot: laikposmā no 2016. gada februāra līdz 2018. gada martam, ja runa ir par pirmo asistentu, — no 2015. gada maija līdz 2020. gada februārim, ja runa ir par otro asistentu, — no 2015. gada decembra līdz 2019. gada aprīlim, ja runa ir par trešo asistentu — no 2014. gada oktobra līdz 2020. gada februārim, ja — par ceturto;</w:t>
      </w:r>
    </w:p>
    <w:p w:rsidR="00517BB6" w:rsidRPr="00B90502" w:rsidRDefault="002672C5" w:rsidP="002672C5">
      <w:pPr>
        <w:spacing w:before="120" w:after="120"/>
        <w:ind w:left="1437" w:hanging="870"/>
      </w:pPr>
      <w:r w:rsidRPr="00B90502">
        <w:t>c)</w:t>
      </w:r>
      <w:r w:rsidRPr="00B90502">
        <w:tab/>
      </w:r>
      <w:r w:rsidR="00517BB6" w:rsidRPr="00B90502">
        <w:t xml:space="preserve">reģistrēto deputāta palīgu algu/komandējumu izdevumu daļas izmaksāšanu </w:t>
      </w:r>
      <w:r w:rsidR="00517BB6" w:rsidRPr="00B90502">
        <w:rPr>
          <w:i/>
        </w:rPr>
        <w:t>Eva Kaili</w:t>
      </w:r>
      <w:r w:rsidR="00517BB6" w:rsidRPr="00B90502">
        <w:t xml:space="preserve"> pēc viņas iespējama pieprasījuma laikposmā no 2015. gada 28. septembra līdz 2019. gada 2. jūlijam;</w:t>
      </w:r>
    </w:p>
    <w:p w:rsidR="00517BB6" w:rsidRPr="00B90502" w:rsidRDefault="00517BB6" w:rsidP="002672C5">
      <w:pPr>
        <w:spacing w:before="120" w:after="120"/>
        <w:ind w:left="567" w:hanging="567"/>
      </w:pPr>
      <w:r w:rsidRPr="00B90502">
        <w:t>D.</w:t>
      </w:r>
      <w:r w:rsidRPr="00B90502">
        <w:tab/>
        <w:t>tā kā, no vienas puses, Parlaments nevar tikt pielīdzināts tiesai un, no otras puses, deputāts imunitātes atcelšanas procedūras kontekstā nevar tikt uzskatīts par “apsūdzēto”</w:t>
      </w:r>
      <w:r w:rsidRPr="00B90502">
        <w:rPr>
          <w:vertAlign w:val="superscript"/>
        </w:rPr>
        <w:footnoteReference w:id="3"/>
      </w:r>
      <w:r w:rsidRPr="00B90502">
        <w:t>;</w:t>
      </w:r>
    </w:p>
    <w:p w:rsidR="00517BB6" w:rsidRPr="00B90502" w:rsidRDefault="00517BB6" w:rsidP="002672C5">
      <w:pPr>
        <w:spacing w:before="120" w:after="120"/>
        <w:ind w:left="567" w:hanging="567"/>
      </w:pPr>
      <w:r w:rsidRPr="00B90502">
        <w:t>E.</w:t>
      </w:r>
      <w:r w:rsidRPr="00B90502">
        <w:tab/>
        <w:t xml:space="preserve">tā kā inkriminētais nodarījums nav saistīts nedz ar viedokli, ko </w:t>
      </w:r>
      <w:r w:rsidRPr="00B90502">
        <w:rPr>
          <w:i/>
        </w:rPr>
        <w:t>Eva Kaili</w:t>
      </w:r>
      <w:r w:rsidRPr="00B90502">
        <w:t xml:space="preserve"> ir paudusi, nedz ar balsojumu, ko viņa ir veikusi, pildot savus pienākumus saskaņā ar Protokola Nr. 7 par privilēģijām un imunitāti Eiropas Savienībā 8. pantu;</w:t>
      </w:r>
    </w:p>
    <w:p w:rsidR="00517BB6" w:rsidRPr="00B90502" w:rsidRDefault="00517BB6" w:rsidP="002672C5">
      <w:pPr>
        <w:spacing w:before="120" w:after="120"/>
        <w:ind w:left="567" w:hanging="567"/>
      </w:pPr>
      <w:r w:rsidRPr="00B90502">
        <w:t>F.</w:t>
      </w:r>
      <w:r w:rsidRPr="00B90502">
        <w:tab/>
        <w:t xml:space="preserve">tā kā saskaņā ar 7. protokola par privilēģijām un imunitāti Eiropas Savienībā 9. pantu </w:t>
      </w:r>
      <w:r w:rsidRPr="00B90502">
        <w:lastRenderedPageBreak/>
        <w:t>Eiropas Parlamenta locekļiem savā valstī ir tāda pati imunitāte, kādu piešķir attiecīgās valsts parlamenta locekļiem;</w:t>
      </w:r>
    </w:p>
    <w:p w:rsidR="00517BB6" w:rsidRPr="00B90502" w:rsidRDefault="00517BB6" w:rsidP="002672C5">
      <w:pPr>
        <w:spacing w:after="240"/>
        <w:ind w:left="567" w:hanging="567"/>
      </w:pPr>
      <w:r w:rsidRPr="00B90502">
        <w:t>G.</w:t>
      </w:r>
      <w:r w:rsidRPr="00B90502">
        <w:tab/>
        <w:t xml:space="preserve">tā kā Grieķijas Konstitūcijas 62. pants cita starpā paredz, ka parlamenta </w:t>
      </w:r>
      <w:proofErr w:type="spellStart"/>
      <w:r w:rsidRPr="00B90502">
        <w:t>sasaukuma</w:t>
      </w:r>
      <w:proofErr w:type="spellEnd"/>
      <w:r w:rsidRPr="00B90502">
        <w:t xml:space="preserve"> laikā parlamenta deputātus saukt pie atbildības, arestēt, apcietināt vai citādi ierobežot viņu brīvību bez parlamenta iepriekšējas atļaujas nevar;</w:t>
      </w:r>
    </w:p>
    <w:p w:rsidR="00517BB6" w:rsidRPr="00B90502" w:rsidRDefault="00517BB6" w:rsidP="002672C5">
      <w:pPr>
        <w:spacing w:after="240"/>
        <w:ind w:left="567" w:hanging="567"/>
      </w:pPr>
      <w:r w:rsidRPr="00B90502">
        <w:t>H.</w:t>
      </w:r>
      <w:r w:rsidRPr="00B90502">
        <w:tab/>
        <w:t>tā kā parlamentārās imunitātes mērķis ir aizsargāt Parlamentu un tā deputātus pret tiesvedību, kas tiek ierosināta par darbībām, kuras ir veiktas, pildot parlamentāros pienākumus, un kuras atrauti no šiem pienākumiem skatīt nevar;</w:t>
      </w:r>
    </w:p>
    <w:p w:rsidR="00517BB6" w:rsidRPr="00B90502" w:rsidRDefault="00517BB6" w:rsidP="002672C5">
      <w:pPr>
        <w:spacing w:after="240"/>
        <w:ind w:left="567" w:hanging="567"/>
      </w:pPr>
      <w:r w:rsidRPr="00B90502">
        <w:t>I.</w:t>
      </w:r>
      <w:r w:rsidRPr="00B90502">
        <w:tab/>
        <w:t xml:space="preserve">tā kā šajā lietā Parlaments nav guvis pierādījumus par </w:t>
      </w:r>
      <w:proofErr w:type="spellStart"/>
      <w:r w:rsidRPr="00B90502">
        <w:rPr>
          <w:i/>
        </w:rPr>
        <w:t>fumus</w:t>
      </w:r>
      <w:proofErr w:type="spellEnd"/>
      <w:r w:rsidRPr="00B90502">
        <w:rPr>
          <w:i/>
        </w:rPr>
        <w:t xml:space="preserve"> </w:t>
      </w:r>
      <w:proofErr w:type="spellStart"/>
      <w:r w:rsidRPr="00B90502">
        <w:rPr>
          <w:i/>
        </w:rPr>
        <w:t>persecutionis</w:t>
      </w:r>
      <w:proofErr w:type="spellEnd"/>
      <w:r w:rsidRPr="00B90502">
        <w:t xml:space="preserve"> — faktiskiem apstākļiem, kas liecinātu par to, ka attiecīgais kriminālprocess ir ierosināts, lai kaitētu deputāta un tādējādi arī Eiropas Parlamenta politiskajai darbībai;</w:t>
      </w:r>
    </w:p>
    <w:p w:rsidR="00517BB6" w:rsidRPr="00B90502" w:rsidRDefault="00517BB6" w:rsidP="002672C5">
      <w:pPr>
        <w:spacing w:after="240"/>
        <w:ind w:left="567" w:hanging="567"/>
      </w:pPr>
      <w:r w:rsidRPr="00B90502">
        <w:t>1.</w:t>
      </w:r>
      <w:r w:rsidRPr="00B90502">
        <w:tab/>
        <w:t xml:space="preserve">nolemj atcelt </w:t>
      </w:r>
      <w:r w:rsidRPr="00B90502">
        <w:rPr>
          <w:i/>
        </w:rPr>
        <w:t>Eva Kaili</w:t>
      </w:r>
      <w:r w:rsidRPr="00B90502">
        <w:t xml:space="preserve"> imunitāti;</w:t>
      </w:r>
    </w:p>
    <w:p w:rsidR="00517BB6" w:rsidRPr="00B90502" w:rsidRDefault="00517BB6" w:rsidP="002672C5">
      <w:pPr>
        <w:spacing w:after="240"/>
        <w:ind w:left="567" w:hanging="567"/>
      </w:pPr>
      <w:r w:rsidRPr="00B90502">
        <w:t>2.</w:t>
      </w:r>
      <w:r w:rsidRPr="00B90502">
        <w:tab/>
        <w:t xml:space="preserve">uzdod priekšsēdētājai šo lēmumu un atbildīgās komitejas ziņojumu nekavējoties nosūtīt Eiropas Prokuratūrai un </w:t>
      </w:r>
      <w:r w:rsidRPr="00B90502">
        <w:rPr>
          <w:i/>
        </w:rPr>
        <w:t>Eva Kaili.</w:t>
      </w:r>
    </w:p>
    <w:p w:rsidR="002672C5" w:rsidRPr="00B90502" w:rsidRDefault="002672C5" w:rsidP="002672C5">
      <w:bookmarkStart w:id="9" w:name="TextBodyEnd"/>
      <w:bookmarkEnd w:id="9"/>
    </w:p>
    <w:p w:rsidR="00E365E1" w:rsidRPr="00B90502" w:rsidRDefault="00E365E1" w:rsidP="00C80176"/>
    <w:sectPr w:rsidR="00E365E1" w:rsidRPr="00B90502" w:rsidSect="001E534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0176" w:rsidRPr="001E534C" w:rsidRDefault="00C80176">
      <w:r w:rsidRPr="001E534C">
        <w:separator/>
      </w:r>
    </w:p>
  </w:endnote>
  <w:endnote w:type="continuationSeparator" w:id="0">
    <w:p w:rsidR="00C80176" w:rsidRPr="001E534C" w:rsidRDefault="00C80176">
      <w:r w:rsidRPr="001E53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34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34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3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0176" w:rsidRPr="001E534C" w:rsidRDefault="00C80176">
      <w:r w:rsidRPr="001E534C">
        <w:separator/>
      </w:r>
    </w:p>
  </w:footnote>
  <w:footnote w:type="continuationSeparator" w:id="0">
    <w:p w:rsidR="00C80176" w:rsidRPr="001E534C" w:rsidRDefault="00C80176">
      <w:r w:rsidRPr="001E534C">
        <w:continuationSeparator/>
      </w:r>
    </w:p>
  </w:footnote>
  <w:footnote w:id="1">
    <w:p w:rsidR="00517BB6" w:rsidRPr="001E534C" w:rsidRDefault="00517BB6" w:rsidP="001E534C">
      <w:pPr>
        <w:pStyle w:val="FootnoteText"/>
        <w:ind w:left="567" w:hanging="567"/>
        <w:rPr>
          <w:sz w:val="24"/>
          <w:lang w:val="lv-LV"/>
        </w:rPr>
      </w:pPr>
      <w:r w:rsidRPr="001E534C">
        <w:rPr>
          <w:rStyle w:val="FootnoteReference"/>
          <w:rFonts w:eastAsia="Calibri"/>
          <w:sz w:val="24"/>
          <w:lang w:val="lv-LV"/>
        </w:rPr>
        <w:footnoteRef/>
      </w:r>
      <w:r w:rsidR="001E534C" w:rsidRPr="001E534C">
        <w:rPr>
          <w:sz w:val="24"/>
          <w:lang w:val="lv-LV"/>
        </w:rPr>
        <w:t xml:space="preserve"> </w:t>
      </w:r>
      <w:r w:rsidR="001E534C" w:rsidRPr="001E534C">
        <w:rPr>
          <w:sz w:val="24"/>
          <w:lang w:val="lv-LV"/>
        </w:rPr>
        <w:tab/>
      </w:r>
      <w:r w:rsidRPr="001E534C">
        <w:rPr>
          <w:sz w:val="24"/>
          <w:lang w:val="lv-LV"/>
        </w:rPr>
        <w:t>OV L 283, 31.10.2017., 1. lpp.</w:t>
      </w:r>
    </w:p>
  </w:footnote>
  <w:footnote w:id="2">
    <w:p w:rsidR="00517BB6" w:rsidRPr="001E534C" w:rsidRDefault="00517BB6" w:rsidP="001E534C">
      <w:pPr>
        <w:pStyle w:val="FootnoteText"/>
        <w:ind w:left="567" w:hanging="567"/>
        <w:rPr>
          <w:sz w:val="24"/>
          <w:lang w:val="lv-LV"/>
        </w:rPr>
      </w:pPr>
      <w:r w:rsidRPr="001E534C">
        <w:rPr>
          <w:rStyle w:val="FootnoteReference"/>
          <w:rFonts w:eastAsia="Calibri"/>
          <w:sz w:val="24"/>
          <w:lang w:val="lv-LV"/>
        </w:rPr>
        <w:footnoteRef/>
      </w:r>
      <w:r w:rsidR="001E534C" w:rsidRPr="001E534C">
        <w:rPr>
          <w:sz w:val="24"/>
          <w:lang w:val="lv-LV"/>
        </w:rPr>
        <w:t xml:space="preserve"> </w:t>
      </w:r>
      <w:r w:rsidR="001E534C" w:rsidRPr="001E534C">
        <w:rPr>
          <w:sz w:val="24"/>
          <w:lang w:val="lv-LV"/>
        </w:rPr>
        <w:tab/>
      </w:r>
      <w:r w:rsidRPr="001E534C">
        <w:rPr>
          <w:sz w:val="24"/>
          <w:lang w:val="lv-LV"/>
        </w:rPr>
        <w:t xml:space="preserve">Tiesas 2008. gada 21. oktobra spriedums, </w:t>
      </w:r>
      <w:proofErr w:type="spellStart"/>
      <w:r w:rsidRPr="001E534C">
        <w:rPr>
          <w:i/>
          <w:sz w:val="24"/>
          <w:lang w:val="lv-LV"/>
        </w:rPr>
        <w:t>Marra</w:t>
      </w:r>
      <w:proofErr w:type="spellEnd"/>
      <w:r w:rsidRPr="001E534C">
        <w:rPr>
          <w:sz w:val="24"/>
          <w:lang w:val="lv-LV"/>
        </w:rPr>
        <w:t>/</w:t>
      </w:r>
      <w:proofErr w:type="spellStart"/>
      <w:r w:rsidRPr="001E534C">
        <w:rPr>
          <w:i/>
          <w:sz w:val="24"/>
          <w:lang w:val="lv-LV"/>
        </w:rPr>
        <w:t>De</w:t>
      </w:r>
      <w:proofErr w:type="spellEnd"/>
      <w:r w:rsidRPr="001E534C">
        <w:rPr>
          <w:i/>
          <w:sz w:val="24"/>
          <w:lang w:val="lv-LV"/>
        </w:rPr>
        <w:t xml:space="preserve"> Gregorio</w:t>
      </w:r>
      <w:r w:rsidRPr="001E534C">
        <w:rPr>
          <w:sz w:val="24"/>
          <w:lang w:val="lv-LV"/>
        </w:rPr>
        <w:t xml:space="preserve"> un </w:t>
      </w:r>
      <w:proofErr w:type="spellStart"/>
      <w:r w:rsidRPr="001E534C">
        <w:rPr>
          <w:i/>
          <w:sz w:val="24"/>
          <w:lang w:val="lv-LV"/>
        </w:rPr>
        <w:t>Clemente</w:t>
      </w:r>
      <w:proofErr w:type="spellEnd"/>
      <w:r w:rsidRPr="001E534C">
        <w:rPr>
          <w:sz w:val="24"/>
          <w:lang w:val="lv-LV"/>
        </w:rPr>
        <w:t xml:space="preserve">, C-200/07 un C-201/07, ECLI:EU:C:2008:579; Tiesas 2010. gada 19. marta spriedums, </w:t>
      </w:r>
      <w:proofErr w:type="spellStart"/>
      <w:r w:rsidRPr="001E534C">
        <w:rPr>
          <w:i/>
          <w:sz w:val="24"/>
          <w:lang w:val="lv-LV"/>
        </w:rPr>
        <w:t>Gollnisch</w:t>
      </w:r>
      <w:proofErr w:type="spellEnd"/>
      <w:r w:rsidRPr="001E534C">
        <w:rPr>
          <w:sz w:val="24"/>
          <w:lang w:val="lv-LV"/>
        </w:rPr>
        <w:t>/Parlaments, T-42/06, ECLI:EU:T:2010:102; Tiesas 2011. gada 6. septembra spriedums,</w:t>
      </w:r>
      <w:r w:rsidRPr="001E534C">
        <w:rPr>
          <w:i/>
          <w:sz w:val="24"/>
          <w:lang w:val="lv-LV"/>
        </w:rPr>
        <w:t xml:space="preserve"> </w:t>
      </w:r>
      <w:proofErr w:type="spellStart"/>
      <w:r w:rsidRPr="001E534C">
        <w:rPr>
          <w:i/>
          <w:sz w:val="24"/>
          <w:lang w:val="lv-LV"/>
        </w:rPr>
        <w:t>Patriciello</w:t>
      </w:r>
      <w:proofErr w:type="spellEnd"/>
      <w:r w:rsidRPr="001E534C">
        <w:rPr>
          <w:sz w:val="24"/>
          <w:lang w:val="lv-LV"/>
        </w:rPr>
        <w:t xml:space="preserve">, C-163/10, ECLI: EU:C:2011:543; Vispārējās tiesas 2013. gada 17. janvāra spriedums, </w:t>
      </w:r>
      <w:proofErr w:type="spellStart"/>
      <w:r w:rsidRPr="001E534C">
        <w:rPr>
          <w:i/>
          <w:sz w:val="24"/>
          <w:lang w:val="lv-LV"/>
        </w:rPr>
        <w:t>Gollnisch</w:t>
      </w:r>
      <w:proofErr w:type="spellEnd"/>
      <w:r w:rsidRPr="001E534C">
        <w:rPr>
          <w:sz w:val="24"/>
          <w:lang w:val="lv-LV"/>
        </w:rPr>
        <w:t>/Parlaments, T-346/11 un T-347/11, ECLI:EU:T:2013:23. Tiesas 2019. gada 19. decembra spriedums,</w:t>
      </w:r>
      <w:r w:rsidRPr="001E534C">
        <w:rPr>
          <w:i/>
          <w:sz w:val="24"/>
          <w:lang w:val="lv-LV"/>
        </w:rPr>
        <w:t xml:space="preserve"> </w:t>
      </w:r>
      <w:proofErr w:type="spellStart"/>
      <w:r w:rsidRPr="001E534C">
        <w:rPr>
          <w:i/>
          <w:sz w:val="24"/>
          <w:lang w:val="lv-LV"/>
        </w:rPr>
        <w:t>Junqueras</w:t>
      </w:r>
      <w:proofErr w:type="spellEnd"/>
      <w:r w:rsidRPr="001E534C">
        <w:rPr>
          <w:i/>
          <w:sz w:val="24"/>
          <w:lang w:val="lv-LV"/>
        </w:rPr>
        <w:t xml:space="preserve"> Vies</w:t>
      </w:r>
      <w:r w:rsidRPr="001E534C">
        <w:rPr>
          <w:sz w:val="24"/>
          <w:lang w:val="lv-LV"/>
        </w:rPr>
        <w:t>, C-502/19, ECLI:EU:C:2019:1115.</w:t>
      </w:r>
    </w:p>
  </w:footnote>
  <w:footnote w:id="3">
    <w:p w:rsidR="00517BB6" w:rsidRPr="001E534C" w:rsidRDefault="00517BB6" w:rsidP="001E534C">
      <w:pPr>
        <w:pStyle w:val="FootnoteText"/>
        <w:ind w:left="567" w:hanging="567"/>
        <w:rPr>
          <w:sz w:val="24"/>
          <w:lang w:val="lv-LV"/>
        </w:rPr>
      </w:pPr>
      <w:r w:rsidRPr="001E534C">
        <w:rPr>
          <w:rStyle w:val="FootnoteReference"/>
          <w:rFonts w:eastAsia="Calibri"/>
          <w:sz w:val="24"/>
          <w:lang w:val="lv-LV"/>
        </w:rPr>
        <w:footnoteRef/>
      </w:r>
      <w:r w:rsidR="001E534C" w:rsidRPr="001E534C">
        <w:rPr>
          <w:sz w:val="24"/>
          <w:lang w:val="lv-LV"/>
        </w:rPr>
        <w:t xml:space="preserve"> </w:t>
      </w:r>
      <w:r w:rsidR="001E534C" w:rsidRPr="001E534C">
        <w:rPr>
          <w:sz w:val="24"/>
          <w:lang w:val="lv-LV"/>
        </w:rPr>
        <w:tab/>
      </w:r>
      <w:r w:rsidRPr="001E534C">
        <w:rPr>
          <w:sz w:val="24"/>
          <w:lang w:val="lv-LV"/>
        </w:rPr>
        <w:t xml:space="preserve">Vispārējās tiesas 2019. gada 30. aprīļa spriedums, </w:t>
      </w:r>
      <w:proofErr w:type="spellStart"/>
      <w:r w:rsidRPr="001E534C">
        <w:rPr>
          <w:i/>
          <w:sz w:val="24"/>
          <w:lang w:val="lv-LV"/>
        </w:rPr>
        <w:t>Briois</w:t>
      </w:r>
      <w:proofErr w:type="spellEnd"/>
      <w:r w:rsidRPr="001E534C">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3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3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3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4"/>
    <w:docVar w:name="dvlangue" w:val="LV"/>
    <w:docVar w:name="dvnumam" w:val="0"/>
    <w:docVar w:name="dvpe" w:val="749.295"/>
    <w:docVar w:name="dvrapporteur" w:val="Referente: "/>
    <w:docVar w:name="dvtitre" w:val="Eiropas Parlamenta 2024. gada XX. XXX lēmums par pieprasījumu atcelt Eva Kaili imunitāti(2023/2007(IMM))"/>
  </w:docVars>
  <w:rsids>
    <w:rsidRoot w:val="00C80176"/>
    <w:rsid w:val="00002272"/>
    <w:rsid w:val="00064002"/>
    <w:rsid w:val="000677B9"/>
    <w:rsid w:val="000831BA"/>
    <w:rsid w:val="000A42CC"/>
    <w:rsid w:val="000E7DD9"/>
    <w:rsid w:val="0010095E"/>
    <w:rsid w:val="00125B37"/>
    <w:rsid w:val="00187494"/>
    <w:rsid w:val="001E534C"/>
    <w:rsid w:val="001F32AE"/>
    <w:rsid w:val="002672C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BB6"/>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E4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0502"/>
    <w:rsid w:val="00BD48FE"/>
    <w:rsid w:val="00BD7BD8"/>
    <w:rsid w:val="00BE6ADC"/>
    <w:rsid w:val="00C05BFE"/>
    <w:rsid w:val="00C23CD4"/>
    <w:rsid w:val="00C3393F"/>
    <w:rsid w:val="00C61C0C"/>
    <w:rsid w:val="00C8017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AA366"/>
  <w15:chartTrackingRefBased/>
  <w15:docId w15:val="{7F4F1A8F-111B-4292-852F-99CE3170F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17BB6"/>
    <w:rPr>
      <w:b/>
    </w:rPr>
  </w:style>
  <w:style w:type="paragraph" w:customStyle="1" w:styleId="EPComma">
    <w:name w:val="EPComma"/>
    <w:basedOn w:val="Normal"/>
    <w:rsid w:val="00517BB6"/>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0357D-10ED-4E62-AA16-521F51842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772</Words>
  <Characters>4573</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LL_Start</cp:lastModifiedBy>
  <cp:revision>2</cp:revision>
  <cp:lastPrinted>2004-11-19T15:42:00Z</cp:lastPrinted>
  <dcterms:created xsi:type="dcterms:W3CDTF">2024-06-13T09:59:00Z</dcterms:created>
  <dcterms:modified xsi:type="dcterms:W3CDTF">2024-06-13T09:59:00Z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A9-0029/2024</vt:lpwstr>
  </property>
  <property fmtid="{D5CDD505-2E9C-101B-9397-08002B2CF9AE}" pid="4" name="&lt;Type&gt;">
    <vt:lpwstr>RR</vt:lpwstr>
  </property>
</Properties>
</file>