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24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2471" w:rsidRDefault="001A562E" w:rsidP="0010095E">
            <w:pPr>
              <w:pStyle w:val="EPName"/>
            </w:pPr>
            <w:r w:rsidRPr="007D2471">
              <w:t>Parlament Ewropew</w:t>
            </w:r>
          </w:p>
          <w:p w:rsidR="00751A4A" w:rsidRPr="007D24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247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D2471" w:rsidRDefault="00187494" w:rsidP="0010095E">
            <w:pPr>
              <w:pStyle w:val="EPLogo"/>
            </w:pPr>
            <w:r w:rsidRPr="007D24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2471" w:rsidRDefault="00D058B8" w:rsidP="004C5D52">
      <w:pPr>
        <w:pStyle w:val="LineTop"/>
      </w:pPr>
    </w:p>
    <w:p w:rsidR="00680577" w:rsidRPr="007D2471" w:rsidRDefault="001A562E" w:rsidP="00680577">
      <w:pPr>
        <w:pStyle w:val="EPBodyTA1"/>
      </w:pPr>
      <w:r w:rsidRPr="007D2471">
        <w:t>TESTI ADOTTATI</w:t>
      </w:r>
    </w:p>
    <w:p w:rsidR="00D058B8" w:rsidRPr="007D2471" w:rsidRDefault="00D058B8" w:rsidP="00D058B8">
      <w:pPr>
        <w:pStyle w:val="LineBottom"/>
      </w:pPr>
    </w:p>
    <w:p w:rsidR="001A562E" w:rsidRPr="007D2471" w:rsidRDefault="001A562E" w:rsidP="001A562E">
      <w:pPr>
        <w:pStyle w:val="ATHeading1"/>
      </w:pPr>
      <w:bookmarkStart w:id="0" w:name="TANumber"/>
      <w:r w:rsidRPr="007D2471">
        <w:t>P9_TA(2024)00</w:t>
      </w:r>
      <w:r w:rsidR="002063FE">
        <w:t>56</w:t>
      </w:r>
      <w:bookmarkEnd w:id="0"/>
    </w:p>
    <w:p w:rsidR="001A562E" w:rsidRPr="007D2471" w:rsidRDefault="002063FE" w:rsidP="001A562E">
      <w:pPr>
        <w:pStyle w:val="ATHeading2"/>
      </w:pPr>
      <w:bookmarkStart w:id="1" w:name="title"/>
      <w:r w:rsidRPr="002063FE">
        <w:t>T</w:t>
      </w:r>
      <w:r w:rsidR="001A562E" w:rsidRPr="002063FE">
        <w:t>alba għat-tneħħija tal-</w:t>
      </w:r>
      <w:proofErr w:type="spellStart"/>
      <w:r w:rsidR="001A562E" w:rsidRPr="002063FE">
        <w:t>immunità</w:t>
      </w:r>
      <w:proofErr w:type="spellEnd"/>
      <w:r w:rsidR="001A562E" w:rsidRPr="002063FE">
        <w:t xml:space="preserve"> ta’ Eva </w:t>
      </w:r>
      <w:proofErr w:type="spellStart"/>
      <w:r w:rsidR="001A562E" w:rsidRPr="002063FE">
        <w:t>Kaili</w:t>
      </w:r>
      <w:bookmarkEnd w:id="1"/>
      <w:proofErr w:type="spellEnd"/>
    </w:p>
    <w:p w:rsidR="001A562E" w:rsidRPr="007D2471" w:rsidRDefault="001A562E" w:rsidP="001A562E">
      <w:pPr>
        <w:rPr>
          <w:i/>
          <w:vanish/>
        </w:rPr>
      </w:pPr>
      <w:r w:rsidRPr="007D2471">
        <w:rPr>
          <w:i/>
        </w:rPr>
        <w:fldChar w:fldCharType="begin"/>
      </w:r>
      <w:r w:rsidRPr="007D2471">
        <w:rPr>
          <w:i/>
        </w:rPr>
        <w:instrText xml:space="preserve"> TC"(</w:instrText>
      </w:r>
      <w:bookmarkStart w:id="2" w:name="DocNumber"/>
      <w:r w:rsidRPr="007D2471">
        <w:rPr>
          <w:i/>
        </w:rPr>
        <w:instrText>A9-0029/2024</w:instrText>
      </w:r>
      <w:bookmarkEnd w:id="2"/>
      <w:r w:rsidRPr="007D2471">
        <w:rPr>
          <w:i/>
        </w:rPr>
        <w:instrText xml:space="preserve"> - Rapporteur: Ilana Cicurel)"\l3 \n&gt; \* MERGEFORMAT </w:instrText>
      </w:r>
      <w:r w:rsidRPr="007D2471">
        <w:rPr>
          <w:i/>
        </w:rPr>
        <w:fldChar w:fldCharType="end"/>
      </w:r>
    </w:p>
    <w:p w:rsidR="001A562E" w:rsidRPr="007D2471" w:rsidRDefault="001A562E" w:rsidP="001A562E">
      <w:pPr>
        <w:rPr>
          <w:vanish/>
        </w:rPr>
      </w:pPr>
      <w:bookmarkStart w:id="3" w:name="Commission"/>
      <w:r w:rsidRPr="007D2471">
        <w:rPr>
          <w:vanish/>
        </w:rPr>
        <w:t>Kumitat għall-Affarijiet Legali</w:t>
      </w:r>
      <w:bookmarkEnd w:id="3"/>
    </w:p>
    <w:p w:rsidR="001A562E" w:rsidRPr="007D2471" w:rsidRDefault="001A562E" w:rsidP="001A562E">
      <w:pPr>
        <w:rPr>
          <w:vanish/>
        </w:rPr>
      </w:pPr>
      <w:bookmarkStart w:id="4" w:name="PE"/>
      <w:r w:rsidRPr="007D2471">
        <w:rPr>
          <w:vanish/>
        </w:rPr>
        <w:t>PE749.295</w:t>
      </w:r>
      <w:bookmarkEnd w:id="4"/>
    </w:p>
    <w:p w:rsidR="001A562E" w:rsidRPr="007D2471" w:rsidRDefault="001A562E" w:rsidP="001A562E">
      <w:pPr>
        <w:pStyle w:val="ATHeading3"/>
      </w:pPr>
      <w:bookmarkStart w:id="5" w:name="Sujet"/>
      <w:r w:rsidRPr="007D2471">
        <w:t>Deċiżjoni tal-Parlament Ewropew tas-6 ta' Frar 2024 dwar it-talba għat-tneħħija tal-</w:t>
      </w:r>
      <w:proofErr w:type="spellStart"/>
      <w:r w:rsidRPr="007D2471">
        <w:t>immunità</w:t>
      </w:r>
      <w:proofErr w:type="spellEnd"/>
      <w:r w:rsidRPr="007D2471">
        <w:t xml:space="preserve"> ta’ Eva </w:t>
      </w:r>
      <w:proofErr w:type="spellStart"/>
      <w:r w:rsidRPr="007D2471">
        <w:t>Kaili</w:t>
      </w:r>
      <w:bookmarkEnd w:id="5"/>
      <w:proofErr w:type="spellEnd"/>
      <w:r w:rsidRPr="007D2471">
        <w:t xml:space="preserve"> </w:t>
      </w:r>
      <w:bookmarkStart w:id="6" w:name="References"/>
      <w:r w:rsidRPr="007D2471">
        <w:t>(2023/2007(IMM))</w:t>
      </w:r>
      <w:bookmarkEnd w:id="6"/>
    </w:p>
    <w:p w:rsidR="005E2F5A" w:rsidRPr="007D2471" w:rsidRDefault="005E2F5A" w:rsidP="005E2F5A">
      <w:pPr>
        <w:pStyle w:val="EPComma"/>
      </w:pPr>
      <w:bookmarkStart w:id="7" w:name="TextBodyBegin"/>
      <w:bookmarkEnd w:id="7"/>
      <w:r w:rsidRPr="007D2471">
        <w:rPr>
          <w:i/>
        </w:rPr>
        <w:t>Il-Parlament Ewropew,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–</w:t>
      </w:r>
      <w:r w:rsidRPr="007D2471">
        <w:tab/>
        <w:t xml:space="preserve">wara li </w:t>
      </w:r>
      <w:proofErr w:type="spellStart"/>
      <w:r w:rsidRPr="007D2471">
        <w:t>kkunsidra</w:t>
      </w:r>
      <w:proofErr w:type="spellEnd"/>
      <w:r w:rsidRPr="007D2471">
        <w:t xml:space="preserve"> t-talba għat-tneħħija tal-</w:t>
      </w:r>
      <w:proofErr w:type="spellStart"/>
      <w:r w:rsidRPr="007D2471">
        <w:t>immunità</w:t>
      </w:r>
      <w:proofErr w:type="spellEnd"/>
      <w:r w:rsidRPr="007D2471">
        <w:t xml:space="preserve"> ta’ Eva </w:t>
      </w:r>
      <w:proofErr w:type="spellStart"/>
      <w:r w:rsidRPr="007D2471">
        <w:t>Kaili</w:t>
      </w:r>
      <w:proofErr w:type="spellEnd"/>
      <w:r w:rsidRPr="007D2471">
        <w:t>, imressqa fil-15 ta’ Diċembru 2022 mill-Kap Prosekutur Ewropew, u mħabbra fis-seduta plenarja fid-19 ta’ Jannar 2023,</w:t>
      </w:r>
      <w:bookmarkStart w:id="8" w:name="_GoBack"/>
      <w:bookmarkEnd w:id="8"/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–</w:t>
      </w:r>
      <w:r w:rsidRPr="007D2471">
        <w:tab/>
        <w:t>wara li sema’ lil Eva </w:t>
      </w:r>
      <w:proofErr w:type="spellStart"/>
      <w:r w:rsidRPr="007D2471">
        <w:t>Kaili</w:t>
      </w:r>
      <w:proofErr w:type="spellEnd"/>
      <w:r w:rsidRPr="007D2471">
        <w:t>, f’</w:t>
      </w:r>
      <w:proofErr w:type="spellStart"/>
      <w:r w:rsidRPr="007D2471">
        <w:t>konformità</w:t>
      </w:r>
      <w:proofErr w:type="spellEnd"/>
      <w:r w:rsidRPr="007D2471">
        <w:t xml:space="preserve"> mal-Artikolu 9(6) tar-Regoli ta’ Proċedura tiegħu,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–</w:t>
      </w:r>
      <w:r w:rsidRPr="007D2471">
        <w:tab/>
        <w:t xml:space="preserve">wara li </w:t>
      </w:r>
      <w:proofErr w:type="spellStart"/>
      <w:r w:rsidRPr="007D2471">
        <w:t>kkunsidra</w:t>
      </w:r>
      <w:proofErr w:type="spellEnd"/>
      <w:r w:rsidRPr="007D2471">
        <w:t xml:space="preserve"> l-Artikoli 8 u 9 tal-Protokoll Nru 7 dwar il-Privileġġi u l-</w:t>
      </w:r>
      <w:proofErr w:type="spellStart"/>
      <w:r w:rsidRPr="007D2471">
        <w:t>Immunitajiet</w:t>
      </w:r>
      <w:proofErr w:type="spellEnd"/>
      <w:r w:rsidRPr="007D2471">
        <w:t xml:space="preserve"> tal-Unjoni Ewropea kif ukoll l-Artikolu 6(2) tal-Att tal-20 ta’ Settembru 1976 dwar l-elezzjoni tal-Membri tal-Parlament Ewropew b’vot dirett universali,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–</w:t>
      </w:r>
      <w:r w:rsidRPr="007D2471">
        <w:tab/>
        <w:t xml:space="preserve">wara li </w:t>
      </w:r>
      <w:proofErr w:type="spellStart"/>
      <w:r w:rsidRPr="007D2471">
        <w:t>kkunsidra</w:t>
      </w:r>
      <w:proofErr w:type="spellEnd"/>
      <w:r w:rsidRPr="007D2471">
        <w:t xml:space="preserve"> r-Regolament tal-Kunsill (UE) 2017/1939 tat-12 ta’ Ottubru 2017 li jimplimenta kooperazzjoni msaħħa dwar l-istabbiliment tal-Uffiċċju tal-Prosekutur Pubbliku Ewropew (“l-UPPE”)</w:t>
      </w:r>
      <w:r w:rsidRPr="007D2471">
        <w:rPr>
          <w:vertAlign w:val="superscript"/>
        </w:rPr>
        <w:footnoteReference w:id="1"/>
      </w:r>
      <w:r w:rsidRPr="007D2471">
        <w:t>, u b’mod partikolari l-Artikolu 29(2) tiegħu,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–</w:t>
      </w:r>
      <w:r w:rsidRPr="007D2471">
        <w:tab/>
        <w:t xml:space="preserve">wara li </w:t>
      </w:r>
      <w:proofErr w:type="spellStart"/>
      <w:r w:rsidRPr="007D2471">
        <w:t>kkunsidra</w:t>
      </w:r>
      <w:proofErr w:type="spellEnd"/>
      <w:r w:rsidRPr="007D2471">
        <w:t xml:space="preserve"> s-sentenzi mogħtija mill-Qorti tal-Ġustizzja tal-Unjoni Ewropea fil-21 ta’ Ottubru 2008, fid-19 ta’ Marzu 2010, fis-6 ta’ Settembru 2011, fis-17 ta’ Jannar 2013 u fid-19 ta’ Diċembru 2019</w:t>
      </w:r>
      <w:r w:rsidRPr="007D2471">
        <w:rPr>
          <w:vertAlign w:val="superscript"/>
        </w:rPr>
        <w:footnoteReference w:id="2"/>
      </w:r>
      <w:r w:rsidRPr="007D2471">
        <w:t>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–</w:t>
      </w:r>
      <w:r w:rsidRPr="007D2471">
        <w:tab/>
        <w:t xml:space="preserve">wara li </w:t>
      </w:r>
      <w:proofErr w:type="spellStart"/>
      <w:r w:rsidRPr="007D2471">
        <w:t>kkunsidra</w:t>
      </w:r>
      <w:proofErr w:type="spellEnd"/>
      <w:r w:rsidRPr="007D2471">
        <w:t xml:space="preserve"> l-Artikolu 62 tal-Kostituzzjoni tar-Repubblika </w:t>
      </w:r>
      <w:proofErr w:type="spellStart"/>
      <w:r w:rsidRPr="007D2471">
        <w:t>Ellenika</w:t>
      </w:r>
      <w:proofErr w:type="spellEnd"/>
      <w:r w:rsidRPr="007D2471">
        <w:t>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lastRenderedPageBreak/>
        <w:t>–</w:t>
      </w:r>
      <w:r w:rsidRPr="007D2471">
        <w:tab/>
        <w:t xml:space="preserve">wara li </w:t>
      </w:r>
      <w:proofErr w:type="spellStart"/>
      <w:r w:rsidRPr="007D2471">
        <w:t>kkunsidra</w:t>
      </w:r>
      <w:proofErr w:type="spellEnd"/>
      <w:r w:rsidRPr="007D2471">
        <w:t xml:space="preserve"> l-Artikoli 5(2), 6(1) u 9 tar-Regoli ta’ Proċedura tiegħu,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–</w:t>
      </w:r>
      <w:r w:rsidRPr="007D2471">
        <w:tab/>
        <w:t xml:space="preserve">wara li </w:t>
      </w:r>
      <w:proofErr w:type="spellStart"/>
      <w:r w:rsidRPr="007D2471">
        <w:t>kkunsidra</w:t>
      </w:r>
      <w:proofErr w:type="spellEnd"/>
      <w:r w:rsidRPr="007D2471">
        <w:t xml:space="preserve"> r-rapport tal-Kumitat għall-Affarijiet Legali (A9-0029/2024),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Α.</w:t>
      </w:r>
      <w:r w:rsidRPr="007D2471">
        <w:tab/>
        <w:t>billi l-Kap Prosekutur Ewropew talab it-tneħħija tal-</w:t>
      </w:r>
      <w:proofErr w:type="spellStart"/>
      <w:r w:rsidRPr="007D2471">
        <w:t>immunità</w:t>
      </w:r>
      <w:proofErr w:type="spellEnd"/>
      <w:r w:rsidRPr="007D2471">
        <w:t xml:space="preserve"> parlamentari ta’ Eva </w:t>
      </w:r>
      <w:proofErr w:type="spellStart"/>
      <w:r w:rsidRPr="007D2471">
        <w:t>Kaili</w:t>
      </w:r>
      <w:proofErr w:type="spellEnd"/>
      <w:r w:rsidRPr="007D2471">
        <w:t xml:space="preserve"> fil-kuntest ta’ investigazzjoni li għaddejja dwar atti li x’aktarx jikkostitwixxu reat kbir ta’ </w:t>
      </w:r>
      <w:proofErr w:type="spellStart"/>
      <w:r w:rsidRPr="007D2471">
        <w:t>istigazzjoni</w:t>
      </w:r>
      <w:proofErr w:type="spellEnd"/>
      <w:r w:rsidRPr="007D2471">
        <w:t xml:space="preserve"> ta’ frodi li taffettwa l-interessi finanzjarji tal-Unjoni Ewropea, imwettqa ripetutament, li rriżultaw f’dannu ta’ aktar minn EUR 120 000 u EUR 150 000, punibbli b’terminu ta’ priġunerija ta’ bejn 5 u 15-il sena, kif previst fl-Artikolu 46(1), l-Artikolu 52(2) u l-Artikolu 98(2) tal-Kodiċi Kriminali Grieg u fl-Artikolu 4(1) u l-Artikolu 4(2)(b) tal-Liġi Nru 2803/2000, flimkien mal-Artikolu 2(1) u l-Artikolu 386(2) tal-Kodiċi Kriminali Grieg, l-Artikolu 24(2) u l-Artikolu 26(3) tal-Liġi Nru 4689/2020;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Β.</w:t>
      </w:r>
      <w:r w:rsidRPr="007D2471">
        <w:tab/>
        <w:t>billi, b’</w:t>
      </w:r>
      <w:proofErr w:type="spellStart"/>
      <w:r w:rsidRPr="007D2471">
        <w:t>segwitu</w:t>
      </w:r>
      <w:proofErr w:type="spellEnd"/>
      <w:r w:rsidRPr="007D2471">
        <w:t xml:space="preserve"> għal rapport </w:t>
      </w:r>
      <w:proofErr w:type="spellStart"/>
      <w:r w:rsidRPr="007D2471">
        <w:t>tal-OLAF</w:t>
      </w:r>
      <w:proofErr w:type="spellEnd"/>
      <w:r w:rsidRPr="007D2471">
        <w:t xml:space="preserve"> irreġistrat mill-Kap Prosekutur Ewropew fl-1 ta’ Lulju 2021, il-Prosekutur Delegat Ewropew Grieg fetaħ l-investigazzjoni inkwistjoni fit-8 ta’ Settembru 2021; billi fit-12 ta’ Novembru 2021, f’</w:t>
      </w:r>
      <w:proofErr w:type="spellStart"/>
      <w:r w:rsidRPr="007D2471">
        <w:t>konformità</w:t>
      </w:r>
      <w:proofErr w:type="spellEnd"/>
      <w:r w:rsidRPr="007D2471">
        <w:t xml:space="preserve"> mar-responsabbiltajiet tagħha, il-Prosekutur Ewropew delegata inkarigata mill-każ talbet </w:t>
      </w:r>
      <w:proofErr w:type="spellStart"/>
      <w:r w:rsidRPr="007D2471">
        <w:t>lill-OLAF</w:t>
      </w:r>
      <w:proofErr w:type="spellEnd"/>
      <w:r w:rsidRPr="007D2471">
        <w:t xml:space="preserve"> jippreżenta d-dokumenti tal-każ; billi, wara li analizzat il-każ, fit-2 ta’ Frar 2022, talbet investigazzjoni ulterjuri </w:t>
      </w:r>
      <w:proofErr w:type="spellStart"/>
      <w:r w:rsidRPr="007D2471">
        <w:t>mill-OLAF</w:t>
      </w:r>
      <w:proofErr w:type="spellEnd"/>
      <w:r w:rsidRPr="007D2471">
        <w:t xml:space="preserve"> u t-traduzzjoni tad-dokumenti tal-każ mill-Ingliż għall-Grieg fis-7 ta’ Frar 2022; billi </w:t>
      </w:r>
      <w:proofErr w:type="spellStart"/>
      <w:r w:rsidRPr="007D2471">
        <w:t>l-OLAF</w:t>
      </w:r>
      <w:proofErr w:type="spellEnd"/>
      <w:r w:rsidRPr="007D2471">
        <w:t xml:space="preserve"> ippreżenta r-rapport finali u d-dokumenti ta’ sostenn tiegħu fit-8 ta’ Diċembru 2022 u t-traduzzjonijiet korrispondenti fl-14 ta’ Diċembru 2022;</w:t>
      </w:r>
    </w:p>
    <w:p w:rsidR="005E2F5A" w:rsidRPr="007D2471" w:rsidRDefault="005E2F5A" w:rsidP="00AC3B11">
      <w:pPr>
        <w:spacing w:after="240"/>
        <w:ind w:left="567" w:hanging="567"/>
        <w:jc w:val="both"/>
      </w:pPr>
      <w:r w:rsidRPr="007D2471">
        <w:t>C.</w:t>
      </w:r>
      <w:r w:rsidRPr="007D2471">
        <w:tab/>
        <w:t xml:space="preserve">billi l-irregolaritajiet allegati li Eva </w:t>
      </w:r>
      <w:proofErr w:type="spellStart"/>
      <w:r w:rsidRPr="007D2471">
        <w:t>Kaili</w:t>
      </w:r>
      <w:proofErr w:type="spellEnd"/>
      <w:r w:rsidRPr="007D2471">
        <w:t xml:space="preserve"> kienet taf bihom jirrigwardaw b’mod partikolari:</w:t>
      </w:r>
    </w:p>
    <w:p w:rsidR="005E2F5A" w:rsidRPr="007D2471" w:rsidRDefault="00AC3B11" w:rsidP="00AC3B11">
      <w:pPr>
        <w:spacing w:after="240"/>
        <w:ind w:left="1134" w:hanging="567"/>
        <w:jc w:val="both"/>
      </w:pPr>
      <w:r>
        <w:t>(a)</w:t>
      </w:r>
      <w:r>
        <w:tab/>
      </w:r>
      <w:r w:rsidR="005E2F5A" w:rsidRPr="007D2471">
        <w:t>nuqqas minn wieħed mill-assistenti parlamentari akkreditati (</w:t>
      </w:r>
      <w:proofErr w:type="spellStart"/>
      <w:r w:rsidR="005E2F5A" w:rsidRPr="007D2471">
        <w:t>APAs</w:t>
      </w:r>
      <w:proofErr w:type="spellEnd"/>
      <w:r w:rsidR="005E2F5A" w:rsidRPr="007D2471">
        <w:t>) tagħha milli jwettaq l-obbligi tiegħu li jkun preżenti fuq il-post tax-xogħol tiegħu bejn it-28 ta’ Settembru 2015 u t-2 ta’ Lulju 2019 u mill-qadi ta’ dmirijietu,</w:t>
      </w:r>
    </w:p>
    <w:p w:rsidR="005E2F5A" w:rsidRPr="007D2471" w:rsidRDefault="00AC3B11" w:rsidP="00AC3B11">
      <w:pPr>
        <w:spacing w:after="240"/>
        <w:ind w:left="1134" w:hanging="567"/>
        <w:jc w:val="both"/>
      </w:pPr>
      <w:r>
        <w:t>(b)</w:t>
      </w:r>
      <w:r>
        <w:tab/>
      </w:r>
      <w:proofErr w:type="spellStart"/>
      <w:r w:rsidR="005E2F5A" w:rsidRPr="007D2471">
        <w:t>it-tressiq</w:t>
      </w:r>
      <w:proofErr w:type="spellEnd"/>
      <w:r w:rsidR="005E2F5A" w:rsidRPr="007D2471">
        <w:t xml:space="preserve"> ta’ talbiet għal ordnijiet ta’ missjonijiet u dikjarazzjonijiet ta’ spejjeż u l-ġbir ta’ </w:t>
      </w:r>
      <w:proofErr w:type="spellStart"/>
      <w:r w:rsidR="005E2F5A" w:rsidRPr="007D2471">
        <w:t>rimborżi</w:t>
      </w:r>
      <w:proofErr w:type="spellEnd"/>
      <w:r w:rsidR="005E2F5A" w:rsidRPr="007D2471">
        <w:t xml:space="preserve"> fir-rigward ta’ missjonijiet mhux imwettqa minn erbgħa mill-</w:t>
      </w:r>
      <w:proofErr w:type="spellStart"/>
      <w:r w:rsidR="005E2F5A" w:rsidRPr="007D2471">
        <w:t>APAs</w:t>
      </w:r>
      <w:proofErr w:type="spellEnd"/>
      <w:r w:rsidR="005E2F5A" w:rsidRPr="007D2471">
        <w:t xml:space="preserve"> ta’ Eva </w:t>
      </w:r>
      <w:proofErr w:type="spellStart"/>
      <w:r w:rsidR="005E2F5A" w:rsidRPr="007D2471">
        <w:t>Kaili</w:t>
      </w:r>
      <w:proofErr w:type="spellEnd"/>
      <w:r w:rsidR="005E2F5A" w:rsidRPr="007D2471">
        <w:t>, bejn Frar 2016 u Marzu 2018 fil-każ tal-ewwel APA, bejn Mejju 2015 u Frar 2020 fil-każ tat-tieni APA, bejn Diċembru 2015 u April 2019 fil-każ tat-tielet APA, u bejn Ottubru 2014 u Frar 2020 fil-każ tar-raba’ APA,</w:t>
      </w:r>
    </w:p>
    <w:p w:rsidR="005E2F5A" w:rsidRPr="007D2471" w:rsidRDefault="00AC3B11" w:rsidP="00AC3B11">
      <w:pPr>
        <w:spacing w:after="240"/>
        <w:ind w:left="1134" w:hanging="567"/>
        <w:jc w:val="both"/>
      </w:pPr>
      <w:r>
        <w:t>(c)</w:t>
      </w:r>
      <w:r>
        <w:tab/>
      </w:r>
      <w:r w:rsidR="005E2F5A" w:rsidRPr="007D2471">
        <w:t xml:space="preserve">il-ħlas ta’ parti mis-salarji/spejjeż tal-missjonijiet ta’ APA lil Eva </w:t>
      </w:r>
      <w:proofErr w:type="spellStart"/>
      <w:r w:rsidR="005E2F5A" w:rsidRPr="007D2471">
        <w:t>Kaili</w:t>
      </w:r>
      <w:proofErr w:type="spellEnd"/>
      <w:r w:rsidR="005E2F5A" w:rsidRPr="007D2471">
        <w:t xml:space="preserve"> fuq talba allegata tagħha, bejn it-28 ta’ Settembru 2015 u t-2 ta’ Lulju 2019;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D.</w:t>
      </w:r>
      <w:r w:rsidRPr="007D2471">
        <w:tab/>
        <w:t>billi, minn naħa, il-Parlament ma jistax jitqies bħala qorti u, min-naħa l-oħra, il-Membru ma jistax, fil-kuntest ta’ proċedura għat-tneħħija tal-</w:t>
      </w:r>
      <w:proofErr w:type="spellStart"/>
      <w:r w:rsidRPr="007D2471">
        <w:t>immunità</w:t>
      </w:r>
      <w:proofErr w:type="spellEnd"/>
      <w:r w:rsidRPr="007D2471">
        <w:t>, jitqies bħala “akkużat”</w:t>
      </w:r>
      <w:r w:rsidRPr="007D2471">
        <w:rPr>
          <w:vertAlign w:val="superscript"/>
        </w:rPr>
        <w:footnoteReference w:id="3"/>
      </w:r>
      <w:r w:rsidRPr="007D2471">
        <w:t>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E.</w:t>
      </w:r>
      <w:r w:rsidRPr="007D2471">
        <w:tab/>
        <w:t xml:space="preserve">billi l-allegat reat ma </w:t>
      </w:r>
      <w:proofErr w:type="spellStart"/>
      <w:r w:rsidRPr="007D2471">
        <w:t>jikkonċernax</w:t>
      </w:r>
      <w:proofErr w:type="spellEnd"/>
      <w:r w:rsidRPr="007D2471">
        <w:t xml:space="preserve"> opinjonijiet jew voti mitfugħa minn Eva </w:t>
      </w:r>
      <w:proofErr w:type="spellStart"/>
      <w:r w:rsidRPr="007D2471">
        <w:t>Kaili</w:t>
      </w:r>
      <w:proofErr w:type="spellEnd"/>
      <w:r w:rsidRPr="007D2471">
        <w:t xml:space="preserve"> fil-qadi ta’ dmirijietha bħala Membru tal-Parlament Ewropew, skont l-Artikolu 8 tal-Protokoll Nru 7 dwar il-Privileġġi u l-</w:t>
      </w:r>
      <w:proofErr w:type="spellStart"/>
      <w:r w:rsidRPr="007D2471">
        <w:t>Immunitajiet</w:t>
      </w:r>
      <w:proofErr w:type="spellEnd"/>
      <w:r w:rsidRPr="007D2471">
        <w:t xml:space="preserve"> tal-Unjoni Ewropea;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F.</w:t>
      </w:r>
      <w:r w:rsidRPr="007D2471">
        <w:tab/>
        <w:t>billi, skont l-Artikolu 9 tal-Protokoll Nru 7 dwar il-Privileġġi u l-</w:t>
      </w:r>
      <w:proofErr w:type="spellStart"/>
      <w:r w:rsidRPr="007D2471">
        <w:t>Immunitajiet</w:t>
      </w:r>
      <w:proofErr w:type="spellEnd"/>
      <w:r w:rsidRPr="007D2471">
        <w:t xml:space="preserve"> tal-Unjoni Ewropea, il-Membri tal-Parlament Ewropew jibbenefikaw, fit-territorju nazzjonali tagħhom, minn </w:t>
      </w:r>
      <w:proofErr w:type="spellStart"/>
      <w:r w:rsidRPr="007D2471">
        <w:t>immunitajiet</w:t>
      </w:r>
      <w:proofErr w:type="spellEnd"/>
      <w:r w:rsidRPr="007D2471">
        <w:t xml:space="preserve"> mogħtija lid-deputati tal-parlament nazzjonali ta’ pajjiżhom;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lastRenderedPageBreak/>
        <w:t>G.</w:t>
      </w:r>
      <w:r w:rsidRPr="007D2471">
        <w:tab/>
        <w:t xml:space="preserve">billi l-Artikolu 62 tal-Kostituzzjoni tar-Repubblika </w:t>
      </w:r>
      <w:proofErr w:type="spellStart"/>
      <w:r w:rsidRPr="007D2471">
        <w:t>Ellenika</w:t>
      </w:r>
      <w:proofErr w:type="spellEnd"/>
      <w:r w:rsidRPr="007D2471">
        <w:t xml:space="preserve"> jipprevedi, fost affarijiet oħra, li matul il-</w:t>
      </w:r>
      <w:proofErr w:type="spellStart"/>
      <w:r w:rsidRPr="007D2471">
        <w:t>leġiżlatura</w:t>
      </w:r>
      <w:proofErr w:type="spellEnd"/>
      <w:r w:rsidRPr="007D2471">
        <w:t>, id-deputati ma għandhomx jiġu mħarrka, arrestati, miżmuma l-ħabs jew inkella sottomessi għal xi restrizzjoni oħra mingħajr l-awtorizzazzjoni minn qabel tal-Parlament;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H.</w:t>
      </w:r>
      <w:r w:rsidRPr="007D2471">
        <w:tab/>
        <w:t>billi l-għan tal-</w:t>
      </w:r>
      <w:proofErr w:type="spellStart"/>
      <w:r w:rsidRPr="007D2471">
        <w:t>immunità</w:t>
      </w:r>
      <w:proofErr w:type="spellEnd"/>
      <w:r w:rsidRPr="007D2471">
        <w:t xml:space="preserve"> parlamentari huwa li tipproteġi lill-Parlament u lill-Membri tiegħu minn proċedimenti ġudizzjarji relatati ma’ attivitajiet imwettqa fil-qadi tad-dmirijiet parlamentari u li huma </w:t>
      </w:r>
      <w:proofErr w:type="spellStart"/>
      <w:r w:rsidRPr="007D2471">
        <w:t>inseparabbli</w:t>
      </w:r>
      <w:proofErr w:type="spellEnd"/>
      <w:r w:rsidRPr="007D2471">
        <w:t xml:space="preserve"> minn dawn l-attivitajiet;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I.</w:t>
      </w:r>
      <w:r w:rsidRPr="007D2471">
        <w:tab/>
        <w:t xml:space="preserve">billi, f’dan il-każ, il-Parlament ma setax </w:t>
      </w:r>
      <w:proofErr w:type="spellStart"/>
      <w:r w:rsidRPr="007D2471">
        <w:t>jikkonstata</w:t>
      </w:r>
      <w:proofErr w:type="spellEnd"/>
      <w:r w:rsidRPr="007D2471">
        <w:t xml:space="preserve"> l-eżistenza ta’ </w:t>
      </w:r>
      <w:proofErr w:type="spellStart"/>
      <w:r w:rsidRPr="007D2471">
        <w:rPr>
          <w:i/>
        </w:rPr>
        <w:t>fumus</w:t>
      </w:r>
      <w:proofErr w:type="spellEnd"/>
      <w:r w:rsidRPr="007D2471">
        <w:rPr>
          <w:i/>
        </w:rPr>
        <w:t xml:space="preserve"> </w:t>
      </w:r>
      <w:proofErr w:type="spellStart"/>
      <w:r w:rsidRPr="007D2471">
        <w:rPr>
          <w:i/>
        </w:rPr>
        <w:t>persecutionis</w:t>
      </w:r>
      <w:proofErr w:type="spellEnd"/>
      <w:r w:rsidRPr="007D2471">
        <w:t>, jiġifieri elementi fattwali li jindikaw li l-proċedimenti legali inkwistjoni nfetħu bl-intenzjoni li ssir ħsara lill-attività politika tal-Membru u għalhekk tal-Parlament Ewropew;</w:t>
      </w:r>
    </w:p>
    <w:p w:rsidR="005E2F5A" w:rsidRPr="007D2471" w:rsidRDefault="005E2F5A" w:rsidP="005E2F5A">
      <w:pPr>
        <w:spacing w:after="240"/>
        <w:ind w:left="567" w:hanging="567"/>
        <w:jc w:val="both"/>
      </w:pPr>
      <w:r w:rsidRPr="007D2471">
        <w:t>1.</w:t>
      </w:r>
      <w:r w:rsidRPr="007D2471">
        <w:tab/>
        <w:t>Jiddeċiedi li jneħħi l-</w:t>
      </w:r>
      <w:proofErr w:type="spellStart"/>
      <w:r w:rsidRPr="007D2471">
        <w:t>immunità</w:t>
      </w:r>
      <w:proofErr w:type="spellEnd"/>
      <w:r w:rsidRPr="007D2471">
        <w:t xml:space="preserve"> ta’ Eva </w:t>
      </w:r>
      <w:proofErr w:type="spellStart"/>
      <w:r w:rsidRPr="007D2471">
        <w:t>Kaili</w:t>
      </w:r>
      <w:proofErr w:type="spellEnd"/>
      <w:r w:rsidRPr="007D2471">
        <w:t>;</w:t>
      </w:r>
    </w:p>
    <w:p w:rsidR="00E365E1" w:rsidRPr="007D2471" w:rsidRDefault="005E2F5A" w:rsidP="00AC3B11">
      <w:pPr>
        <w:spacing w:after="240"/>
        <w:ind w:left="567" w:hanging="567"/>
        <w:jc w:val="both"/>
      </w:pPr>
      <w:r w:rsidRPr="007D2471">
        <w:t>2.</w:t>
      </w:r>
      <w:r w:rsidRPr="007D2471">
        <w:tab/>
        <w:t xml:space="preserve">Jagħti istruzzjonijiet lill-President tiegħu biex tgħaddi minnufih din id-deċiżjoni u r-rapport tal-kumitat responsabbli tiegħu lill-Uffiċċju tal-Prosekutur Pubbliku Ewropew u lil Eva </w:t>
      </w:r>
      <w:proofErr w:type="spellStart"/>
      <w:r w:rsidRPr="007D2471">
        <w:t>Kaili</w:t>
      </w:r>
      <w:proofErr w:type="spellEnd"/>
      <w:r w:rsidRPr="007D2471">
        <w:t>.</w:t>
      </w:r>
      <w:bookmarkStart w:id="9" w:name="TextBodyEnd"/>
      <w:bookmarkEnd w:id="9"/>
    </w:p>
    <w:sectPr w:rsidR="00E365E1" w:rsidRPr="007D2471" w:rsidSect="007D24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62E" w:rsidRPr="007D2471" w:rsidRDefault="001A562E">
      <w:r w:rsidRPr="007D2471">
        <w:separator/>
      </w:r>
    </w:p>
  </w:endnote>
  <w:endnote w:type="continuationSeparator" w:id="0">
    <w:p w:rsidR="001A562E" w:rsidRPr="007D2471" w:rsidRDefault="001A562E">
      <w:r w:rsidRPr="007D24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24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24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24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62E" w:rsidRPr="007D2471" w:rsidRDefault="001A562E">
      <w:r w:rsidRPr="007D2471">
        <w:separator/>
      </w:r>
    </w:p>
  </w:footnote>
  <w:footnote w:type="continuationSeparator" w:id="0">
    <w:p w:rsidR="001A562E" w:rsidRPr="007D2471" w:rsidRDefault="001A562E">
      <w:r w:rsidRPr="007D2471">
        <w:continuationSeparator/>
      </w:r>
    </w:p>
  </w:footnote>
  <w:footnote w:id="1">
    <w:p w:rsidR="005E2F5A" w:rsidRPr="007D2471" w:rsidRDefault="005E2F5A" w:rsidP="007D2471">
      <w:pPr>
        <w:pStyle w:val="FootnoteText"/>
        <w:ind w:left="567" w:hanging="567"/>
        <w:rPr>
          <w:sz w:val="24"/>
          <w:lang w:val="mt-MT"/>
        </w:rPr>
      </w:pPr>
      <w:r w:rsidRPr="007D2471">
        <w:rPr>
          <w:rStyle w:val="FootnoteReference"/>
          <w:rFonts w:eastAsia="Calibri"/>
          <w:sz w:val="24"/>
          <w:lang w:val="mt-MT"/>
        </w:rPr>
        <w:footnoteRef/>
      </w:r>
      <w:r w:rsidR="007D2471" w:rsidRPr="007D2471">
        <w:rPr>
          <w:sz w:val="24"/>
          <w:lang w:val="mt-MT"/>
        </w:rPr>
        <w:t xml:space="preserve"> </w:t>
      </w:r>
      <w:r w:rsidR="007D2471" w:rsidRPr="007D2471">
        <w:rPr>
          <w:sz w:val="24"/>
          <w:lang w:val="mt-MT"/>
        </w:rPr>
        <w:tab/>
      </w:r>
      <w:r w:rsidRPr="007D2471">
        <w:rPr>
          <w:sz w:val="24"/>
          <w:lang w:val="mt-MT"/>
        </w:rPr>
        <w:t>ĠU L 283, 31.10.2017, p. 1</w:t>
      </w:r>
    </w:p>
  </w:footnote>
  <w:footnote w:id="2">
    <w:p w:rsidR="005E2F5A" w:rsidRPr="007D2471" w:rsidRDefault="005E2F5A" w:rsidP="007D2471">
      <w:pPr>
        <w:pStyle w:val="FootnoteText"/>
        <w:ind w:left="567" w:hanging="567"/>
        <w:rPr>
          <w:sz w:val="24"/>
          <w:lang w:val="mt-MT"/>
        </w:rPr>
      </w:pPr>
      <w:r w:rsidRPr="007D2471">
        <w:rPr>
          <w:rStyle w:val="FootnoteReference"/>
          <w:rFonts w:eastAsia="Calibri"/>
          <w:sz w:val="24"/>
          <w:lang w:val="mt-MT"/>
        </w:rPr>
        <w:footnoteRef/>
      </w:r>
      <w:r w:rsidR="007D2471" w:rsidRPr="007D2471">
        <w:rPr>
          <w:sz w:val="24"/>
          <w:lang w:val="mt-MT"/>
        </w:rPr>
        <w:t xml:space="preserve"> </w:t>
      </w:r>
      <w:r w:rsidR="007D2471" w:rsidRPr="007D2471">
        <w:rPr>
          <w:sz w:val="24"/>
          <w:lang w:val="mt-MT"/>
        </w:rPr>
        <w:tab/>
      </w:r>
      <w:r w:rsidRPr="007D2471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7D2471">
        <w:rPr>
          <w:i/>
          <w:iCs/>
          <w:sz w:val="24"/>
          <w:lang w:val="mt-MT"/>
        </w:rPr>
        <w:t>Marra</w:t>
      </w:r>
      <w:proofErr w:type="spellEnd"/>
      <w:r w:rsidRPr="007D2471">
        <w:rPr>
          <w:i/>
          <w:iCs/>
          <w:sz w:val="24"/>
          <w:lang w:val="mt-MT"/>
        </w:rPr>
        <w:t xml:space="preserve"> </w:t>
      </w:r>
      <w:proofErr w:type="spellStart"/>
      <w:r w:rsidRPr="007D2471">
        <w:rPr>
          <w:i/>
          <w:iCs/>
          <w:sz w:val="24"/>
          <w:lang w:val="mt-MT"/>
        </w:rPr>
        <w:t>vs</w:t>
      </w:r>
      <w:proofErr w:type="spellEnd"/>
      <w:r w:rsidRPr="007D2471">
        <w:rPr>
          <w:i/>
          <w:iCs/>
          <w:sz w:val="24"/>
          <w:lang w:val="mt-MT"/>
        </w:rPr>
        <w:t xml:space="preserve"> De </w:t>
      </w:r>
      <w:proofErr w:type="spellStart"/>
      <w:r w:rsidRPr="007D2471">
        <w:rPr>
          <w:i/>
          <w:iCs/>
          <w:sz w:val="24"/>
          <w:lang w:val="mt-MT"/>
        </w:rPr>
        <w:t>Gregorio</w:t>
      </w:r>
      <w:proofErr w:type="spellEnd"/>
      <w:r w:rsidRPr="007D2471">
        <w:rPr>
          <w:i/>
          <w:iCs/>
          <w:sz w:val="24"/>
          <w:lang w:val="mt-MT"/>
        </w:rPr>
        <w:t xml:space="preserve"> u </w:t>
      </w:r>
      <w:proofErr w:type="spellStart"/>
      <w:r w:rsidRPr="007D2471">
        <w:rPr>
          <w:i/>
          <w:iCs/>
          <w:sz w:val="24"/>
          <w:lang w:val="mt-MT"/>
        </w:rPr>
        <w:t>Clemente</w:t>
      </w:r>
      <w:proofErr w:type="spellEnd"/>
      <w:r w:rsidRPr="007D2471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7D2471">
        <w:rPr>
          <w:i/>
          <w:iCs/>
          <w:sz w:val="24"/>
          <w:lang w:val="mt-MT"/>
        </w:rPr>
        <w:t>Gollnisch</w:t>
      </w:r>
      <w:proofErr w:type="spellEnd"/>
      <w:r w:rsidRPr="007D2471">
        <w:rPr>
          <w:i/>
          <w:iCs/>
          <w:sz w:val="24"/>
          <w:lang w:val="mt-MT"/>
        </w:rPr>
        <w:t xml:space="preserve"> </w:t>
      </w:r>
      <w:proofErr w:type="spellStart"/>
      <w:r w:rsidRPr="007D2471">
        <w:rPr>
          <w:i/>
          <w:iCs/>
          <w:sz w:val="24"/>
          <w:lang w:val="mt-MT"/>
        </w:rPr>
        <w:t>vs</w:t>
      </w:r>
      <w:proofErr w:type="spellEnd"/>
      <w:r w:rsidRPr="007D2471">
        <w:rPr>
          <w:i/>
          <w:iCs/>
          <w:sz w:val="24"/>
          <w:lang w:val="mt-MT"/>
        </w:rPr>
        <w:t xml:space="preserve"> il-Parlament</w:t>
      </w:r>
      <w:r w:rsidRPr="007D2471">
        <w:rPr>
          <w:sz w:val="24"/>
          <w:lang w:val="mt-MT"/>
        </w:rPr>
        <w:t xml:space="preserve">, T-42/06, ECLI:EU:T:2010:102; is-Sentenza tal-Qorti tal-Ġustizzja tas-6 ta’ Settembru 2011, </w:t>
      </w:r>
      <w:proofErr w:type="spellStart"/>
      <w:r w:rsidRPr="007D2471">
        <w:rPr>
          <w:i/>
          <w:iCs/>
          <w:sz w:val="24"/>
          <w:lang w:val="mt-MT"/>
        </w:rPr>
        <w:t>Patriciello</w:t>
      </w:r>
      <w:proofErr w:type="spellEnd"/>
      <w:r w:rsidRPr="007D2471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7D2471">
        <w:rPr>
          <w:i/>
          <w:iCs/>
          <w:sz w:val="24"/>
          <w:lang w:val="mt-MT"/>
        </w:rPr>
        <w:t>Gollnisch</w:t>
      </w:r>
      <w:proofErr w:type="spellEnd"/>
      <w:r w:rsidRPr="007D2471">
        <w:rPr>
          <w:i/>
          <w:iCs/>
          <w:sz w:val="24"/>
          <w:lang w:val="mt-MT"/>
        </w:rPr>
        <w:t xml:space="preserve"> </w:t>
      </w:r>
      <w:proofErr w:type="spellStart"/>
      <w:r w:rsidRPr="007D2471">
        <w:rPr>
          <w:i/>
          <w:iCs/>
          <w:sz w:val="24"/>
          <w:lang w:val="mt-MT"/>
        </w:rPr>
        <w:t>vs</w:t>
      </w:r>
      <w:proofErr w:type="spellEnd"/>
      <w:r w:rsidRPr="007D2471">
        <w:rPr>
          <w:i/>
          <w:iCs/>
          <w:sz w:val="24"/>
          <w:lang w:val="mt-MT"/>
        </w:rPr>
        <w:t xml:space="preserve"> il-Parlament</w:t>
      </w:r>
      <w:r w:rsidRPr="007D2471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7D2471">
        <w:rPr>
          <w:i/>
          <w:iCs/>
          <w:sz w:val="24"/>
          <w:lang w:val="mt-MT"/>
        </w:rPr>
        <w:t>Junqueras</w:t>
      </w:r>
      <w:proofErr w:type="spellEnd"/>
      <w:r w:rsidRPr="007D2471">
        <w:rPr>
          <w:i/>
          <w:iCs/>
          <w:sz w:val="24"/>
          <w:lang w:val="mt-MT"/>
        </w:rPr>
        <w:t xml:space="preserve"> </w:t>
      </w:r>
      <w:proofErr w:type="spellStart"/>
      <w:r w:rsidRPr="007D2471">
        <w:rPr>
          <w:i/>
          <w:iCs/>
          <w:sz w:val="24"/>
          <w:lang w:val="mt-MT"/>
        </w:rPr>
        <w:t>Vies</w:t>
      </w:r>
      <w:proofErr w:type="spellEnd"/>
      <w:r w:rsidRPr="007D2471">
        <w:rPr>
          <w:sz w:val="24"/>
          <w:lang w:val="mt-MT"/>
        </w:rPr>
        <w:t>, C-502/19, ECLI:EU:C:2019:1115.</w:t>
      </w:r>
    </w:p>
  </w:footnote>
  <w:footnote w:id="3">
    <w:p w:rsidR="005E2F5A" w:rsidRPr="007D2471" w:rsidRDefault="005E2F5A" w:rsidP="007D2471">
      <w:pPr>
        <w:pStyle w:val="FootnoteText"/>
        <w:ind w:left="567" w:hanging="567"/>
        <w:rPr>
          <w:sz w:val="24"/>
          <w:lang w:val="mt-MT"/>
        </w:rPr>
      </w:pPr>
      <w:r w:rsidRPr="007D2471">
        <w:rPr>
          <w:rStyle w:val="FootnoteReference"/>
          <w:rFonts w:eastAsia="Calibri"/>
          <w:sz w:val="24"/>
          <w:lang w:val="mt-MT"/>
        </w:rPr>
        <w:footnoteRef/>
      </w:r>
      <w:r w:rsidR="007D2471" w:rsidRPr="007D2471">
        <w:rPr>
          <w:sz w:val="24"/>
          <w:lang w:val="mt-MT"/>
        </w:rPr>
        <w:t xml:space="preserve"> </w:t>
      </w:r>
      <w:r w:rsidR="007D2471" w:rsidRPr="007D2471">
        <w:rPr>
          <w:sz w:val="24"/>
          <w:lang w:val="mt-MT"/>
        </w:rPr>
        <w:tab/>
      </w:r>
      <w:r w:rsidRPr="007D2471">
        <w:rPr>
          <w:sz w:val="24"/>
          <w:lang w:val="mt-MT"/>
        </w:rPr>
        <w:t xml:space="preserve">Is-sentenza tal-Qorti Ġenerali tat-30 ta’ April 2019, </w:t>
      </w:r>
      <w:proofErr w:type="spellStart"/>
      <w:r w:rsidRPr="007D2471">
        <w:rPr>
          <w:i/>
          <w:iCs/>
          <w:sz w:val="24"/>
          <w:lang w:val="mt-MT"/>
        </w:rPr>
        <w:t>Briois</w:t>
      </w:r>
      <w:proofErr w:type="spellEnd"/>
      <w:r w:rsidRPr="007D2471">
        <w:rPr>
          <w:i/>
          <w:iCs/>
          <w:sz w:val="24"/>
          <w:lang w:val="mt-MT"/>
        </w:rPr>
        <w:t xml:space="preserve"> </w:t>
      </w:r>
      <w:proofErr w:type="spellStart"/>
      <w:r w:rsidRPr="007D2471">
        <w:rPr>
          <w:i/>
          <w:iCs/>
          <w:sz w:val="24"/>
          <w:lang w:val="mt-MT"/>
        </w:rPr>
        <w:t>vs</w:t>
      </w:r>
      <w:proofErr w:type="spellEnd"/>
      <w:r w:rsidRPr="007D2471">
        <w:rPr>
          <w:i/>
          <w:iCs/>
          <w:sz w:val="24"/>
          <w:lang w:val="mt-MT"/>
        </w:rPr>
        <w:t xml:space="preserve"> il-Parlament</w:t>
      </w:r>
      <w:r w:rsidRPr="007D2471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24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24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24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MT"/>
    <w:docVar w:name="dvnumam" w:val="0"/>
    <w:docVar w:name="dvpe" w:val="749.295"/>
    <w:docVar w:name="dvrapporteur" w:val="Rapporteur: "/>
    <w:docVar w:name="dvtitre" w:val="Deċiżjoni tal-Parlament Ewropew tas-6 ta' Frar 2024 dwar it-talba għat-tneħħija tal-immunità ta’ Eva Kaili(2023/2007(IMM))"/>
  </w:docVars>
  <w:rsids>
    <w:rsidRoot w:val="001A562E"/>
    <w:rsid w:val="00002272"/>
    <w:rsid w:val="00064002"/>
    <w:rsid w:val="000677B9"/>
    <w:rsid w:val="000831BA"/>
    <w:rsid w:val="000A42CC"/>
    <w:rsid w:val="000D20C2"/>
    <w:rsid w:val="000E7DD9"/>
    <w:rsid w:val="0010095E"/>
    <w:rsid w:val="00125B37"/>
    <w:rsid w:val="00187494"/>
    <w:rsid w:val="001A562E"/>
    <w:rsid w:val="001F32AE"/>
    <w:rsid w:val="002063F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F5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471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8A7"/>
    <w:rsid w:val="00AB441E"/>
    <w:rsid w:val="00AB6293"/>
    <w:rsid w:val="00AC3B1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FCFB5"/>
  <w15:chartTrackingRefBased/>
  <w15:docId w15:val="{45A0698F-9487-45C2-B513-30432225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2F5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06E87-276E-4FC6-A7F6-CB829911C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721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2024-02-06T12:08:00Z</dcterms:created>
  <dcterms:modified xsi:type="dcterms:W3CDTF">2024-02-06T12:08:00Z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