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3D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3DCE" w:rsidRDefault="002439BD" w:rsidP="0010095E">
            <w:pPr>
              <w:pStyle w:val="EPName"/>
            </w:pPr>
            <w:r w:rsidRPr="00053DCE">
              <w:t>Parlament Europejski</w:t>
            </w:r>
          </w:p>
          <w:p w:rsidR="00751A4A" w:rsidRPr="00053D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3D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53DCE" w:rsidRDefault="00187494" w:rsidP="0010095E">
            <w:pPr>
              <w:pStyle w:val="EPLogo"/>
            </w:pPr>
            <w:r w:rsidRPr="00053DCE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3DCE" w:rsidRDefault="00D058B8" w:rsidP="004C5D52">
      <w:pPr>
        <w:pStyle w:val="LineTop"/>
      </w:pPr>
    </w:p>
    <w:p w:rsidR="00195574" w:rsidRDefault="002439BD" w:rsidP="00680577">
      <w:pPr>
        <w:pStyle w:val="EPBodyTA1"/>
      </w:pPr>
      <w:r w:rsidRPr="00053DCE">
        <w:t>TEKSTY PRZYJĘTE</w:t>
      </w:r>
    </w:p>
    <w:p w:rsidR="002439BD" w:rsidRPr="00053DCE" w:rsidRDefault="002439BD" w:rsidP="002439BD">
      <w:pPr>
        <w:pStyle w:val="ATHeading1"/>
      </w:pPr>
      <w:bookmarkStart w:id="0" w:name="TANumber"/>
      <w:r w:rsidRPr="00053DCE">
        <w:t>P9_TA(2024)00</w:t>
      </w:r>
      <w:bookmarkEnd w:id="0"/>
      <w:r w:rsidR="008D5667">
        <w:t>56</w:t>
      </w:r>
    </w:p>
    <w:p w:rsidR="002439BD" w:rsidRPr="00663C51" w:rsidRDefault="00663C51" w:rsidP="002439BD">
      <w:pPr>
        <w:pStyle w:val="ATHeading2"/>
      </w:pPr>
      <w:r w:rsidRPr="00663C51">
        <w:t xml:space="preserve">Wniosek o uchylenie immunitetu </w:t>
      </w:r>
      <w:proofErr w:type="spellStart"/>
      <w:r w:rsidRPr="00663C51">
        <w:t>Evy</w:t>
      </w:r>
      <w:proofErr w:type="spellEnd"/>
      <w:r w:rsidRPr="00663C51">
        <w:t xml:space="preserve"> </w:t>
      </w:r>
      <w:proofErr w:type="spellStart"/>
      <w:r w:rsidRPr="00663C51">
        <w:t>Kaili</w:t>
      </w:r>
      <w:proofErr w:type="spellEnd"/>
    </w:p>
    <w:p w:rsidR="002439BD" w:rsidRPr="00053DCE" w:rsidRDefault="002439BD" w:rsidP="002439BD">
      <w:pPr>
        <w:rPr>
          <w:i/>
          <w:vanish/>
        </w:rPr>
      </w:pPr>
      <w:r w:rsidRPr="00053DCE">
        <w:rPr>
          <w:i/>
        </w:rPr>
        <w:fldChar w:fldCharType="begin"/>
      </w:r>
      <w:r w:rsidRPr="00053DCE">
        <w:rPr>
          <w:i/>
        </w:rPr>
        <w:instrText xml:space="preserve"> TC"(</w:instrText>
      </w:r>
      <w:bookmarkStart w:id="1" w:name="DocNumber"/>
      <w:r w:rsidRPr="00053DCE">
        <w:rPr>
          <w:i/>
        </w:rPr>
        <w:instrText>A9-0029/2024</w:instrText>
      </w:r>
      <w:bookmarkEnd w:id="1"/>
      <w:r w:rsidRPr="00053DCE">
        <w:rPr>
          <w:i/>
        </w:rPr>
        <w:instrText xml:space="preserve"> - Sprawozdawca: Ilana Cicurel)"\l3 \n&gt; \* MERGEFORMAT </w:instrText>
      </w:r>
      <w:r w:rsidRPr="00053DCE">
        <w:rPr>
          <w:i/>
        </w:rPr>
        <w:fldChar w:fldCharType="end"/>
      </w:r>
    </w:p>
    <w:p w:rsidR="002439BD" w:rsidRPr="00053DCE" w:rsidRDefault="002439BD" w:rsidP="002439BD">
      <w:pPr>
        <w:rPr>
          <w:vanish/>
        </w:rPr>
      </w:pPr>
      <w:bookmarkStart w:id="2" w:name="Commission"/>
      <w:r w:rsidRPr="00053DCE">
        <w:rPr>
          <w:vanish/>
        </w:rPr>
        <w:t>Komisja Prawna</w:t>
      </w:r>
      <w:bookmarkEnd w:id="2"/>
    </w:p>
    <w:p w:rsidR="002439BD" w:rsidRPr="00053DCE" w:rsidRDefault="002439BD" w:rsidP="002439BD">
      <w:pPr>
        <w:rPr>
          <w:vanish/>
        </w:rPr>
      </w:pPr>
      <w:bookmarkStart w:id="3" w:name="PE"/>
      <w:r w:rsidRPr="00053DCE">
        <w:rPr>
          <w:vanish/>
        </w:rPr>
        <w:t>PE749.295</w:t>
      </w:r>
      <w:bookmarkEnd w:id="3"/>
    </w:p>
    <w:p w:rsidR="002439BD" w:rsidRPr="00053DCE" w:rsidRDefault="002439BD" w:rsidP="002439BD">
      <w:pPr>
        <w:pStyle w:val="ATHeading3"/>
      </w:pPr>
      <w:bookmarkStart w:id="4" w:name="Sujet"/>
      <w:r w:rsidRPr="00053DCE">
        <w:t xml:space="preserve">Decyzja Parlamentu Europejskiego z dnia </w:t>
      </w:r>
      <w:r w:rsidR="00913660">
        <w:t>6</w:t>
      </w:r>
      <w:r w:rsidRPr="00053DCE">
        <w:t xml:space="preserve"> </w:t>
      </w:r>
      <w:r w:rsidR="00DA151A">
        <w:t xml:space="preserve">lutego </w:t>
      </w:r>
      <w:r w:rsidRPr="00053DCE">
        <w:t xml:space="preserve">2024 r. w sprawie wniosku o uchylenie immunitetu </w:t>
      </w:r>
      <w:proofErr w:type="spellStart"/>
      <w:r w:rsidRPr="00053DCE">
        <w:t>Evy</w:t>
      </w:r>
      <w:proofErr w:type="spellEnd"/>
      <w:r w:rsidRPr="00053DCE">
        <w:t> </w:t>
      </w:r>
      <w:proofErr w:type="spellStart"/>
      <w:r w:rsidRPr="00053DCE">
        <w:t>Kaili</w:t>
      </w:r>
      <w:bookmarkEnd w:id="4"/>
      <w:proofErr w:type="spellEnd"/>
      <w:r w:rsidRPr="00053DCE">
        <w:t xml:space="preserve"> </w:t>
      </w:r>
      <w:bookmarkStart w:id="5" w:name="References"/>
      <w:r w:rsidRPr="00053DCE">
        <w:t>(2023/2007(IMM))</w:t>
      </w:r>
      <w:bookmarkEnd w:id="5"/>
    </w:p>
    <w:p w:rsidR="004907C6" w:rsidRPr="00053DCE" w:rsidRDefault="004907C6" w:rsidP="004907C6">
      <w:pPr>
        <w:pStyle w:val="EPComma"/>
      </w:pPr>
      <w:bookmarkStart w:id="6" w:name="TextBodyBegin"/>
      <w:bookmarkEnd w:id="6"/>
      <w:r w:rsidRPr="00053DCE">
        <w:rPr>
          <w:i/>
        </w:rPr>
        <w:t>Parlament Europejski</w:t>
      </w:r>
      <w:r w:rsidRPr="00053DCE">
        <w:t>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 xml:space="preserve">uwzględniając przekazany przez Europejską Prokurator Generalną wniosek o uchylenie immunitetu </w:t>
      </w:r>
      <w:proofErr w:type="spellStart"/>
      <w:r w:rsidRPr="00053DCE">
        <w:t>Evy</w:t>
      </w:r>
      <w:proofErr w:type="spellEnd"/>
      <w:r w:rsidRPr="00053DCE">
        <w:t xml:space="preserve"> </w:t>
      </w:r>
      <w:proofErr w:type="spellStart"/>
      <w:r w:rsidRPr="00053DCE">
        <w:t>Kaili</w:t>
      </w:r>
      <w:proofErr w:type="spellEnd"/>
      <w:r w:rsidRPr="00053DCE">
        <w:t xml:space="preserve"> z dnia 15 grudnia 2022 r., ogłoszony na posiedzeniu plenarnym dnia 19 stycznia 2023 r.,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 xml:space="preserve">po wysłuchaniu wyjaśnień </w:t>
      </w:r>
      <w:proofErr w:type="spellStart"/>
      <w:r w:rsidRPr="00053DCE">
        <w:t>Evy</w:t>
      </w:r>
      <w:proofErr w:type="spellEnd"/>
      <w:r w:rsidRPr="00053DCE">
        <w:t xml:space="preserve"> </w:t>
      </w:r>
      <w:proofErr w:type="spellStart"/>
      <w:r w:rsidRPr="00053DCE">
        <w:t>Kaili</w:t>
      </w:r>
      <w:proofErr w:type="spellEnd"/>
      <w:r w:rsidRPr="00053DCE">
        <w:t>, zgodnie z art. 9 ust. 6 Regulaminu,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art. 8 i 9 Protokołu nr 7 w sprawie przywilejów i immunitetów Unii Europejskiej, jak również art. 6 ust. 2 aktu z dnia 20 września 1976 r. dotyczącego wyboru członków Parlamentu Europejskiego w powszechnych wyborach bezpośrednich,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rozporządzenie Rady (UE) 2017/1939 z dnia 12 października 2017 r. wdrażające wzmocnioną współpracę w zakresie ustanowienia Prokuratury Europejskiej</w:t>
      </w:r>
      <w:r w:rsidRPr="00053DCE">
        <w:rPr>
          <w:vertAlign w:val="superscript"/>
        </w:rPr>
        <w:footnoteReference w:id="1"/>
      </w:r>
      <w:r w:rsidRPr="00053DCE">
        <w:t>, w szczególności jego art. 29 ust. 2,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wyroki wydane przez Trybunał Sprawiedliwości Unii Europejskiej w dniach 21 października 2008 r., 19 marca 2010 r., 6 września 2011 r., 17 stycznia 2013 r. i 19 grudnia 2019 r.</w:t>
      </w:r>
      <w:r w:rsidRPr="00053DCE">
        <w:rPr>
          <w:vertAlign w:val="superscript"/>
        </w:rPr>
        <w:footnoteReference w:id="2"/>
      </w:r>
      <w:r w:rsidRPr="00053DCE">
        <w:t>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art. 62 konstytucji Republiki Greckiej,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art. 5 ust. 2, art. 6 ust. 1 oraz art. 9 Regulaminu,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–</w:t>
      </w:r>
      <w:r w:rsidRPr="00053DCE">
        <w:tab/>
        <w:t>uwzględniając sprawozdanie Komisji Prawnej (A9-0029/2024),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Α.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Europejski Prokurator Generalny zwrócił się o uchylenie </w:t>
      </w:r>
      <w:r w:rsidRPr="00053DCE">
        <w:lastRenderedPageBreak/>
        <w:t xml:space="preserve">immunitetu parlamentarnego </w:t>
      </w:r>
      <w:proofErr w:type="spellStart"/>
      <w:r w:rsidRPr="00053DCE">
        <w:t>Evy</w:t>
      </w:r>
      <w:proofErr w:type="spellEnd"/>
      <w:r w:rsidRPr="00053DCE">
        <w:t xml:space="preserve"> </w:t>
      </w:r>
      <w:proofErr w:type="spellStart"/>
      <w:r w:rsidRPr="00053DCE">
        <w:t>Kaili</w:t>
      </w:r>
      <w:proofErr w:type="spellEnd"/>
      <w:r w:rsidRPr="00053DCE">
        <w:t xml:space="preserve"> w związku z postępowaniem toczącym się w sprawie faktów, które mogą stanowić podżeganie do oszustwa naruszającego interesy finansowe Unii Europejskiej, popełnianego wielokrotnie, które spowodowało szkodę przekraczającą kwotę 120 000 i 150 000 EUR, zagrożone karą pozbawienia wolności w wymiarze od 5 do 15 lat, zgodnie z art. 46 ust. 1, art. 52 ust. 2 i art. 98 ust. 2 greckiego kodeksu karnego, oraz art. 4 ust. 1 i art. 4 ust. 2 lit. b) ustawy 2803/2000 w związku z art. 2 ust. 1 i art. 386 ust. 2 greckiego kodeksu karnego, art. 24 ust. 2 i art. 26 ust. 3 ustawy 4689/2020;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Β.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w następstwie sprawozdania OLAF – zarejestrowanego przez Prokuraturę Europejską dnia 1 lipca 2021 r. – grecki delegowany prokurator europejski wszczął przedmiotowe dochodzenie dnia 8 września 2021 r.; mając na uwadze, że dnia 12 listopada 2021 r., w ramach swoich obowiązków, delegowana prokurator europejska prowadząca sprawę zwróciła się do OLAF o przedłożenie dokumentów znajdujących się w aktach sprawy; mając na uwadze, że po zbadaniu sprawy dnia 2 lutego 2022 r. delegowana prokurator europejska zwróciła się do OLAF o prowadzenie dochodzenia uzupełniającego oraz, dnia 7 lutego 2022 r., o przetłumaczenie akt sprawy z języka angielskiego na język grecki; mając ma uwadze, że OLAF przedłożył sprawozdanie końcowe i dokumentację uzupełniającą dnia 8 </w:t>
      </w:r>
      <w:proofErr w:type="gramStart"/>
      <w:r w:rsidRPr="00053DCE">
        <w:t>grudnia</w:t>
      </w:r>
      <w:proofErr w:type="gramEnd"/>
      <w:r w:rsidRPr="00053DCE">
        <w:t xml:space="preserve"> 2022 r., a przedmiotowe tłumaczenia dnia 14 grudnia 2022 r.;</w:t>
      </w:r>
    </w:p>
    <w:p w:rsidR="00195574" w:rsidRDefault="004907C6" w:rsidP="00195574">
      <w:pPr>
        <w:spacing w:before="120" w:after="120"/>
        <w:ind w:left="567" w:hanging="567"/>
        <w:jc w:val="both"/>
      </w:pPr>
      <w:r w:rsidRPr="00053DCE">
        <w:t>C.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domniemane nieprawidłowości, o których miała wiedzieć Eva </w:t>
      </w:r>
      <w:proofErr w:type="spellStart"/>
      <w:r w:rsidRPr="00053DCE">
        <w:t>Kaili</w:t>
      </w:r>
      <w:proofErr w:type="spellEnd"/>
      <w:r w:rsidRPr="00053DCE">
        <w:t>, dotyczą w szczególności:</w:t>
      </w:r>
    </w:p>
    <w:p w:rsidR="00195574" w:rsidRDefault="00195574" w:rsidP="00195574">
      <w:pPr>
        <w:spacing w:before="120" w:after="120"/>
        <w:ind w:left="1134" w:hanging="567"/>
        <w:jc w:val="both"/>
      </w:pPr>
      <w:r>
        <w:t>a</w:t>
      </w:r>
      <w:proofErr w:type="gramStart"/>
      <w:r>
        <w:t>)</w:t>
      </w:r>
      <w:r>
        <w:tab/>
      </w:r>
      <w:r w:rsidR="004907C6" w:rsidRPr="00053DCE">
        <w:t>niewypełnienia</w:t>
      </w:r>
      <w:proofErr w:type="gramEnd"/>
      <w:r w:rsidR="004907C6" w:rsidRPr="00053DCE">
        <w:t xml:space="preserve"> przez jedną z jej akredytowanych asystentek parlamentarnych obowiązków związanych z obecnością w miejscu pracy w okresie od dnia 28 września 2015 r. do dnia 2 lipca 2019 r. oraz niewypełniania obowiązków przez tę asystentkę,</w:t>
      </w:r>
    </w:p>
    <w:p w:rsidR="00195574" w:rsidRDefault="00195574" w:rsidP="00195574">
      <w:pPr>
        <w:spacing w:before="120" w:after="120"/>
        <w:ind w:left="1134" w:hanging="567"/>
        <w:jc w:val="both"/>
      </w:pPr>
      <w:r>
        <w:t>b</w:t>
      </w:r>
      <w:proofErr w:type="gramStart"/>
      <w:r w:rsidR="00B0248E">
        <w:t>)</w:t>
      </w:r>
      <w:bookmarkStart w:id="7" w:name="_GoBack"/>
      <w:bookmarkEnd w:id="7"/>
      <w:r>
        <w:tab/>
      </w:r>
      <w:r w:rsidR="004907C6" w:rsidRPr="00053DCE">
        <w:t>składania</w:t>
      </w:r>
      <w:proofErr w:type="gramEnd"/>
      <w:r w:rsidR="004907C6" w:rsidRPr="00053DCE">
        <w:t xml:space="preserve"> wniosków o wydanie zleceń wyjazdu służbowego i deklaracji wydatków oraz pobierania zwrotów kosztów za podróże służbowe czterech akredytowanych asystentów parlamentarnych (AAP) </w:t>
      </w:r>
      <w:proofErr w:type="spellStart"/>
      <w:r w:rsidR="004907C6" w:rsidRPr="00053DCE">
        <w:t>Evy</w:t>
      </w:r>
      <w:proofErr w:type="spellEnd"/>
      <w:r w:rsidR="004907C6" w:rsidRPr="00053DCE">
        <w:t xml:space="preserve"> </w:t>
      </w:r>
      <w:proofErr w:type="spellStart"/>
      <w:r w:rsidR="004907C6" w:rsidRPr="00053DCE">
        <w:t>Kaili</w:t>
      </w:r>
      <w:proofErr w:type="spellEnd"/>
      <w:r w:rsidR="004907C6" w:rsidRPr="00053DCE">
        <w:t>, którzy w tych wyjazdach nie uczestniczyli: w okresie od lutego 2016 r. do marca 2018 r. w przypadku pierwszego AAP, w okresie od maja 2015 r. do lutego 2020 r. w przypadku drugiego APP, w okresie od grudnia 2015 r. do kwietnia 2019 r. w przypadku trzeciego AAP oraz w okresie od października 2014 r. do lutego 2020 r. w przypadku czwartego AAP,</w:t>
      </w:r>
    </w:p>
    <w:p w:rsidR="00195574" w:rsidRDefault="00195574" w:rsidP="00195574">
      <w:pPr>
        <w:spacing w:before="120" w:after="120"/>
        <w:ind w:left="1134" w:hanging="567"/>
        <w:jc w:val="both"/>
      </w:pPr>
      <w:r>
        <w:t>c</w:t>
      </w:r>
      <w:proofErr w:type="gramStart"/>
      <w:r>
        <w:t>)</w:t>
      </w:r>
      <w:r>
        <w:tab/>
      </w:r>
      <w:r w:rsidR="004907C6" w:rsidRPr="00053DCE">
        <w:t>wypłacenia</w:t>
      </w:r>
      <w:proofErr w:type="gramEnd"/>
      <w:r w:rsidR="004907C6" w:rsidRPr="00053DCE">
        <w:t xml:space="preserve"> części wynagrodzenia lub kosztów podróży służbowych akredytowanej asystentki parlamentarnej na rzecz </w:t>
      </w:r>
      <w:proofErr w:type="spellStart"/>
      <w:r w:rsidR="004907C6" w:rsidRPr="00053DCE">
        <w:t>Evy</w:t>
      </w:r>
      <w:proofErr w:type="spellEnd"/>
      <w:r w:rsidR="004907C6" w:rsidRPr="00053DCE">
        <w:t xml:space="preserve"> </w:t>
      </w:r>
      <w:proofErr w:type="spellStart"/>
      <w:r w:rsidR="004907C6" w:rsidRPr="00053DCE">
        <w:t>Kaili</w:t>
      </w:r>
      <w:proofErr w:type="spellEnd"/>
      <w:r w:rsidR="004907C6" w:rsidRPr="00053DCE">
        <w:t>, rzekomo na jej polecenie, w okresie od dnia 28 września 2015 r. do dnia 2 lipca 2019 r.;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D.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że, z jednej strony, Parlamentu nie można uznawać za sąd, a z drugiej – że posła nie można uznawać za „oskarżonego” w kontekście procedury uchylenia immunitetu</w:t>
      </w:r>
      <w:r w:rsidRPr="00053DCE">
        <w:rPr>
          <w:vertAlign w:val="superscript"/>
        </w:rPr>
        <w:footnoteReference w:id="3"/>
      </w:r>
      <w:r w:rsidRPr="00053DCE">
        <w:t>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E.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czyny zarzucane </w:t>
      </w:r>
      <w:proofErr w:type="spellStart"/>
      <w:r w:rsidRPr="00053DCE">
        <w:t>Evie</w:t>
      </w:r>
      <w:proofErr w:type="spellEnd"/>
      <w:r w:rsidRPr="00053DCE">
        <w:t xml:space="preserve"> </w:t>
      </w:r>
      <w:proofErr w:type="spellStart"/>
      <w:r w:rsidRPr="00053DCE">
        <w:t>Kaili</w:t>
      </w:r>
      <w:proofErr w:type="spellEnd"/>
      <w:r w:rsidRPr="00053DCE">
        <w:t xml:space="preserve"> nie dotyczą opinii ani stanowiska </w:t>
      </w:r>
      <w:proofErr w:type="gramStart"/>
      <w:r w:rsidRPr="00053DCE">
        <w:t>zajętego</w:t>
      </w:r>
      <w:proofErr w:type="gramEnd"/>
      <w:r w:rsidRPr="00053DCE">
        <w:t xml:space="preserve"> przez nią w głosowaniu w czasie wykonywania obowiązków posłanki do Parlamentu Europejskiego w rozumieniu art. 8 Protokołu nr 7 w sprawie przywilejów i immunitetów Unii Europejskiej;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F.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zgodnie z art. 9 Protokołu nr 7 w sprawie przywilejów i immunitetów Unii Europejskiej posłowie do Parlamentu Europejskiego korzystają na </w:t>
      </w:r>
      <w:r w:rsidRPr="00053DCE">
        <w:lastRenderedPageBreak/>
        <w:t>terytorium swojego państwa z immunitetów przyznawanych członkom parlamentu ich państwa;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G.</w:t>
      </w:r>
      <w:r w:rsidRPr="00053DCE">
        <w:tab/>
        <w:t>mając na uwadze, że art. 62 konstytucji Republiki Greckiej stanowi między innymi, iż w trakcie kadencji parlamentarnej posłowie do parlamentu nie mogą być ścigani, aresztowani, pozbawieni wolności ani nie mogą podlegać innym ograniczeniom bez uprzedniej zgody parlamentu;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H.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I.</w:t>
      </w:r>
      <w:r w:rsidRPr="00053DCE">
        <w:tab/>
      </w:r>
      <w:proofErr w:type="gramStart"/>
      <w:r w:rsidRPr="00053DCE">
        <w:t>mając</w:t>
      </w:r>
      <w:proofErr w:type="gramEnd"/>
      <w:r w:rsidRPr="00053DCE">
        <w:t xml:space="preserve"> na uwadze, że w tym przypadku Parlament nie znalazł dowodów wskazujących na zaistnienie </w:t>
      </w:r>
      <w:proofErr w:type="spellStart"/>
      <w:r w:rsidRPr="00053DCE">
        <w:t>fumus</w:t>
      </w:r>
      <w:proofErr w:type="spellEnd"/>
      <w:r w:rsidRPr="00053DCE">
        <w:t xml:space="preserve"> </w:t>
      </w:r>
      <w:proofErr w:type="spellStart"/>
      <w:r w:rsidRPr="00053DCE">
        <w:t>persecutionis</w:t>
      </w:r>
      <w:proofErr w:type="spellEnd"/>
      <w:r w:rsidRPr="00053DCE">
        <w:t>, czyli okoliczności wskazujących na leżący u podstaw postępowania sądowego zamiar zaszkodzenia działalności politycznej posła, a tym samym Parlamentowi Europejskiemu;</w:t>
      </w:r>
    </w:p>
    <w:p w:rsidR="004907C6" w:rsidRPr="00053DCE" w:rsidRDefault="004907C6" w:rsidP="00195574">
      <w:pPr>
        <w:spacing w:before="120" w:after="120"/>
        <w:ind w:left="567" w:hanging="567"/>
        <w:jc w:val="both"/>
      </w:pPr>
      <w:r w:rsidRPr="00053DCE">
        <w:t>1.</w:t>
      </w:r>
      <w:r w:rsidRPr="00053DCE">
        <w:tab/>
      </w:r>
      <w:proofErr w:type="gramStart"/>
      <w:r w:rsidRPr="00053DCE">
        <w:t>podejmuje</w:t>
      </w:r>
      <w:proofErr w:type="gramEnd"/>
      <w:r w:rsidRPr="00053DCE">
        <w:t xml:space="preserve"> decyzję o uchyleniu immunitetu </w:t>
      </w:r>
      <w:proofErr w:type="spellStart"/>
      <w:r w:rsidRPr="00053DCE">
        <w:t>Evy</w:t>
      </w:r>
      <w:proofErr w:type="spellEnd"/>
      <w:r w:rsidRPr="00053DCE">
        <w:t> </w:t>
      </w:r>
      <w:proofErr w:type="spellStart"/>
      <w:r w:rsidRPr="00053DCE">
        <w:t>Kaili</w:t>
      </w:r>
      <w:proofErr w:type="spellEnd"/>
      <w:r w:rsidRPr="00053DCE">
        <w:t>;</w:t>
      </w:r>
    </w:p>
    <w:p w:rsidR="00195574" w:rsidRDefault="004907C6" w:rsidP="00195574">
      <w:pPr>
        <w:spacing w:before="120" w:after="120"/>
        <w:ind w:left="567" w:hanging="567"/>
        <w:jc w:val="both"/>
      </w:pPr>
      <w:r w:rsidRPr="00053DCE">
        <w:t>2.</w:t>
      </w:r>
      <w:r w:rsidRPr="00053DCE">
        <w:tab/>
      </w:r>
      <w:proofErr w:type="gramStart"/>
      <w:r w:rsidRPr="00053DCE">
        <w:t>zobowiązuje</w:t>
      </w:r>
      <w:proofErr w:type="gramEnd"/>
      <w:r w:rsidRPr="00053DCE">
        <w:t xml:space="preserve"> swoją przewodniczącą do bezzwłocznego przekazania niniejszej decyzji i sprawozdania właściwej komisji parlamentarnej Prokuraturze Europejskiej i </w:t>
      </w:r>
      <w:proofErr w:type="spellStart"/>
      <w:r w:rsidRPr="00053DCE">
        <w:t>Evie</w:t>
      </w:r>
      <w:proofErr w:type="spellEnd"/>
      <w:r w:rsidRPr="00053DCE">
        <w:t xml:space="preserve"> </w:t>
      </w:r>
      <w:proofErr w:type="spellStart"/>
      <w:r w:rsidRPr="00053DCE">
        <w:t>Kaili</w:t>
      </w:r>
      <w:proofErr w:type="spellEnd"/>
      <w:r w:rsidRPr="00053DCE">
        <w:t>.</w:t>
      </w:r>
    </w:p>
    <w:p w:rsidR="00E365E1" w:rsidRPr="00053DCE" w:rsidRDefault="00E365E1" w:rsidP="002439BD"/>
    <w:sectPr w:rsidR="00E365E1" w:rsidRPr="00053DCE" w:rsidSect="00053D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9BD" w:rsidRPr="00053DCE" w:rsidRDefault="002439BD">
      <w:r w:rsidRPr="00053DCE">
        <w:separator/>
      </w:r>
    </w:p>
  </w:endnote>
  <w:endnote w:type="continuationSeparator" w:id="0">
    <w:p w:rsidR="002439BD" w:rsidRPr="00053DCE" w:rsidRDefault="002439BD">
      <w:r w:rsidRPr="00053D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9BD" w:rsidRPr="00053DCE" w:rsidRDefault="002439BD">
      <w:r w:rsidRPr="00053DCE">
        <w:separator/>
      </w:r>
    </w:p>
  </w:footnote>
  <w:footnote w:type="continuationSeparator" w:id="0">
    <w:p w:rsidR="002439BD" w:rsidRPr="00053DCE" w:rsidRDefault="002439BD">
      <w:r w:rsidRPr="00053DCE">
        <w:continuationSeparator/>
      </w:r>
    </w:p>
  </w:footnote>
  <w:footnote w:id="1">
    <w:p w:rsidR="004907C6" w:rsidRPr="00053DCE" w:rsidRDefault="004907C6" w:rsidP="00053DCE">
      <w:pPr>
        <w:pStyle w:val="FootnoteText"/>
        <w:ind w:left="567" w:hanging="567"/>
        <w:rPr>
          <w:sz w:val="24"/>
          <w:lang w:val="pl-PL"/>
        </w:rPr>
      </w:pPr>
      <w:r w:rsidRPr="00053DCE">
        <w:rPr>
          <w:rStyle w:val="FootnoteReference"/>
          <w:rFonts w:eastAsia="Calibri"/>
          <w:sz w:val="24"/>
          <w:lang w:val="pl-PL"/>
        </w:rPr>
        <w:footnoteRef/>
      </w:r>
      <w:r w:rsidR="00053DCE" w:rsidRPr="00053DCE">
        <w:rPr>
          <w:sz w:val="24"/>
          <w:lang w:val="pl-PL"/>
        </w:rPr>
        <w:t xml:space="preserve"> </w:t>
      </w:r>
      <w:r w:rsidR="00053DCE" w:rsidRPr="00053DCE">
        <w:rPr>
          <w:sz w:val="24"/>
          <w:lang w:val="pl-PL"/>
        </w:rPr>
        <w:tab/>
      </w:r>
      <w:r w:rsidRPr="00053DCE">
        <w:rPr>
          <w:sz w:val="24"/>
          <w:lang w:val="pl-PL"/>
        </w:rPr>
        <w:t xml:space="preserve">Dz.U. L 283 z 31.10.2017, </w:t>
      </w:r>
      <w:proofErr w:type="gramStart"/>
      <w:r w:rsidRPr="00053DCE">
        <w:rPr>
          <w:sz w:val="24"/>
          <w:lang w:val="pl-PL"/>
        </w:rPr>
        <w:t>s</w:t>
      </w:r>
      <w:proofErr w:type="gramEnd"/>
      <w:r w:rsidRPr="00053DCE">
        <w:rPr>
          <w:sz w:val="24"/>
          <w:lang w:val="pl-PL"/>
        </w:rPr>
        <w:t>. 1.</w:t>
      </w:r>
    </w:p>
  </w:footnote>
  <w:footnote w:id="2">
    <w:p w:rsidR="004907C6" w:rsidRPr="00053DCE" w:rsidRDefault="004907C6" w:rsidP="00053DCE">
      <w:pPr>
        <w:pStyle w:val="FootnoteText"/>
        <w:ind w:left="567" w:hanging="567"/>
        <w:rPr>
          <w:sz w:val="24"/>
          <w:lang w:val="pl-PL"/>
        </w:rPr>
      </w:pPr>
      <w:r w:rsidRPr="00053DCE">
        <w:rPr>
          <w:rStyle w:val="FootnoteReference"/>
          <w:rFonts w:eastAsia="Calibri"/>
          <w:sz w:val="24"/>
          <w:lang w:val="pl-PL"/>
        </w:rPr>
        <w:footnoteRef/>
      </w:r>
      <w:r w:rsidR="00053DCE" w:rsidRPr="00053DCE">
        <w:rPr>
          <w:sz w:val="24"/>
          <w:lang w:val="pl-PL"/>
        </w:rPr>
        <w:t xml:space="preserve"> </w:t>
      </w:r>
      <w:r w:rsidR="00053DCE" w:rsidRPr="00053DCE">
        <w:rPr>
          <w:sz w:val="24"/>
          <w:lang w:val="pl-PL"/>
        </w:rPr>
        <w:tab/>
      </w:r>
      <w:r w:rsidRPr="00053DCE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053DCE">
        <w:rPr>
          <w:sz w:val="24"/>
          <w:lang w:val="pl-PL"/>
        </w:rPr>
        <w:t>Marra</w:t>
      </w:r>
      <w:proofErr w:type="spellEnd"/>
      <w:r w:rsidRPr="00053DCE">
        <w:rPr>
          <w:sz w:val="24"/>
          <w:lang w:val="pl-PL"/>
        </w:rPr>
        <w:t xml:space="preserve">/De </w:t>
      </w:r>
      <w:proofErr w:type="spellStart"/>
      <w:r w:rsidRPr="00053DCE">
        <w:rPr>
          <w:sz w:val="24"/>
          <w:lang w:val="pl-PL"/>
        </w:rPr>
        <w:t>Gregorio</w:t>
      </w:r>
      <w:proofErr w:type="spellEnd"/>
      <w:r w:rsidRPr="00053DCE">
        <w:rPr>
          <w:sz w:val="24"/>
          <w:lang w:val="pl-PL"/>
        </w:rPr>
        <w:t xml:space="preserve"> i </w:t>
      </w:r>
      <w:proofErr w:type="spellStart"/>
      <w:r w:rsidRPr="00053DCE">
        <w:rPr>
          <w:sz w:val="24"/>
          <w:lang w:val="pl-PL"/>
        </w:rPr>
        <w:t>Clemente</w:t>
      </w:r>
      <w:proofErr w:type="spellEnd"/>
      <w:r w:rsidRPr="00053DCE">
        <w:rPr>
          <w:sz w:val="24"/>
          <w:lang w:val="pl-PL"/>
        </w:rPr>
        <w:t>, C-200/07 i C-201/07, ECLI</w:t>
      </w:r>
      <w:proofErr w:type="gramStart"/>
      <w:r w:rsidRPr="00053DCE">
        <w:rPr>
          <w:sz w:val="24"/>
          <w:lang w:val="pl-PL"/>
        </w:rPr>
        <w:t>:EU</w:t>
      </w:r>
      <w:proofErr w:type="gramEnd"/>
      <w:r w:rsidRPr="00053DCE">
        <w:rPr>
          <w:sz w:val="24"/>
          <w:lang w:val="pl-PL"/>
        </w:rPr>
        <w:t xml:space="preserve">:C:2008:579; wyrok Sądu z dnia 19 marca 2010 r., </w:t>
      </w:r>
      <w:proofErr w:type="spellStart"/>
      <w:r w:rsidRPr="00053DCE">
        <w:rPr>
          <w:sz w:val="24"/>
          <w:lang w:val="pl-PL"/>
        </w:rPr>
        <w:t>Gollnisch</w:t>
      </w:r>
      <w:proofErr w:type="spellEnd"/>
      <w:r w:rsidRPr="00053DCE">
        <w:rPr>
          <w:sz w:val="24"/>
          <w:lang w:val="pl-PL"/>
        </w:rPr>
        <w:t xml:space="preserve">/Parlament, T-42/06, ECLI:EU:T:2010:102; wyrok Sądu z dnia 6 września 2011 r., </w:t>
      </w:r>
      <w:proofErr w:type="spellStart"/>
      <w:r w:rsidRPr="00053DCE">
        <w:rPr>
          <w:sz w:val="24"/>
          <w:lang w:val="pl-PL"/>
        </w:rPr>
        <w:t>Patriciello</w:t>
      </w:r>
      <w:proofErr w:type="spellEnd"/>
      <w:r w:rsidRPr="00053DCE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053DCE">
        <w:rPr>
          <w:sz w:val="24"/>
          <w:lang w:val="pl-PL"/>
        </w:rPr>
        <w:t>Gollnisch</w:t>
      </w:r>
      <w:proofErr w:type="spellEnd"/>
      <w:r w:rsidRPr="00053DCE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053DCE">
        <w:rPr>
          <w:sz w:val="24"/>
          <w:lang w:val="pl-PL"/>
        </w:rPr>
        <w:t>Junqueras</w:t>
      </w:r>
      <w:proofErr w:type="spellEnd"/>
      <w:r w:rsidRPr="00053DCE">
        <w:rPr>
          <w:sz w:val="24"/>
          <w:lang w:val="pl-PL"/>
        </w:rPr>
        <w:t xml:space="preserve"> </w:t>
      </w:r>
      <w:proofErr w:type="spellStart"/>
      <w:r w:rsidRPr="00053DCE">
        <w:rPr>
          <w:sz w:val="24"/>
          <w:lang w:val="pl-PL"/>
        </w:rPr>
        <w:t>Vies</w:t>
      </w:r>
      <w:proofErr w:type="spellEnd"/>
      <w:r w:rsidRPr="00053DCE">
        <w:rPr>
          <w:sz w:val="24"/>
          <w:lang w:val="pl-PL"/>
        </w:rPr>
        <w:t>, C-502/19, ECLI:EU:C:2019:1115.</w:t>
      </w:r>
    </w:p>
  </w:footnote>
  <w:footnote w:id="3">
    <w:p w:rsidR="004907C6" w:rsidRPr="00053DCE" w:rsidRDefault="004907C6" w:rsidP="00053DCE">
      <w:pPr>
        <w:pStyle w:val="FootnoteText"/>
        <w:ind w:left="567" w:hanging="567"/>
        <w:rPr>
          <w:sz w:val="24"/>
          <w:lang w:val="pl-PL"/>
        </w:rPr>
      </w:pPr>
      <w:r w:rsidRPr="00053DCE">
        <w:rPr>
          <w:rStyle w:val="FootnoteReference"/>
          <w:rFonts w:eastAsia="Calibri"/>
          <w:sz w:val="24"/>
          <w:lang w:val="pl-PL"/>
        </w:rPr>
        <w:footnoteRef/>
      </w:r>
      <w:r w:rsidR="00053DCE" w:rsidRPr="00053DCE">
        <w:rPr>
          <w:sz w:val="24"/>
          <w:lang w:val="pl-PL"/>
        </w:rPr>
        <w:t xml:space="preserve"> </w:t>
      </w:r>
      <w:r w:rsidR="00053DCE" w:rsidRPr="00053DCE">
        <w:rPr>
          <w:sz w:val="24"/>
          <w:lang w:val="pl-PL"/>
        </w:rPr>
        <w:tab/>
      </w:r>
      <w:r w:rsidRPr="00053DCE">
        <w:rPr>
          <w:sz w:val="24"/>
          <w:lang w:val="pl-PL"/>
        </w:rPr>
        <w:t xml:space="preserve">Wyrok Sądu z 30 kwietnia 2019 r., </w:t>
      </w:r>
      <w:proofErr w:type="spellStart"/>
      <w:r w:rsidRPr="00053DCE">
        <w:rPr>
          <w:sz w:val="24"/>
          <w:lang w:val="pl-PL"/>
        </w:rPr>
        <w:t>Briois</w:t>
      </w:r>
      <w:proofErr w:type="spellEnd"/>
      <w:r w:rsidRPr="00053DCE">
        <w:rPr>
          <w:sz w:val="24"/>
          <w:lang w:val="pl-PL"/>
        </w:rPr>
        <w:t>/Parlament, T-214/18, ECLI</w:t>
      </w:r>
      <w:proofErr w:type="gramStart"/>
      <w:r w:rsidRPr="00053DCE">
        <w:rPr>
          <w:sz w:val="24"/>
          <w:lang w:val="pl-PL"/>
        </w:rPr>
        <w:t>:EU</w:t>
      </w:r>
      <w:proofErr w:type="gramEnd"/>
      <w:r w:rsidRPr="00053DCE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3D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PL"/>
    <w:docVar w:name="dvnumam" w:val="0"/>
    <w:docVar w:name="dvpe" w:val="749.295"/>
    <w:docVar w:name="dvrapporteur" w:val="Sprawozdawca: "/>
    <w:docVar w:name="dvtitre" w:val="Decyzja Parlamentu Europejskiego z dnia  2024 r. w sprawie wniosku o uchylenie immunitetu Evy Kaili(2023/2007(IMM))"/>
  </w:docVars>
  <w:rsids>
    <w:rsidRoot w:val="002439BD"/>
    <w:rsid w:val="00002272"/>
    <w:rsid w:val="00053DCE"/>
    <w:rsid w:val="00064002"/>
    <w:rsid w:val="000677B9"/>
    <w:rsid w:val="000831BA"/>
    <w:rsid w:val="000A42CC"/>
    <w:rsid w:val="000E7DD9"/>
    <w:rsid w:val="0010095E"/>
    <w:rsid w:val="00125B37"/>
    <w:rsid w:val="00187494"/>
    <w:rsid w:val="00195574"/>
    <w:rsid w:val="001F32AE"/>
    <w:rsid w:val="002439B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7C6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3C51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667"/>
    <w:rsid w:val="0091366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48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151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397D3"/>
  <w15:chartTrackingRefBased/>
  <w15:docId w15:val="{11417AC0-1248-4CB3-B8EE-D2C93D75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07C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12762-2F6C-44A9-B836-F9FEBB82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846</Words>
  <Characters>5007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LL_Start</cp:lastModifiedBy>
  <cp:revision>2</cp:revision>
  <cp:lastPrinted>2004-11-19T15:42:00Z</cp:lastPrinted>
  <dcterms:created xsi:type="dcterms:W3CDTF">2024-06-13T09:57:00Z</dcterms:created>
  <dcterms:modified xsi:type="dcterms:W3CDTF">2024-06-13T09:57:00Z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