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3EB3" w14:paraId="1967ED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446D9B" w14:textId="77777777" w:rsidR="00751A4A" w:rsidRPr="00D83EB3" w:rsidRDefault="00DE7334" w:rsidP="0010095E">
            <w:pPr>
              <w:pStyle w:val="EPName"/>
            </w:pPr>
            <w:r w:rsidRPr="00D83EB3">
              <w:t>Parlamento Europeu</w:t>
            </w:r>
          </w:p>
          <w:p w14:paraId="132D8F54" w14:textId="77777777" w:rsidR="00751A4A" w:rsidRPr="00D83EB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3EB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5E04FF2" w14:textId="77777777" w:rsidR="00751A4A" w:rsidRPr="00D83EB3" w:rsidRDefault="00187494" w:rsidP="0010095E">
            <w:pPr>
              <w:pStyle w:val="EPLogo"/>
            </w:pPr>
            <w:r w:rsidRPr="00D83EB3">
              <w:rPr>
                <w:noProof/>
                <w:lang w:val="en-GB"/>
              </w:rPr>
              <w:drawing>
                <wp:inline distT="0" distB="0" distL="0" distR="0" wp14:anchorId="4F11A997" wp14:editId="73A3DE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049CA4" w14:textId="77777777" w:rsidR="00D058B8" w:rsidRPr="00D83EB3" w:rsidRDefault="00D058B8" w:rsidP="004C5D52">
      <w:pPr>
        <w:pStyle w:val="LineTop"/>
      </w:pPr>
    </w:p>
    <w:p w14:paraId="22FA1FDD" w14:textId="77777777" w:rsidR="00680577" w:rsidRPr="00D83EB3" w:rsidRDefault="00DE7334" w:rsidP="00680577">
      <w:pPr>
        <w:pStyle w:val="EPBodyTA1"/>
      </w:pPr>
      <w:r w:rsidRPr="00D83EB3">
        <w:t>TEXTOS APROVADOS</w:t>
      </w:r>
    </w:p>
    <w:p w14:paraId="70A5246B" w14:textId="77777777" w:rsidR="00D058B8" w:rsidRPr="00D83EB3" w:rsidRDefault="00D058B8" w:rsidP="00D058B8">
      <w:pPr>
        <w:pStyle w:val="LineBottom"/>
      </w:pPr>
    </w:p>
    <w:p w14:paraId="7BBF4433" w14:textId="0C3DAA23" w:rsidR="00DE7334" w:rsidRPr="00D83EB3" w:rsidRDefault="00DE7334" w:rsidP="00DE7334">
      <w:pPr>
        <w:pStyle w:val="ATHeading1"/>
      </w:pPr>
      <w:bookmarkStart w:id="0" w:name="TANumber"/>
      <w:r w:rsidRPr="00D83EB3">
        <w:t>P9_</w:t>
      </w:r>
      <w:proofErr w:type="gramStart"/>
      <w:r w:rsidRPr="00D83EB3">
        <w:t>TA(</w:t>
      </w:r>
      <w:proofErr w:type="gramEnd"/>
      <w:r w:rsidRPr="00D83EB3">
        <w:t>2024)00</w:t>
      </w:r>
      <w:r w:rsidR="003A2465">
        <w:t>56</w:t>
      </w:r>
      <w:bookmarkEnd w:id="0"/>
    </w:p>
    <w:p w14:paraId="73A855A8" w14:textId="77777777" w:rsidR="00DE7334" w:rsidRPr="00D83EB3" w:rsidRDefault="00DE7334" w:rsidP="00DE7334">
      <w:pPr>
        <w:pStyle w:val="ATHeading2"/>
      </w:pPr>
      <w:bookmarkStart w:id="1" w:name="title"/>
      <w:r w:rsidRPr="00D83EB3">
        <w:t xml:space="preserve">Pedido de levantamento da imunidade de Eva </w:t>
      </w:r>
      <w:proofErr w:type="spellStart"/>
      <w:r w:rsidRPr="00D83EB3">
        <w:t>Kaili</w:t>
      </w:r>
      <w:bookmarkEnd w:id="1"/>
      <w:proofErr w:type="spellEnd"/>
    </w:p>
    <w:p w14:paraId="1BEAF50F" w14:textId="77777777" w:rsidR="00DE7334" w:rsidRPr="00D83EB3" w:rsidRDefault="00DE7334" w:rsidP="00DE7334">
      <w:pPr>
        <w:rPr>
          <w:i/>
          <w:vanish/>
        </w:rPr>
      </w:pPr>
      <w:r w:rsidRPr="00D83EB3">
        <w:rPr>
          <w:i/>
        </w:rPr>
        <w:fldChar w:fldCharType="begin"/>
      </w:r>
      <w:r w:rsidRPr="00D83EB3">
        <w:rPr>
          <w:i/>
        </w:rPr>
        <w:instrText xml:space="preserve"> TC"(</w:instrText>
      </w:r>
      <w:bookmarkStart w:id="2" w:name="DocNumber"/>
      <w:r w:rsidRPr="00D83EB3">
        <w:rPr>
          <w:i/>
        </w:rPr>
        <w:instrText>A9-0029/2024</w:instrText>
      </w:r>
      <w:bookmarkEnd w:id="2"/>
      <w:r w:rsidRPr="00D83EB3">
        <w:rPr>
          <w:i/>
        </w:rPr>
        <w:instrText xml:space="preserve"> - Relator: </w:instrText>
      </w:r>
      <w:proofErr w:type="spellStart"/>
      <w:r w:rsidRPr="00D83EB3">
        <w:rPr>
          <w:i/>
        </w:rPr>
        <w:instrText>Ilana</w:instrText>
      </w:r>
      <w:proofErr w:type="spellEnd"/>
      <w:r w:rsidRPr="00D83EB3">
        <w:rPr>
          <w:i/>
        </w:rPr>
        <w:instrText> </w:instrText>
      </w:r>
      <w:proofErr w:type="spellStart"/>
      <w:r w:rsidRPr="00D83EB3">
        <w:rPr>
          <w:i/>
        </w:rPr>
        <w:instrText>Cicurel</w:instrText>
      </w:r>
      <w:proofErr w:type="spellEnd"/>
      <w:r w:rsidRPr="00D83EB3">
        <w:rPr>
          <w:i/>
        </w:rPr>
        <w:instrText xml:space="preserve">)"\l3 \n&gt; \* MERGEFORMAT </w:instrText>
      </w:r>
      <w:r w:rsidRPr="00D83EB3">
        <w:rPr>
          <w:i/>
        </w:rPr>
        <w:fldChar w:fldCharType="end"/>
      </w:r>
    </w:p>
    <w:p w14:paraId="1FC81100" w14:textId="77777777" w:rsidR="00DE7334" w:rsidRPr="00D83EB3" w:rsidRDefault="00DE7334" w:rsidP="00DE7334">
      <w:pPr>
        <w:rPr>
          <w:vanish/>
        </w:rPr>
      </w:pPr>
      <w:bookmarkStart w:id="3" w:name="Commission"/>
      <w:r w:rsidRPr="00D83EB3">
        <w:rPr>
          <w:vanish/>
        </w:rPr>
        <w:t>Comissão dos Assuntos Jurídicos</w:t>
      </w:r>
      <w:bookmarkEnd w:id="3"/>
    </w:p>
    <w:p w14:paraId="5940EA97" w14:textId="77777777" w:rsidR="00DE7334" w:rsidRPr="00D83EB3" w:rsidRDefault="00DE7334" w:rsidP="00DE7334">
      <w:pPr>
        <w:rPr>
          <w:vanish/>
        </w:rPr>
      </w:pPr>
      <w:bookmarkStart w:id="4" w:name="PE"/>
      <w:r w:rsidRPr="00D83EB3">
        <w:rPr>
          <w:vanish/>
        </w:rPr>
        <w:t>PE749.295</w:t>
      </w:r>
      <w:bookmarkEnd w:id="4"/>
    </w:p>
    <w:p w14:paraId="2A748889" w14:textId="7F91C432" w:rsidR="00DE7334" w:rsidRPr="00D83EB3" w:rsidRDefault="00F70AC1" w:rsidP="00D83EB3">
      <w:pPr>
        <w:pStyle w:val="ATHeading3"/>
      </w:pPr>
      <w:bookmarkStart w:id="5" w:name="Sujet"/>
      <w:r w:rsidRPr="00F70AC1">
        <w:t>Decisão</w:t>
      </w:r>
      <w:r>
        <w:t xml:space="preserve"> </w:t>
      </w:r>
      <w:bookmarkStart w:id="6" w:name="_GoBack"/>
      <w:bookmarkEnd w:id="6"/>
      <w:r w:rsidR="00DE7334" w:rsidRPr="00D83EB3">
        <w:t xml:space="preserve">do Parlamento Europeu, de </w:t>
      </w:r>
      <w:r w:rsidR="00D83EB3">
        <w:t>6</w:t>
      </w:r>
      <w:r w:rsidR="00DE7334" w:rsidRPr="00D83EB3">
        <w:t xml:space="preserve"> de </w:t>
      </w:r>
      <w:r w:rsidR="00D83EB3">
        <w:t>fevereiro</w:t>
      </w:r>
      <w:r w:rsidR="00DE7334" w:rsidRPr="00D83EB3">
        <w:t xml:space="preserve"> de 2024, sobre o pedido de levantamento da imunidade de Eva </w:t>
      </w:r>
      <w:proofErr w:type="spellStart"/>
      <w:r w:rsidR="00DE7334" w:rsidRPr="00D83EB3">
        <w:t>Kaili</w:t>
      </w:r>
      <w:bookmarkEnd w:id="5"/>
      <w:proofErr w:type="spellEnd"/>
      <w:r w:rsidR="00DE7334" w:rsidRPr="00D83EB3">
        <w:t xml:space="preserve"> </w:t>
      </w:r>
      <w:bookmarkStart w:id="7" w:name="References"/>
      <w:r w:rsidR="00DE7334" w:rsidRPr="00D83EB3">
        <w:t>(2023/2007(IMM))</w:t>
      </w:r>
      <w:bookmarkEnd w:id="7"/>
    </w:p>
    <w:p w14:paraId="53A6B5E7" w14:textId="77777777" w:rsidR="00A801F2" w:rsidRPr="00D83EB3" w:rsidRDefault="00A801F2" w:rsidP="00A801F2">
      <w:pPr>
        <w:pStyle w:val="EPComma"/>
      </w:pPr>
      <w:bookmarkStart w:id="8" w:name="TextBodyBegin"/>
      <w:bookmarkEnd w:id="8"/>
      <w:r w:rsidRPr="00D83EB3">
        <w:rPr>
          <w:i/>
          <w:iCs/>
        </w:rPr>
        <w:t>O Parlamento Europeu,</w:t>
      </w:r>
    </w:p>
    <w:p w14:paraId="3D9D395B" w14:textId="77777777" w:rsidR="00A801F2" w:rsidRPr="00D83EB3" w:rsidRDefault="00A801F2" w:rsidP="003A2465">
      <w:pPr>
        <w:spacing w:after="240"/>
        <w:ind w:left="567" w:hanging="567"/>
      </w:pPr>
      <w:r w:rsidRPr="00D83EB3">
        <w:t>–</w:t>
      </w:r>
      <w:r w:rsidRPr="00D83EB3">
        <w:tab/>
        <w:t>Tendo recebido um pedido de levantamento da imunidade de Eva </w:t>
      </w:r>
      <w:proofErr w:type="spellStart"/>
      <w:r w:rsidRPr="00D83EB3">
        <w:t>Kaili</w:t>
      </w:r>
      <w:proofErr w:type="spellEnd"/>
      <w:r w:rsidRPr="00D83EB3">
        <w:t>, transmitido em 15 de dezembro de 2022 pela Procuradora-Geral Europeia, o qual foi comunicado em sessão plenária em 19 de janeiro de 2023,</w:t>
      </w:r>
    </w:p>
    <w:p w14:paraId="53AE3B1D" w14:textId="77777777" w:rsidR="00A801F2" w:rsidRPr="00D83EB3" w:rsidRDefault="00A801F2" w:rsidP="003A2465">
      <w:pPr>
        <w:spacing w:after="240"/>
        <w:ind w:left="567" w:hanging="567"/>
      </w:pPr>
      <w:r w:rsidRPr="00D83EB3">
        <w:t>–</w:t>
      </w:r>
      <w:r w:rsidRPr="00D83EB3">
        <w:tab/>
        <w:t>Tendo ouvido Eva </w:t>
      </w:r>
      <w:proofErr w:type="spellStart"/>
      <w:r w:rsidRPr="00D83EB3">
        <w:t>Kaili</w:t>
      </w:r>
      <w:proofErr w:type="spellEnd"/>
      <w:r w:rsidRPr="00D83EB3">
        <w:t>, nos termos do artigo 9.º, n.º 6, do seu Regimento,</w:t>
      </w:r>
    </w:p>
    <w:p w14:paraId="5E1EA651" w14:textId="77777777" w:rsidR="00A801F2" w:rsidRPr="00D83EB3" w:rsidRDefault="00A801F2" w:rsidP="003A2465">
      <w:pPr>
        <w:spacing w:after="240"/>
        <w:ind w:left="567" w:hanging="567"/>
      </w:pPr>
      <w:r w:rsidRPr="00D83EB3">
        <w:t>–</w:t>
      </w:r>
      <w:r w:rsidRPr="00D83EB3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14:paraId="58DF6903" w14:textId="77777777" w:rsidR="00A801F2" w:rsidRPr="00D83EB3" w:rsidRDefault="00A801F2" w:rsidP="003A2465">
      <w:pPr>
        <w:spacing w:after="240"/>
        <w:ind w:left="567" w:hanging="567"/>
      </w:pPr>
      <w:r w:rsidRPr="00D83EB3">
        <w:t>–</w:t>
      </w:r>
      <w:r w:rsidRPr="00D83EB3">
        <w:tab/>
        <w:t>Tendo em conta Regulamento (UE) 2017/1939 do Conselho, de 12 de outubro de 2017, que dá execução a uma cooperação reforçada para a instituição da Procuradoria Europeia</w:t>
      </w:r>
      <w:r w:rsidRPr="00D83EB3">
        <w:rPr>
          <w:vertAlign w:val="superscript"/>
        </w:rPr>
        <w:footnoteReference w:id="1"/>
      </w:r>
      <w:r w:rsidRPr="00D83EB3">
        <w:t>, nomeadamente o artigo 29.º, n.º 2,</w:t>
      </w:r>
    </w:p>
    <w:p w14:paraId="0DCC6E09" w14:textId="77777777" w:rsidR="00A801F2" w:rsidRPr="00D83EB3" w:rsidRDefault="00A801F2" w:rsidP="003A2465">
      <w:pPr>
        <w:spacing w:after="240"/>
        <w:ind w:left="567" w:hanging="567"/>
      </w:pPr>
      <w:r w:rsidRPr="00D83EB3">
        <w:t>–</w:t>
      </w:r>
      <w:r w:rsidRPr="00D83EB3">
        <w:tab/>
        <w:t>Tendo em conta os acórdãos proferidos pelo Tribunal de Justiça da União Europeia em 21 de outubro de 2008, 19 de março de 2010, 6 de setembro de 2011, 17 de janeiro de 2013 e 19 de dezembro de 2019</w:t>
      </w:r>
      <w:r w:rsidRPr="00D83EB3">
        <w:rPr>
          <w:vertAlign w:val="superscript"/>
        </w:rPr>
        <w:footnoteReference w:id="2"/>
      </w:r>
      <w:r w:rsidRPr="00D83EB3">
        <w:t>,</w:t>
      </w:r>
    </w:p>
    <w:p w14:paraId="76A60FDB" w14:textId="77777777" w:rsidR="00A801F2" w:rsidRPr="00D83EB3" w:rsidRDefault="00A801F2" w:rsidP="003A2465">
      <w:pPr>
        <w:spacing w:after="240"/>
        <w:ind w:left="567" w:hanging="567"/>
      </w:pPr>
      <w:r w:rsidRPr="00D83EB3">
        <w:lastRenderedPageBreak/>
        <w:t>–</w:t>
      </w:r>
      <w:r w:rsidRPr="00D83EB3">
        <w:tab/>
        <w:t>Tendo em conta o artigo 62.º da Constituição da República Helénica,</w:t>
      </w:r>
    </w:p>
    <w:p w14:paraId="5BBB346D" w14:textId="77777777" w:rsidR="00A801F2" w:rsidRPr="00D83EB3" w:rsidRDefault="00A801F2" w:rsidP="003A2465">
      <w:pPr>
        <w:spacing w:after="240"/>
        <w:ind w:left="567" w:hanging="567"/>
      </w:pPr>
      <w:r w:rsidRPr="00D83EB3">
        <w:t>–</w:t>
      </w:r>
      <w:r w:rsidRPr="00D83EB3">
        <w:tab/>
        <w:t>Tendo em conta o artigo 5.º, n.º 2, o artigo 6.º, n.º 1, e o artigo 9.º do seu Regimento,</w:t>
      </w:r>
    </w:p>
    <w:p w14:paraId="37D71AC8" w14:textId="77777777" w:rsidR="00A801F2" w:rsidRPr="00D83EB3" w:rsidRDefault="00A801F2" w:rsidP="003A2465">
      <w:pPr>
        <w:spacing w:after="240"/>
        <w:ind w:left="567" w:hanging="567"/>
      </w:pPr>
      <w:r w:rsidRPr="00D83EB3">
        <w:t>–</w:t>
      </w:r>
      <w:r w:rsidRPr="00D83EB3">
        <w:tab/>
        <w:t>Tendo em conta o relatório da Comissão dos Assuntos Jurídicos (A9</w:t>
      </w:r>
      <w:r w:rsidRPr="00D83EB3">
        <w:noBreakHyphen/>
        <w:t>0029/2024),</w:t>
      </w:r>
    </w:p>
    <w:p w14:paraId="522B34AF" w14:textId="56156F1E" w:rsidR="00A801F2" w:rsidRPr="00D83EB3" w:rsidRDefault="00A801F2" w:rsidP="003A2465">
      <w:pPr>
        <w:spacing w:after="240"/>
        <w:ind w:left="567" w:hanging="567"/>
      </w:pPr>
      <w:r w:rsidRPr="00D83EB3">
        <w:t>Α.</w:t>
      </w:r>
      <w:r w:rsidRPr="00D83EB3">
        <w:tab/>
        <w:t xml:space="preserve">Considerando que a Procuradora-Geral Europeia solicitou o levantamento da imunidade parlamentar de Eva </w:t>
      </w:r>
      <w:proofErr w:type="spellStart"/>
      <w:r w:rsidRPr="00D83EB3">
        <w:t>Kaili</w:t>
      </w:r>
      <w:proofErr w:type="spellEnd"/>
      <w:r w:rsidRPr="00D83EB3">
        <w:t xml:space="preserve"> no âmbito de um inquérito em curso sobre factos suscetíveis de constituírem um crime de instigação à fraude lesiva dos interesses financeiros da União Europeia, cometido de forma reiterada, e que causou um prejuízo superior a 120</w:t>
      </w:r>
      <w:r w:rsidR="00D83EB3">
        <w:t> </w:t>
      </w:r>
      <w:r w:rsidRPr="00D83EB3">
        <w:t>000 e 150</w:t>
      </w:r>
      <w:r w:rsidR="00D83EB3">
        <w:t> </w:t>
      </w:r>
      <w:r w:rsidRPr="00D83EB3">
        <w:t xml:space="preserve">000 EUR, punível com pena de prisão de 5 a 15 anos, </w:t>
      </w:r>
      <w:r w:rsidR="004F09F0">
        <w:t>conforme</w:t>
      </w:r>
      <w:r w:rsidR="004F09F0" w:rsidRPr="00D83EB3">
        <w:t xml:space="preserve"> </w:t>
      </w:r>
      <w:r w:rsidRPr="00D83EB3">
        <w:t>previsto no artigo 46.º, n.º 1, no artigo 52.º, n.º 2, e no artigo 98.º, n.º 2, do Código Penal grego e no artigo 4.º, n.º 1 e n.º 2, alínea b), da Lei n.º 2803/2000, em conjugação com o artigo 2.º, n.º 1, e o artigo 386.º, n.º 2, do Código Penal grego, bem como com o artigo 24.º, n.º 2, e o artigo 26.º, n.º 3, da Lei n.º 4689/2020;</w:t>
      </w:r>
    </w:p>
    <w:p w14:paraId="5E910918" w14:textId="0F54C4B1" w:rsidR="00A801F2" w:rsidRPr="00D83EB3" w:rsidRDefault="00A801F2" w:rsidP="003A2465">
      <w:pPr>
        <w:spacing w:after="240"/>
        <w:ind w:left="567" w:hanging="567"/>
      </w:pPr>
      <w:r w:rsidRPr="00D83EB3">
        <w:t>Β.</w:t>
      </w:r>
      <w:r w:rsidRPr="00D83EB3">
        <w:tab/>
        <w:t>Considerando que, na sequência de um relatório do OLAF registado pela Procuradoria Europeia em 1 de julho de 2021, o procurador europeu delegado grego abriu o inquérito em causa em 8 de setembro de 2021;</w:t>
      </w:r>
      <w:r w:rsidR="00D83EB3">
        <w:t xml:space="preserve"> considerando</w:t>
      </w:r>
      <w:r w:rsidRPr="00D83EB3">
        <w:t xml:space="preserve"> que, em 12 de novembro de 2021, em conformidade com as suas responsabilidades, a procuradora europeia delegada responsável pelo processo solicitou ao OLAF que apresentasse os documentos do processo; </w:t>
      </w:r>
      <w:r w:rsidR="00D83EB3">
        <w:t xml:space="preserve">considerando </w:t>
      </w:r>
      <w:r w:rsidRPr="00D83EB3">
        <w:t>que, após análise do processo, em 2 de fevereiro de 2022, solicitou ao OLAF um inquérito complementar e</w:t>
      </w:r>
      <w:r w:rsidR="004F09F0" w:rsidRPr="00D83EB3">
        <w:t>, em 7 de fevereiro de 2022</w:t>
      </w:r>
      <w:r w:rsidR="004F09F0">
        <w:t>,</w:t>
      </w:r>
      <w:r w:rsidRPr="00D83EB3">
        <w:t xml:space="preserve"> a tradução dos documentos do processo de inglês para grego; </w:t>
      </w:r>
      <w:r w:rsidR="00D83EB3">
        <w:t xml:space="preserve">considerando </w:t>
      </w:r>
      <w:r w:rsidRPr="00D83EB3">
        <w:t>que o OLAF apresentou o seu relatório final e os documentos justificativos em 8 de dezembro de 2022 e as respetivas traduções em 14 de dezembro de 2022;</w:t>
      </w:r>
    </w:p>
    <w:p w14:paraId="7D16D0A8" w14:textId="77777777" w:rsidR="00A801F2" w:rsidRPr="00D83EB3" w:rsidRDefault="00A801F2" w:rsidP="003A2465">
      <w:pPr>
        <w:spacing w:after="240"/>
        <w:ind w:left="567" w:hanging="567"/>
      </w:pPr>
      <w:proofErr w:type="gramStart"/>
      <w:r w:rsidRPr="00D83EB3">
        <w:t>C.</w:t>
      </w:r>
      <w:r w:rsidRPr="00D83EB3">
        <w:tab/>
        <w:t>Considerando</w:t>
      </w:r>
      <w:proofErr w:type="gramEnd"/>
      <w:r w:rsidRPr="00D83EB3">
        <w:t xml:space="preserve"> que as alegadas irregularidades de que Eva </w:t>
      </w:r>
      <w:proofErr w:type="spellStart"/>
      <w:r w:rsidRPr="00D83EB3">
        <w:t>Kaili</w:t>
      </w:r>
      <w:proofErr w:type="spellEnd"/>
      <w:r w:rsidRPr="00D83EB3">
        <w:t xml:space="preserve"> teria tido conhecimento dizem respeito, nomeadamente:</w:t>
      </w:r>
    </w:p>
    <w:p w14:paraId="1FDDD1D2" w14:textId="385AE351" w:rsidR="00D83EB3" w:rsidRDefault="00A801F2" w:rsidP="003A2465">
      <w:pPr>
        <w:spacing w:after="240"/>
        <w:ind w:left="1134" w:hanging="567"/>
      </w:pPr>
      <w:proofErr w:type="gramStart"/>
      <w:r w:rsidRPr="00D83EB3">
        <w:t>a)</w:t>
      </w:r>
      <w:r w:rsidR="00D83EB3">
        <w:tab/>
      </w:r>
      <w:r w:rsidR="004F09F0">
        <w:t>Ao</w:t>
      </w:r>
      <w:proofErr w:type="gramEnd"/>
      <w:r w:rsidR="004F09F0">
        <w:t xml:space="preserve"> não cumprimento, por </w:t>
      </w:r>
      <w:r w:rsidRPr="00D83EB3">
        <w:t>um dos seus assistentes parlamentares acreditados (APA)</w:t>
      </w:r>
      <w:r w:rsidR="004F09F0">
        <w:t>,</w:t>
      </w:r>
      <w:r w:rsidRPr="00D83EB3">
        <w:t xml:space="preserve"> </w:t>
      </w:r>
      <w:r w:rsidR="004F09F0">
        <w:t>d</w:t>
      </w:r>
      <w:r w:rsidRPr="00D83EB3">
        <w:t xml:space="preserve">as </w:t>
      </w:r>
      <w:r w:rsidR="004F09F0">
        <w:t xml:space="preserve">respetivas </w:t>
      </w:r>
      <w:r w:rsidRPr="00D83EB3">
        <w:t xml:space="preserve">obrigações de presença no local de trabalho entre 28 de setembro de 2015 e 2 de julho de 2019, </w:t>
      </w:r>
      <w:r w:rsidR="004F09F0">
        <w:t>e de execução d</w:t>
      </w:r>
      <w:r w:rsidRPr="00D83EB3">
        <w:t>as suas tarefas</w:t>
      </w:r>
      <w:r w:rsidR="00D83EB3">
        <w:t>;</w:t>
      </w:r>
    </w:p>
    <w:p w14:paraId="567CC0A6" w14:textId="3CBE5624" w:rsidR="00D83EB3" w:rsidRDefault="00A801F2" w:rsidP="003A2465">
      <w:pPr>
        <w:spacing w:after="240"/>
        <w:ind w:left="1134" w:hanging="567"/>
      </w:pPr>
      <w:proofErr w:type="gramStart"/>
      <w:r w:rsidRPr="00D83EB3">
        <w:t>b)</w:t>
      </w:r>
      <w:r w:rsidR="00D83EB3">
        <w:tab/>
        <w:t>À</w:t>
      </w:r>
      <w:proofErr w:type="gramEnd"/>
      <w:r w:rsidRPr="00D83EB3">
        <w:t xml:space="preserve"> apresentação de pedidos de ordens de deslocação em serviço e de declarações de despesas</w:t>
      </w:r>
      <w:r w:rsidR="00B658FA">
        <w:t>, bem como</w:t>
      </w:r>
      <w:r w:rsidRPr="00D83EB3">
        <w:t xml:space="preserve"> à cobrança de reembolsos relativos a deslocações em serviço</w:t>
      </w:r>
      <w:r w:rsidR="00B658FA">
        <w:t>,</w:t>
      </w:r>
      <w:r w:rsidRPr="00D83EB3">
        <w:t xml:space="preserve"> não efetuadas por quatro APA de Eva </w:t>
      </w:r>
      <w:proofErr w:type="spellStart"/>
      <w:r w:rsidRPr="00D83EB3">
        <w:t>Kaili</w:t>
      </w:r>
      <w:proofErr w:type="spellEnd"/>
      <w:r w:rsidRPr="00D83EB3">
        <w:t xml:space="preserve"> entre fevereiro de 2016 e março de 2018, no caso do primeiro, entre maio de 2015 e fevereiro de 2020, no caso do segundo, entre dezembro de 2015 e abril de 2019, no caso do terceiro, e entre outubro de 2014 e fevereiro de 2020, no caso do quarto APA</w:t>
      </w:r>
      <w:r w:rsidR="00D83EB3">
        <w:t>;</w:t>
      </w:r>
    </w:p>
    <w:p w14:paraId="20B75D45" w14:textId="23379276" w:rsidR="00D83EB3" w:rsidRDefault="00A801F2" w:rsidP="003A2465">
      <w:pPr>
        <w:spacing w:after="240"/>
        <w:ind w:left="1134" w:hanging="567"/>
      </w:pPr>
      <w:proofErr w:type="gramStart"/>
      <w:r w:rsidRPr="00D83EB3">
        <w:t>c)</w:t>
      </w:r>
      <w:r w:rsidR="00D83EB3">
        <w:tab/>
        <w:t>A</w:t>
      </w:r>
      <w:r w:rsidRPr="00D83EB3">
        <w:t>o</w:t>
      </w:r>
      <w:proofErr w:type="gramEnd"/>
      <w:r w:rsidRPr="00D83EB3">
        <w:t xml:space="preserve"> pagamento de parte das remunerações/despesas de deslocação em serviço </w:t>
      </w:r>
      <w:r w:rsidR="00B658FA" w:rsidRPr="00D83EB3">
        <w:t>d</w:t>
      </w:r>
      <w:r w:rsidR="00B658FA">
        <w:t>e um</w:t>
      </w:r>
      <w:r w:rsidR="00B658FA" w:rsidRPr="00D83EB3">
        <w:t xml:space="preserve"> </w:t>
      </w:r>
      <w:r w:rsidRPr="00D83EB3">
        <w:t xml:space="preserve">APA a Eva </w:t>
      </w:r>
      <w:proofErr w:type="spellStart"/>
      <w:r w:rsidR="003A2465" w:rsidRPr="00D83EB3">
        <w:t>Kaili</w:t>
      </w:r>
      <w:proofErr w:type="spellEnd"/>
      <w:r w:rsidRPr="00D83EB3">
        <w:t>, presumivelmente a seu pedido, entre 28 de setembro de 2015 e 2 de julho de 2019;</w:t>
      </w:r>
    </w:p>
    <w:p w14:paraId="3581E394" w14:textId="77777777" w:rsidR="00A801F2" w:rsidRPr="00D83EB3" w:rsidRDefault="00A801F2" w:rsidP="003A2465">
      <w:pPr>
        <w:spacing w:after="240"/>
        <w:ind w:left="567" w:hanging="567"/>
      </w:pPr>
      <w:r w:rsidRPr="00D83EB3">
        <w:t>D.</w:t>
      </w:r>
      <w:r w:rsidRPr="00D83EB3">
        <w:tab/>
        <w:t>Considerando, por um lado, que o Parlamento não pode ser equiparado a um tribunal e, por outro, que o deputado, no âmbito de um processo de levantamento da imunidade, não pode ser considerado «arguido»</w:t>
      </w:r>
      <w:r w:rsidRPr="00D83EB3">
        <w:rPr>
          <w:vertAlign w:val="superscript"/>
        </w:rPr>
        <w:footnoteReference w:id="3"/>
      </w:r>
      <w:r w:rsidRPr="00D83EB3">
        <w:t>;</w:t>
      </w:r>
    </w:p>
    <w:p w14:paraId="5304717E" w14:textId="77777777" w:rsidR="00A801F2" w:rsidRPr="00D83EB3" w:rsidRDefault="00A801F2" w:rsidP="003A2465">
      <w:pPr>
        <w:spacing w:after="240"/>
        <w:ind w:left="567" w:hanging="567"/>
      </w:pPr>
      <w:r w:rsidRPr="00D83EB3">
        <w:lastRenderedPageBreak/>
        <w:t>E.</w:t>
      </w:r>
      <w:r w:rsidRPr="00D83EB3">
        <w:tab/>
        <w:t>Considerando que o alegado crime não diz respeito a opiniões ou votos emitidos por Eva </w:t>
      </w:r>
      <w:proofErr w:type="spellStart"/>
      <w:r w:rsidRPr="00D83EB3">
        <w:t>Kaili</w:t>
      </w:r>
      <w:proofErr w:type="spellEnd"/>
      <w:r w:rsidRPr="00D83EB3">
        <w:t xml:space="preserve"> no exercício das suas funções de deputada ao Parlamento Europeu, na aceção do artigo 8.º do Protocolo n.º 7 relativo aos Privilégios e Imunidades da União Europeia;</w:t>
      </w:r>
    </w:p>
    <w:p w14:paraId="6C82C89C" w14:textId="77777777" w:rsidR="00A801F2" w:rsidRPr="00D83EB3" w:rsidRDefault="00A801F2" w:rsidP="003A2465">
      <w:pPr>
        <w:spacing w:after="240"/>
        <w:ind w:left="567" w:hanging="567"/>
      </w:pPr>
      <w:proofErr w:type="gramStart"/>
      <w:r w:rsidRPr="00D83EB3">
        <w:t>F.</w:t>
      </w:r>
      <w:r w:rsidRPr="00D83EB3">
        <w:tab/>
        <w:t>Considerando</w:t>
      </w:r>
      <w:proofErr w:type="gramEnd"/>
      <w:r w:rsidRPr="00D83EB3">
        <w:t xml:space="preserve"> que, em virtude do artigo 9.º do Protocolo n.º 7 relativo aos Privilégios e Imunidades da União Europeia, os deputados ao Parlamento Europeu beneficiam, no seu território nacional, das imunidades reconhecidas aos membros do Parlamento do seu país;</w:t>
      </w:r>
    </w:p>
    <w:p w14:paraId="705700B4" w14:textId="77777777" w:rsidR="00A801F2" w:rsidRPr="00D83EB3" w:rsidRDefault="00A801F2" w:rsidP="003A2465">
      <w:pPr>
        <w:spacing w:after="240"/>
        <w:ind w:left="567" w:hanging="567"/>
      </w:pPr>
      <w:proofErr w:type="gramStart"/>
      <w:r w:rsidRPr="00D83EB3">
        <w:t>G.</w:t>
      </w:r>
      <w:r w:rsidRPr="00D83EB3">
        <w:tab/>
        <w:t>Considerando</w:t>
      </w:r>
      <w:proofErr w:type="gramEnd"/>
      <w:r w:rsidRPr="00D83EB3">
        <w:t xml:space="preserve"> que o artigo 62.º da Constituição da República Helénica prevê, nomeadamente, que, durante a legislatura, os deputados não podem ser alvo de ações penais, detidos, presos ou sujeitos a outras restrições sem autorização prévia do Parlamento;</w:t>
      </w:r>
    </w:p>
    <w:p w14:paraId="54C2F94B" w14:textId="77777777" w:rsidR="00A801F2" w:rsidRPr="00D83EB3" w:rsidRDefault="00A801F2" w:rsidP="003A2465">
      <w:pPr>
        <w:spacing w:after="240"/>
        <w:ind w:left="567" w:hanging="567"/>
      </w:pPr>
      <w:proofErr w:type="gramStart"/>
      <w:r w:rsidRPr="00D83EB3">
        <w:t>H.</w:t>
      </w:r>
      <w:r w:rsidRPr="00D83EB3">
        <w:tab/>
        <w:t>Considerando</w:t>
      </w:r>
      <w:proofErr w:type="gramEnd"/>
      <w:r w:rsidRPr="00D83EB3">
        <w:t xml:space="preserve"> que o objetivo da imunidade parlamentar é proteger o Parlamento e os seus deputados de processos judiciais relacionados com atividades realizadas no exercício das funções parlamentares e indissociáveis destas;</w:t>
      </w:r>
    </w:p>
    <w:p w14:paraId="56E28E7B" w14:textId="77777777" w:rsidR="00A801F2" w:rsidRPr="00D83EB3" w:rsidRDefault="00A801F2" w:rsidP="003A2465">
      <w:pPr>
        <w:spacing w:after="240"/>
        <w:ind w:left="567" w:hanging="567"/>
      </w:pPr>
      <w:proofErr w:type="gramStart"/>
      <w:r w:rsidRPr="00D83EB3">
        <w:t>I.</w:t>
      </w:r>
      <w:r w:rsidRPr="00D83EB3">
        <w:tab/>
        <w:t>Considerando</w:t>
      </w:r>
      <w:proofErr w:type="gramEnd"/>
      <w:r w:rsidRPr="00D83EB3">
        <w:t xml:space="preserve"> que, no caso em apreço, o Parlamento não encontrou indícios da existência de </w:t>
      </w:r>
      <w:proofErr w:type="spellStart"/>
      <w:r w:rsidRPr="00D83EB3">
        <w:rPr>
          <w:i/>
          <w:iCs/>
        </w:rPr>
        <w:t>fumus</w:t>
      </w:r>
      <w:proofErr w:type="spellEnd"/>
      <w:r w:rsidRPr="00D83EB3">
        <w:rPr>
          <w:i/>
          <w:iCs/>
        </w:rPr>
        <w:t xml:space="preserve"> </w:t>
      </w:r>
      <w:proofErr w:type="spellStart"/>
      <w:r w:rsidRPr="00D83EB3">
        <w:rPr>
          <w:i/>
          <w:iCs/>
        </w:rPr>
        <w:t>persecutionis</w:t>
      </w:r>
      <w:proofErr w:type="spellEnd"/>
      <w:r w:rsidRPr="00D83EB3">
        <w:t>, ou seja, factos que indicassem que os processos judiciais em causa foram instaurados com a intenção de prejudicar a atividade política da deputada e, assim, do Parlamento Europeu;</w:t>
      </w:r>
    </w:p>
    <w:p w14:paraId="4C80F586" w14:textId="77777777" w:rsidR="00A801F2" w:rsidRPr="00D83EB3" w:rsidRDefault="00A801F2" w:rsidP="003A2465">
      <w:pPr>
        <w:spacing w:after="240"/>
        <w:ind w:left="567" w:hanging="567"/>
      </w:pPr>
      <w:proofErr w:type="gramStart"/>
      <w:r w:rsidRPr="00D83EB3">
        <w:t>1.</w:t>
      </w:r>
      <w:r w:rsidRPr="00D83EB3">
        <w:tab/>
        <w:t>Decide</w:t>
      </w:r>
      <w:proofErr w:type="gramEnd"/>
      <w:r w:rsidRPr="00D83EB3">
        <w:t xml:space="preserve"> levantar a imunidade de Eva </w:t>
      </w:r>
      <w:proofErr w:type="spellStart"/>
      <w:r w:rsidRPr="00D83EB3">
        <w:t>Kaili</w:t>
      </w:r>
      <w:proofErr w:type="spellEnd"/>
      <w:r w:rsidRPr="00D83EB3">
        <w:t>;</w:t>
      </w:r>
    </w:p>
    <w:p w14:paraId="6DB72E84" w14:textId="16543887" w:rsidR="00D83EB3" w:rsidRDefault="00A801F2" w:rsidP="00D83EB3">
      <w:pPr>
        <w:spacing w:after="240"/>
        <w:ind w:left="567" w:hanging="567"/>
      </w:pPr>
      <w:proofErr w:type="gramStart"/>
      <w:r w:rsidRPr="00D83EB3">
        <w:t>2.</w:t>
      </w:r>
      <w:r w:rsidRPr="00D83EB3">
        <w:tab/>
        <w:t>Encarrega</w:t>
      </w:r>
      <w:proofErr w:type="gramEnd"/>
      <w:r w:rsidRPr="00D83EB3">
        <w:t xml:space="preserve"> a sua Presidente de transmitir de imediato a presente decisão, bem como o relatório da sua comissão </w:t>
      </w:r>
      <w:r w:rsidR="00B658FA">
        <w:t>competente</w:t>
      </w:r>
      <w:r w:rsidRPr="00D83EB3">
        <w:t>, à Procuradoria Europeia e a Eva </w:t>
      </w:r>
      <w:proofErr w:type="spellStart"/>
      <w:r w:rsidRPr="00D83EB3">
        <w:t>Kaili</w:t>
      </w:r>
      <w:proofErr w:type="spellEnd"/>
      <w:r w:rsidRPr="00D83EB3">
        <w:t>.</w:t>
      </w:r>
      <w:bookmarkStart w:id="9" w:name="TextBodyEnd"/>
      <w:bookmarkEnd w:id="9"/>
    </w:p>
    <w:p w14:paraId="27807278" w14:textId="77777777" w:rsidR="00E365E1" w:rsidRPr="00D83EB3" w:rsidRDefault="00E365E1" w:rsidP="00D83EB3"/>
    <w:sectPr w:rsidR="00E365E1" w:rsidRPr="00D83EB3" w:rsidSect="000C0B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C036C" w14:textId="77777777" w:rsidR="00DE7334" w:rsidRPr="000C0B69" w:rsidRDefault="00DE7334">
      <w:r w:rsidRPr="000C0B69">
        <w:separator/>
      </w:r>
    </w:p>
  </w:endnote>
  <w:endnote w:type="continuationSeparator" w:id="0">
    <w:p w14:paraId="499190FC" w14:textId="77777777" w:rsidR="00DE7334" w:rsidRPr="000C0B69" w:rsidRDefault="00DE7334">
      <w:r w:rsidRPr="000C0B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B5F18" w14:textId="77777777" w:rsidR="00064002" w:rsidRPr="000C0B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524B0" w14:textId="77777777" w:rsidR="00064002" w:rsidRPr="000C0B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DC22E" w14:textId="77777777" w:rsidR="00064002" w:rsidRPr="000C0B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A66A7" w14:textId="77777777" w:rsidR="00DE7334" w:rsidRPr="000C0B69" w:rsidRDefault="00DE7334">
      <w:r w:rsidRPr="000C0B69">
        <w:separator/>
      </w:r>
    </w:p>
  </w:footnote>
  <w:footnote w:type="continuationSeparator" w:id="0">
    <w:p w14:paraId="6FCFA096" w14:textId="77777777" w:rsidR="00DE7334" w:rsidRPr="000C0B69" w:rsidRDefault="00DE7334">
      <w:r w:rsidRPr="000C0B69">
        <w:continuationSeparator/>
      </w:r>
    </w:p>
  </w:footnote>
  <w:footnote w:id="1">
    <w:p w14:paraId="0509BFB1" w14:textId="77777777" w:rsidR="00A801F2" w:rsidRPr="000C0B69" w:rsidRDefault="00A801F2" w:rsidP="000C0B69">
      <w:pPr>
        <w:pStyle w:val="FootnoteText"/>
        <w:ind w:left="567" w:hanging="567"/>
        <w:rPr>
          <w:sz w:val="24"/>
          <w:lang w:val="pt-PT"/>
        </w:rPr>
      </w:pPr>
      <w:r w:rsidRPr="000C0B69">
        <w:rPr>
          <w:rStyle w:val="FootnoteReference"/>
          <w:rFonts w:eastAsia="Calibri"/>
          <w:sz w:val="24"/>
          <w:lang w:val="pt-PT"/>
        </w:rPr>
        <w:footnoteRef/>
      </w:r>
      <w:r w:rsidR="000C0B69" w:rsidRPr="000C0B69">
        <w:rPr>
          <w:sz w:val="24"/>
          <w:lang w:val="pt-PT"/>
        </w:rPr>
        <w:t xml:space="preserve"> </w:t>
      </w:r>
      <w:r w:rsidR="000C0B69" w:rsidRPr="000C0B69">
        <w:rPr>
          <w:sz w:val="24"/>
          <w:lang w:val="pt-PT"/>
        </w:rPr>
        <w:tab/>
      </w:r>
      <w:r w:rsidRPr="000C0B69">
        <w:rPr>
          <w:sz w:val="24"/>
          <w:lang w:val="pt-PT"/>
        </w:rPr>
        <w:t>JO L 283 de 31.10.2017, p. 1.</w:t>
      </w:r>
    </w:p>
  </w:footnote>
  <w:footnote w:id="2">
    <w:p w14:paraId="620BAA30" w14:textId="77777777" w:rsidR="00A801F2" w:rsidRPr="000C0B69" w:rsidRDefault="00A801F2" w:rsidP="000C0B69">
      <w:pPr>
        <w:pStyle w:val="FootnoteText"/>
        <w:ind w:left="567" w:hanging="567"/>
        <w:rPr>
          <w:sz w:val="24"/>
          <w:lang w:val="pt-PT"/>
        </w:rPr>
      </w:pPr>
      <w:r w:rsidRPr="000C0B69">
        <w:rPr>
          <w:rStyle w:val="FootnoteReference"/>
          <w:rFonts w:eastAsia="Calibri"/>
          <w:sz w:val="24"/>
          <w:lang w:val="pt-PT"/>
        </w:rPr>
        <w:footnoteRef/>
      </w:r>
      <w:r w:rsidR="000C0B69" w:rsidRPr="000C0B69">
        <w:rPr>
          <w:sz w:val="24"/>
          <w:lang w:val="pt-PT"/>
        </w:rPr>
        <w:t xml:space="preserve"> </w:t>
      </w:r>
      <w:r w:rsidR="000C0B69" w:rsidRPr="000C0B69">
        <w:rPr>
          <w:sz w:val="24"/>
          <w:lang w:val="pt-PT"/>
        </w:rPr>
        <w:tab/>
      </w:r>
      <w:r w:rsidRPr="000C0B69">
        <w:rPr>
          <w:sz w:val="24"/>
          <w:lang w:val="pt-PT"/>
        </w:rPr>
        <w:t xml:space="preserve">Acórdão do Tribunal de Justiça de 21 de outubro de 2008, </w:t>
      </w:r>
      <w:r w:rsidRPr="003A2465">
        <w:rPr>
          <w:i/>
          <w:sz w:val="24"/>
          <w:lang w:val="pt-PT"/>
        </w:rPr>
        <w:t xml:space="preserve">Marra/De </w:t>
      </w:r>
      <w:proofErr w:type="spellStart"/>
      <w:r w:rsidRPr="003A2465">
        <w:rPr>
          <w:i/>
          <w:sz w:val="24"/>
          <w:lang w:val="pt-PT"/>
        </w:rPr>
        <w:t>Gregorio</w:t>
      </w:r>
      <w:proofErr w:type="spellEnd"/>
      <w:r w:rsidRPr="000C0B69">
        <w:rPr>
          <w:sz w:val="24"/>
          <w:lang w:val="pt-PT"/>
        </w:rPr>
        <w:t xml:space="preserve"> e Clemente, C-200/07 e C-201/07, ECLI:EU:C:2008:579; acórdão do Tribunal Geral de 19 de março de 2010, </w:t>
      </w:r>
      <w:proofErr w:type="spellStart"/>
      <w:r w:rsidRPr="003A2465">
        <w:rPr>
          <w:i/>
          <w:sz w:val="24"/>
          <w:lang w:val="pt-PT"/>
        </w:rPr>
        <w:t>Gollnisch</w:t>
      </w:r>
      <w:proofErr w:type="spellEnd"/>
      <w:r w:rsidRPr="003A2465">
        <w:rPr>
          <w:i/>
          <w:sz w:val="24"/>
          <w:lang w:val="pt-PT"/>
        </w:rPr>
        <w:t>/Parlamento Europeu</w:t>
      </w:r>
      <w:r w:rsidRPr="000C0B69">
        <w:rPr>
          <w:sz w:val="24"/>
          <w:lang w:val="pt-PT"/>
        </w:rPr>
        <w:t xml:space="preserve">, T-42/06, ECLI:EU:T:2010:102; acórdão do Tribunal de Justiça de 6 de setembro de 2011, </w:t>
      </w:r>
      <w:proofErr w:type="spellStart"/>
      <w:r w:rsidRPr="003A2465">
        <w:rPr>
          <w:i/>
          <w:sz w:val="24"/>
          <w:lang w:val="pt-PT"/>
        </w:rPr>
        <w:t>Patriciello</w:t>
      </w:r>
      <w:proofErr w:type="spellEnd"/>
      <w:r w:rsidRPr="000C0B69">
        <w:rPr>
          <w:sz w:val="24"/>
          <w:lang w:val="pt-PT"/>
        </w:rPr>
        <w:t xml:space="preserve">, C‑163/10, ECLI: EU:C:2011:543; acórdão do Tribunal Geral de 17 de janeiro de 2013, </w:t>
      </w:r>
      <w:proofErr w:type="spellStart"/>
      <w:r w:rsidRPr="003A2465">
        <w:rPr>
          <w:i/>
          <w:sz w:val="24"/>
          <w:lang w:val="pt-PT"/>
        </w:rPr>
        <w:t>Gollnisch</w:t>
      </w:r>
      <w:proofErr w:type="spellEnd"/>
      <w:r w:rsidRPr="003A2465">
        <w:rPr>
          <w:i/>
          <w:sz w:val="24"/>
          <w:lang w:val="pt-PT"/>
        </w:rPr>
        <w:t>/Parlamento Europeu</w:t>
      </w:r>
      <w:r w:rsidRPr="000C0B69">
        <w:rPr>
          <w:sz w:val="24"/>
          <w:lang w:val="pt-PT"/>
        </w:rPr>
        <w:t xml:space="preserve">, T-346/11 e T-347/11, ECLI:EU:T:2013:23; acórdão do Tribunal de Justiça de 19 de dezembro de 2019, </w:t>
      </w:r>
      <w:proofErr w:type="spellStart"/>
      <w:r w:rsidRPr="003A2465">
        <w:rPr>
          <w:i/>
          <w:sz w:val="24"/>
          <w:lang w:val="pt-PT"/>
        </w:rPr>
        <w:t>Junqueras</w:t>
      </w:r>
      <w:proofErr w:type="spellEnd"/>
      <w:r w:rsidRPr="003A2465">
        <w:rPr>
          <w:i/>
          <w:sz w:val="24"/>
          <w:lang w:val="pt-PT"/>
        </w:rPr>
        <w:t xml:space="preserve"> </w:t>
      </w:r>
      <w:proofErr w:type="spellStart"/>
      <w:r w:rsidRPr="003A2465">
        <w:rPr>
          <w:i/>
          <w:sz w:val="24"/>
          <w:lang w:val="pt-PT"/>
        </w:rPr>
        <w:t>Vies</w:t>
      </w:r>
      <w:proofErr w:type="spellEnd"/>
      <w:r w:rsidRPr="000C0B69">
        <w:rPr>
          <w:sz w:val="24"/>
          <w:lang w:val="pt-PT"/>
        </w:rPr>
        <w:t>, C-502/19, ECLI:EU:C:2019:1115.</w:t>
      </w:r>
    </w:p>
  </w:footnote>
  <w:footnote w:id="3">
    <w:p w14:paraId="748CD8D0" w14:textId="77777777" w:rsidR="00A801F2" w:rsidRPr="000C0B69" w:rsidRDefault="00A801F2" w:rsidP="000C0B69">
      <w:pPr>
        <w:pStyle w:val="FootnoteText"/>
        <w:ind w:left="567" w:hanging="567"/>
        <w:rPr>
          <w:sz w:val="24"/>
          <w:lang w:val="pt-PT"/>
        </w:rPr>
      </w:pPr>
      <w:r w:rsidRPr="000C0B69">
        <w:rPr>
          <w:rStyle w:val="FootnoteReference"/>
          <w:rFonts w:eastAsia="Calibri"/>
          <w:sz w:val="24"/>
          <w:lang w:val="pt-PT"/>
        </w:rPr>
        <w:footnoteRef/>
      </w:r>
      <w:r w:rsidR="000C0B69" w:rsidRPr="000C0B69">
        <w:rPr>
          <w:sz w:val="24"/>
          <w:lang w:val="pt-PT"/>
        </w:rPr>
        <w:t xml:space="preserve"> </w:t>
      </w:r>
      <w:r w:rsidR="000C0B69" w:rsidRPr="000C0B69">
        <w:rPr>
          <w:sz w:val="24"/>
          <w:lang w:val="pt-PT"/>
        </w:rPr>
        <w:tab/>
      </w:r>
      <w:r w:rsidRPr="000C0B69">
        <w:rPr>
          <w:sz w:val="24"/>
          <w:lang w:val="pt-PT"/>
        </w:rPr>
        <w:t xml:space="preserve">Acórdão do Tribunal Geral de 30 de abril de 2019, </w:t>
      </w:r>
      <w:proofErr w:type="spellStart"/>
      <w:r w:rsidRPr="003A2465">
        <w:rPr>
          <w:i/>
          <w:sz w:val="24"/>
          <w:lang w:val="pt-PT"/>
        </w:rPr>
        <w:t>Briois</w:t>
      </w:r>
      <w:proofErr w:type="spellEnd"/>
      <w:r w:rsidRPr="003A2465">
        <w:rPr>
          <w:i/>
          <w:sz w:val="24"/>
          <w:lang w:val="pt-PT"/>
        </w:rPr>
        <w:t>/Parlamento Europeu</w:t>
      </w:r>
      <w:r w:rsidRPr="000C0B69">
        <w:rPr>
          <w:sz w:val="24"/>
          <w:lang w:val="pt-PT"/>
        </w:rPr>
        <w:t>, T-214/18, ECLI:</w:t>
      </w:r>
      <w:proofErr w:type="gramStart"/>
      <w:r w:rsidRPr="000C0B69">
        <w:rPr>
          <w:sz w:val="24"/>
          <w:lang w:val="pt-PT"/>
        </w:rPr>
        <w:t>EU:T</w:t>
      </w:r>
      <w:proofErr w:type="gramEnd"/>
      <w:r w:rsidRPr="000C0B69">
        <w:rPr>
          <w:sz w:val="24"/>
          <w:lang w:val="pt-P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B879F" w14:textId="77777777" w:rsidR="00064002" w:rsidRPr="000C0B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64B96" w14:textId="77777777" w:rsidR="00064002" w:rsidRPr="000C0B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16B31" w14:textId="77777777" w:rsidR="00064002" w:rsidRPr="000C0B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4"/>
    <w:docVar w:name="dvlangue" w:val="PT"/>
    <w:docVar w:name="dvnumam" w:val="0"/>
    <w:docVar w:name="dvpe" w:val="749.295"/>
    <w:docVar w:name="dvrapporteur" w:val="Relator: "/>
    <w:docVar w:name="dvtitre" w:val="Resolução legislativa do Parlamento Europeu, de ... de ... de 2024,_x000d__x000a_ sobre o pedido de levantamento da imunidade de Eva Kaili(2023/2007(IMM))"/>
  </w:docVars>
  <w:rsids>
    <w:rsidRoot w:val="00DE7334"/>
    <w:rsid w:val="00002272"/>
    <w:rsid w:val="00064002"/>
    <w:rsid w:val="000677B9"/>
    <w:rsid w:val="000831BA"/>
    <w:rsid w:val="000A42CC"/>
    <w:rsid w:val="000C0B6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246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9F0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1F2"/>
    <w:rsid w:val="00AB441E"/>
    <w:rsid w:val="00AB6293"/>
    <w:rsid w:val="00AE0928"/>
    <w:rsid w:val="00AF3B82"/>
    <w:rsid w:val="00B12E95"/>
    <w:rsid w:val="00B22876"/>
    <w:rsid w:val="00B558F0"/>
    <w:rsid w:val="00B658F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3EB3"/>
    <w:rsid w:val="00D872DF"/>
    <w:rsid w:val="00D91E21"/>
    <w:rsid w:val="00DA7FCD"/>
    <w:rsid w:val="00DE733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AC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36F21"/>
  <w15:chartTrackingRefBased/>
  <w15:docId w15:val="{BB742899-8607-4F5E-9CD8-E0DD10846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801F2"/>
    <w:pPr>
      <w:spacing w:before="480" w:after="240"/>
    </w:pPr>
  </w:style>
  <w:style w:type="paragraph" w:styleId="BalloonText">
    <w:name w:val="Balloon Text"/>
    <w:basedOn w:val="Normal"/>
    <w:link w:val="BalloonTextChar"/>
    <w:rsid w:val="00D83E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83EB3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D83E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D83EB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83EB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83E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3EB3"/>
    <w:rPr>
      <w:b/>
      <w:bCs/>
      <w:lang w:val="pt-PT"/>
    </w:rPr>
  </w:style>
  <w:style w:type="character" w:styleId="Hyperlink">
    <w:name w:val="Hyperlink"/>
    <w:basedOn w:val="DefaultParagraphFont"/>
    <w:rsid w:val="00D83EB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F09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92662-964A-4A5D-806F-68E90C3F0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2024-02-06T12:16:00Z</dcterms:created>
  <dcterms:modified xsi:type="dcterms:W3CDTF">2024-02-06T12:16:00Z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A9-0029/2024</vt:lpwstr>
  </property>
  <property fmtid="{D5CDD505-2E9C-101B-9397-08002B2CF9AE}" pid="4" name="&lt;Type&gt;">
    <vt:lpwstr>RR</vt:lpwstr>
  </property>
</Properties>
</file>