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>
            <w:pPr>
              <w:pStyle w:val="EPName"/>
            </w:pPr>
            <w:bookmarkStart w:id="0" w:name="_GoBack"/>
            <w:bookmarkEnd w:id="0"/>
            <w:r>
              <w:t>Európsky parlament</w:t>
            </w:r>
          </w:p>
          <w:p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>
              <w:t>2019-2024</w:t>
            </w:r>
          </w:p>
        </w:tc>
        <w:tc>
          <w:tcPr>
            <w:tcW w:w="2268" w:type="dxa"/>
            <w:shd w:val="clear" w:color="auto" w:fill="auto"/>
          </w:tcPr>
          <w:p>
            <w:pPr>
              <w:pStyle w:val="EPLogo"/>
            </w:pPr>
            <w:r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LineTop"/>
      </w:pPr>
    </w:p>
    <w:p>
      <w:pPr>
        <w:pStyle w:val="EPBodyTA1"/>
      </w:pPr>
      <w:r>
        <w:t>PRIJATÉ TEXTY</w:t>
      </w:r>
    </w:p>
    <w:p>
      <w:pPr>
        <w:pStyle w:val="LineBottom"/>
      </w:pPr>
    </w:p>
    <w:p>
      <w:pPr>
        <w:pStyle w:val="ATHeading1"/>
      </w:pPr>
      <w:bookmarkStart w:id="1" w:name="TANumber"/>
      <w:r>
        <w:t>P9_TA(2024)0056</w:t>
      </w:r>
      <w:bookmarkEnd w:id="1"/>
    </w:p>
    <w:p>
      <w:pPr>
        <w:pStyle w:val="ATHeading2"/>
      </w:pPr>
      <w:bookmarkStart w:id="2" w:name="title"/>
      <w:r>
        <w:t xml:space="preserve">Žiadosť o zbavenie Evy </w:t>
      </w:r>
      <w:proofErr w:type="spellStart"/>
      <w:r>
        <w:t>Kailiovej</w:t>
      </w:r>
      <w:proofErr w:type="spellEnd"/>
      <w:r>
        <w:t xml:space="preserve"> imunity</w:t>
      </w:r>
      <w:bookmarkEnd w:id="2"/>
    </w:p>
    <w:p>
      <w:pPr>
        <w:rPr>
          <w:i/>
          <w:vanish/>
        </w:rPr>
      </w:pPr>
      <w:r>
        <w:rPr>
          <w:i/>
        </w:rPr>
        <w:fldChar w:fldCharType="begin"/>
      </w:r>
      <w:r>
        <w:rPr>
          <w:i/>
        </w:rPr>
        <w:instrText xml:space="preserve"> TC"(</w:instrText>
      </w:r>
      <w:bookmarkStart w:id="3" w:name="DocNumber"/>
      <w:r>
        <w:rPr>
          <w:i/>
        </w:rPr>
        <w:instrText>A9-0029/2024</w:instrText>
      </w:r>
      <w:bookmarkEnd w:id="3"/>
      <w:r>
        <w:rPr>
          <w:i/>
        </w:rPr>
        <w:instrText xml:space="preserve"> - Spravodajkyňa: Ilana Cicurel)"\l3 \n&gt; \* MERGEFORMAT </w:instrText>
      </w:r>
      <w:r>
        <w:rPr>
          <w:i/>
        </w:rPr>
        <w:fldChar w:fldCharType="end"/>
      </w:r>
    </w:p>
    <w:p>
      <w:pPr>
        <w:rPr>
          <w:vanish/>
        </w:rPr>
      </w:pPr>
      <w:bookmarkStart w:id="4" w:name="Commission"/>
      <w:r>
        <w:rPr>
          <w:vanish/>
        </w:rPr>
        <w:t>Výbor pre právne veci</w:t>
      </w:r>
      <w:bookmarkEnd w:id="4"/>
    </w:p>
    <w:p>
      <w:pPr>
        <w:rPr>
          <w:vanish/>
        </w:rPr>
      </w:pPr>
      <w:bookmarkStart w:id="5" w:name="PE"/>
      <w:r>
        <w:rPr>
          <w:vanish/>
        </w:rPr>
        <w:t>PE749.295</w:t>
      </w:r>
      <w:bookmarkEnd w:id="5"/>
    </w:p>
    <w:p>
      <w:pPr>
        <w:pStyle w:val="ATHeading3"/>
      </w:pPr>
      <w:bookmarkStart w:id="6" w:name="Sujet"/>
      <w:r>
        <w:t xml:space="preserve">Rozhodnutie Európskeho parlamentu zo 6. februára 2024 o žiadosti o zbavenie Evy </w:t>
      </w:r>
      <w:proofErr w:type="spellStart"/>
      <w:r>
        <w:t>Kailiovej</w:t>
      </w:r>
      <w:proofErr w:type="spellEnd"/>
      <w:r>
        <w:t xml:space="preserve"> imunity</w:t>
      </w:r>
      <w:bookmarkEnd w:id="6"/>
      <w:r>
        <w:t xml:space="preserve"> </w:t>
      </w:r>
      <w:bookmarkStart w:id="7" w:name="References"/>
      <w:r>
        <w:t>(2023/2007(IMM))</w:t>
      </w:r>
      <w:bookmarkEnd w:id="7"/>
    </w:p>
    <w:p>
      <w:pPr>
        <w:pStyle w:val="EPComma"/>
      </w:pPr>
      <w:bookmarkStart w:id="8" w:name="TextBodyBegin"/>
      <w:bookmarkEnd w:id="8"/>
      <w:r>
        <w:rPr>
          <w:i/>
          <w:iCs/>
        </w:rPr>
        <w:t>Európsky parlament</w:t>
      </w:r>
      <w:r>
        <w:t>,</w:t>
      </w:r>
    </w:p>
    <w:p>
      <w:pPr>
        <w:spacing w:after="240"/>
        <w:ind w:left="567" w:hanging="567"/>
      </w:pPr>
      <w:r>
        <w:t>–</w:t>
      </w:r>
      <w:r>
        <w:tab/>
        <w:t xml:space="preserve">so zreteľom na žiadosť o zbavenie Evy </w:t>
      </w:r>
      <w:proofErr w:type="spellStart"/>
      <w:r>
        <w:t>Kailiovej</w:t>
      </w:r>
      <w:proofErr w:type="spellEnd"/>
      <w:r>
        <w:t xml:space="preserve"> imunity, ktorú predložila 15. decembra 2022 hlavná európska prokurátorka a ktorá bola predložená na plenárnej schôdzi 19. januára 2023,</w:t>
      </w:r>
    </w:p>
    <w:p>
      <w:pPr>
        <w:spacing w:after="240"/>
        <w:ind w:left="567" w:hanging="567"/>
      </w:pPr>
      <w:r>
        <w:t>–</w:t>
      </w:r>
      <w:r>
        <w:tab/>
        <w:t xml:space="preserve">po vypočutí Evy </w:t>
      </w:r>
      <w:proofErr w:type="spellStart"/>
      <w:r>
        <w:t>Kailiovej</w:t>
      </w:r>
      <w:proofErr w:type="spellEnd"/>
      <w:r>
        <w:t xml:space="preserve"> v súlade s článkom 9 ods. 6 rokovacieho poriadku,</w:t>
      </w:r>
    </w:p>
    <w:p>
      <w:pPr>
        <w:spacing w:after="240"/>
        <w:ind w:left="567" w:hanging="567"/>
      </w:pPr>
      <w:r>
        <w:t>–</w:t>
      </w:r>
      <w:r>
        <w:tab/>
        <w:t>so zreteľom na články 8 a 9 Protokolu č. 7 o výsadách a imunitách Európskej únie a na článok 6 ods. 2 Aktu z 20. septembra 1976 o priamych a všeobecných voľbách poslancov Európskeho parlamentu,</w:t>
      </w:r>
    </w:p>
    <w:p>
      <w:pPr>
        <w:spacing w:after="240"/>
        <w:ind w:left="567" w:hanging="567"/>
      </w:pPr>
      <w:r>
        <w:t>–</w:t>
      </w:r>
      <w:r>
        <w:tab/>
        <w:t>so zreteľom na nariadenie Rady (EÚ) 2017/1939 z 12. októbra 2017, ktorým sa vykonáva posilnená spolupráca na účely zriadenia Európskej prokuratúry</w:t>
      </w:r>
      <w:r>
        <w:rPr>
          <w:vertAlign w:val="superscript"/>
        </w:rPr>
        <w:footnoteReference w:id="1"/>
      </w:r>
      <w:r>
        <w:t>, a najmä na jeho článok 29 ods. 2,</w:t>
      </w:r>
    </w:p>
    <w:p>
      <w:pPr>
        <w:spacing w:after="240"/>
        <w:ind w:left="567" w:hanging="567"/>
      </w:pPr>
      <w:r>
        <w:t>–</w:t>
      </w:r>
      <w:r>
        <w:tab/>
        <w:t>so zreteľom na rozsudky Súdneho dvora Európskej únie z 21. októbra 2008, 19. marca 2010, 6. septembra 2011, 17. januára 2013 a 19. decembra 2019</w:t>
      </w:r>
      <w:r>
        <w:rPr>
          <w:vertAlign w:val="superscript"/>
        </w:rPr>
        <w:footnoteReference w:id="2"/>
      </w:r>
      <w:r>
        <w:t>,</w:t>
      </w:r>
    </w:p>
    <w:p>
      <w:pPr>
        <w:spacing w:after="240"/>
        <w:ind w:left="567" w:hanging="567"/>
      </w:pPr>
      <w:r>
        <w:t>–</w:t>
      </w:r>
      <w:r>
        <w:tab/>
        <w:t>so zreteľom na článok 62 Ústavy Helénskej republiky,</w:t>
      </w:r>
    </w:p>
    <w:p>
      <w:pPr>
        <w:spacing w:after="240"/>
        <w:ind w:left="567" w:hanging="567"/>
      </w:pPr>
      <w:r>
        <w:t>–</w:t>
      </w:r>
      <w:r>
        <w:tab/>
        <w:t>so zreteľom na článok 5 ods. 2, článok 6 ods. 1 a článok 9 rokovacieho poriadku,</w:t>
      </w:r>
    </w:p>
    <w:p>
      <w:pPr>
        <w:spacing w:after="240"/>
        <w:ind w:left="567" w:hanging="567"/>
        <w:jc w:val="both"/>
      </w:pPr>
      <w:r>
        <w:lastRenderedPageBreak/>
        <w:t>–</w:t>
      </w:r>
      <w:r>
        <w:tab/>
        <w:t>so zreteľom na správu Výboru pre právne veci (A9-0029/2024),</w:t>
      </w:r>
    </w:p>
    <w:p>
      <w:pPr>
        <w:spacing w:after="240"/>
        <w:ind w:left="567" w:hanging="567"/>
      </w:pPr>
      <w:r>
        <w:t>Α.</w:t>
      </w:r>
      <w:r>
        <w:tab/>
        <w:t xml:space="preserve">keďže hlavná európska prokurátorka požiadala o zbavenie Evy </w:t>
      </w:r>
      <w:proofErr w:type="spellStart"/>
      <w:r>
        <w:t>Kailiovej</w:t>
      </w:r>
      <w:proofErr w:type="spellEnd"/>
      <w:r>
        <w:t xml:space="preserve"> poslaneckej imunity v súvislosti s prebiehajúcim vyšetrovaním činov, ktoré by mohli predstavovať opakovane spáchaný závažný trestný čin podnecovania podvodu poškodzujúceho finančné záujmy Únie, ktorého výsledkom je škoda vyššia ako 120 000 EUR a 150 000 EUR a za ktorý možno uložiť trest odňatia slobody na päť až 15 rokov podľa článku 46 ods. 1, článku 52 ods. 2 a článku 98 ods. 2 gréckeho trestného zákonníka a článku 4 ods. 1 a článku 4 ods. 2 písm. b) zákona č. 2803/2000 v spojení s článkom 2 ods. 1 a článkom 386 ods. 2 gréckeho trestného zákonníka a článkom 24 ods. 2 a článkom 26 ods. 3 zákona č. 4689/2020;</w:t>
      </w:r>
    </w:p>
    <w:p>
      <w:pPr>
        <w:spacing w:after="240"/>
        <w:ind w:left="567" w:hanging="567"/>
      </w:pPr>
      <w:r>
        <w:t>Β.</w:t>
      </w:r>
      <w:r>
        <w:tab/>
        <w:t>keďže na základe správy úradu OLAF zaevidovanej Európskou prokuratúrou 1. júla 2021 grécky európsky delegovaný prokurátor začal 8. septembra 2021 predmetné vyšetrovanie; keďže 12. novembra 2021 delegovaná európska prokurátorka zodpovedná za prípad v súlade so svojimi povinnosťami požiadala úrad OLAF, aby predložil dokumenty v spise; keďže po analýze spisu požiadala 2. februára 2022 úrad OLAF o ďalšie vyšetrovanie a 7. februára 2022 o preklad dokumentov v spise z angličtiny do gréčtiny; keďže úrad OLAF predložil svoju záverečnú správu a podporné dokumenty 8. decembra 2022 a príslušné preklady 14. decembra 2022;</w:t>
      </w:r>
    </w:p>
    <w:p>
      <w:pPr>
        <w:spacing w:after="240"/>
        <w:ind w:left="567" w:hanging="567"/>
      </w:pPr>
      <w:r>
        <w:t>C.</w:t>
      </w:r>
      <w:r>
        <w:tab/>
        <w:t xml:space="preserve">keďže údajné nezrovnalosti, o ktorých Eva </w:t>
      </w:r>
      <w:proofErr w:type="spellStart"/>
      <w:r>
        <w:t>Kaili</w:t>
      </w:r>
      <w:proofErr w:type="spellEnd"/>
      <w:r>
        <w:t xml:space="preserve"> vedela, sa týkajú najmä:</w:t>
      </w:r>
    </w:p>
    <w:p>
      <w:pPr>
        <w:spacing w:after="240"/>
        <w:ind w:left="1134" w:hanging="567"/>
      </w:pPr>
      <w:r>
        <w:t xml:space="preserve">a) </w:t>
      </w:r>
      <w:r>
        <w:tab/>
        <w:t>nesplnenia povinnosti jednej z jej akreditovaných asistentov byť prítomná na pracovisku od 28. septembra 2015 do 2. júla 2019, ako aj nevykonania príslušných úloh touto akreditovanou asistentkou,</w:t>
      </w:r>
    </w:p>
    <w:p>
      <w:pPr>
        <w:spacing w:after="240"/>
        <w:ind w:left="1134" w:hanging="567"/>
      </w:pPr>
      <w:r>
        <w:t>b)</w:t>
      </w:r>
      <w:r>
        <w:tab/>
        <w:t xml:space="preserve">predkladania žiadostí o vyslanie na služobnú cestu a vyhlásení o výdavkoch, ako aj poberania náhrad výdavkov v súvislosti so služobnými cestami, ktoré štyria akreditovaní asistenti poslankyne Evy </w:t>
      </w:r>
      <w:proofErr w:type="spellStart"/>
      <w:r>
        <w:t>Kailiovej</w:t>
      </w:r>
      <w:proofErr w:type="spellEnd"/>
      <w:r>
        <w:t xml:space="preserve"> nevykonali, a to v období od februára 2016 do marca 2018 v prípade prvého asistenta, od mája 2015 do februára 2020 v prípade druhého, od decembra 2015 do apríla 2019 v prípade tretieho a od októbra 2014 a do februára 2020 v prípade štvrtého asistenta,</w:t>
      </w:r>
    </w:p>
    <w:p>
      <w:pPr>
        <w:spacing w:after="240"/>
        <w:ind w:left="1134" w:hanging="567"/>
      </w:pPr>
      <w:r>
        <w:t>c)</w:t>
      </w:r>
      <w:r>
        <w:tab/>
        <w:t xml:space="preserve">vyplatenia časti miezd/nákladov na služobné cesty akreditovanej asistentky Eve </w:t>
      </w:r>
      <w:proofErr w:type="spellStart"/>
      <w:r>
        <w:t>Kailiovej</w:t>
      </w:r>
      <w:proofErr w:type="spellEnd"/>
      <w:r>
        <w:t xml:space="preserve"> na základe jej údajnej žiadosti, a to od 28. septembra 2015 do 2. júla 2019;</w:t>
      </w:r>
    </w:p>
    <w:p>
      <w:pPr>
        <w:spacing w:after="240"/>
        <w:ind w:left="567" w:hanging="567"/>
      </w:pPr>
      <w:r>
        <w:t>D.</w:t>
      </w:r>
      <w:r>
        <w:tab/>
        <w:t>keďže na jednej strane Európsky parlament nemožno považovať za súd a na druhej strane poslanec nemôže byť v súvislosti s postupom zbavenia imunity považovaný za obvineného</w:t>
      </w:r>
      <w:r>
        <w:rPr>
          <w:vertAlign w:val="superscript"/>
        </w:rPr>
        <w:footnoteReference w:id="3"/>
      </w:r>
      <w:r>
        <w:t>;</w:t>
      </w:r>
    </w:p>
    <w:p>
      <w:pPr>
        <w:spacing w:after="240"/>
        <w:ind w:left="567" w:hanging="567"/>
      </w:pPr>
      <w:r>
        <w:t>E.</w:t>
      </w:r>
      <w:r>
        <w:tab/>
        <w:t xml:space="preserve">keďže údajný trestný čin sa netýka vyjadrených názorov ani hlasovania Evy </w:t>
      </w:r>
      <w:proofErr w:type="spellStart"/>
      <w:r>
        <w:t>Kailiovej</w:t>
      </w:r>
      <w:proofErr w:type="spellEnd"/>
      <w:r>
        <w:t xml:space="preserve"> pri výkone funkcií poslankyne Európskeho parlamentu v zmysle článku 8 Protokolu č. 7 o výsadách a imunitách Európskej únie;</w:t>
      </w:r>
    </w:p>
    <w:p>
      <w:pPr>
        <w:spacing w:after="240"/>
        <w:ind w:left="567" w:hanging="567"/>
      </w:pPr>
      <w:r>
        <w:t>F.</w:t>
      </w:r>
      <w:r>
        <w:tab/>
        <w:t xml:space="preserve">keďže podľa článku 9 Protokolu č. 7 o výsadách a imunitách Európskej únie požívajú poslanci Európskeho parlamentu na území svojho vlastného štátu imunitu priznanú </w:t>
      </w:r>
      <w:r>
        <w:lastRenderedPageBreak/>
        <w:t>poslancom národného parlamentu tohto štátu;</w:t>
      </w:r>
    </w:p>
    <w:p>
      <w:pPr>
        <w:spacing w:after="240"/>
        <w:ind w:left="567" w:hanging="567"/>
      </w:pPr>
      <w:r>
        <w:t>G.</w:t>
      </w:r>
      <w:r>
        <w:tab/>
        <w:t>keďže v článku 62 Ústavy Helénskej republiky sa predovšetkým stanovuje, že poslanci parlamentu nesmú byť počas volebného obdobia stíhaní, zatýkaní, väznení ani inak obmedzovaní bez predchádzajúceho súhlasu parlamentu;</w:t>
      </w:r>
    </w:p>
    <w:p>
      <w:pPr>
        <w:spacing w:after="240"/>
        <w:ind w:left="567" w:hanging="567"/>
      </w:pPr>
      <w:r>
        <w:t>H.</w:t>
      </w:r>
      <w:r>
        <w:tab/>
        <w:t>keďže cieľom poslaneckej imunity je chrániť Európsky parlament a jeho poslancov pred súdnym konaním týkajúcim sa činností súvisiacich s výkonom poslaneckej funkcie a činností, ktoré sú od výkonu tejto funkcie neoddeliteľné;</w:t>
      </w:r>
    </w:p>
    <w:p>
      <w:pPr>
        <w:spacing w:after="240"/>
        <w:ind w:left="567" w:hanging="567"/>
      </w:pPr>
      <w:r>
        <w:t>I.</w:t>
      </w:r>
      <w:r>
        <w:tab/>
        <w:t xml:space="preserve">keďže v tomto prípade Európsky parlament nenašiel žiadne dôkazy </w:t>
      </w:r>
      <w:proofErr w:type="spellStart"/>
      <w:r>
        <w:rPr>
          <w:i/>
        </w:rPr>
        <w:t>fumus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persecutionis</w:t>
      </w:r>
      <w:proofErr w:type="spellEnd"/>
      <w:r>
        <w:t>, teda skutkové okolnosti, ktoré by naznačovali, že predmetné trestné stíhanie sa začalo s úmyslom poškodiť politickú činnosť poslankyne, a tým Európsky parlament;</w:t>
      </w:r>
    </w:p>
    <w:p>
      <w:pPr>
        <w:spacing w:after="240"/>
        <w:ind w:left="567" w:hanging="567"/>
      </w:pPr>
      <w:r>
        <w:t>1.</w:t>
      </w:r>
      <w:r>
        <w:tab/>
        <w:t xml:space="preserve">rozhodol zbaviť Evu </w:t>
      </w:r>
      <w:proofErr w:type="spellStart"/>
      <w:r>
        <w:t>Kailiovú</w:t>
      </w:r>
      <w:proofErr w:type="spellEnd"/>
      <w:r>
        <w:t xml:space="preserve"> imunity;</w:t>
      </w:r>
    </w:p>
    <w:p>
      <w:pPr>
        <w:ind w:left="567" w:hanging="567"/>
      </w:pPr>
      <w:r>
        <w:t>2.</w:t>
      </w:r>
      <w:r>
        <w:tab/>
        <w:t xml:space="preserve">poveruje svoju predsedníčku, aby ihneď postúpila toto rozhodnutie a správu gestorského výboru Európskej prokuratúre a Eve </w:t>
      </w:r>
      <w:proofErr w:type="spellStart"/>
      <w:r>
        <w:t>Kailiovej</w:t>
      </w:r>
      <w:proofErr w:type="spellEnd"/>
      <w:r>
        <w:t>.</w:t>
      </w:r>
    </w:p>
    <w:sectPr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  <w:footnote w:id="1">
    <w:p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rFonts w:eastAsia="Calibri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 v. EÚ L 283, 31.10.2017, s. 1.</w:t>
      </w:r>
    </w:p>
  </w:footnote>
  <w:footnote w:id="2">
    <w:p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rFonts w:eastAsia="Calibri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 xml:space="preserve">Rozsudok Súdneho dvora z 21. októbra 2008, </w:t>
      </w:r>
      <w:proofErr w:type="spellStart"/>
      <w:r>
        <w:rPr>
          <w:sz w:val="24"/>
          <w:lang w:val="sk-SK"/>
        </w:rPr>
        <w:t>Marra</w:t>
      </w:r>
      <w:proofErr w:type="spellEnd"/>
      <w:r>
        <w:rPr>
          <w:sz w:val="24"/>
          <w:lang w:val="sk-SK"/>
        </w:rPr>
        <w:t xml:space="preserve">/De </w:t>
      </w:r>
      <w:proofErr w:type="spellStart"/>
      <w:r>
        <w:rPr>
          <w:sz w:val="24"/>
          <w:lang w:val="sk-SK"/>
        </w:rPr>
        <w:t>Gregorio</w:t>
      </w:r>
      <w:proofErr w:type="spellEnd"/>
      <w:r>
        <w:rPr>
          <w:sz w:val="24"/>
          <w:lang w:val="sk-SK"/>
        </w:rPr>
        <w:t xml:space="preserve"> a </w:t>
      </w:r>
      <w:proofErr w:type="spellStart"/>
      <w:r>
        <w:rPr>
          <w:sz w:val="24"/>
          <w:lang w:val="sk-SK"/>
        </w:rPr>
        <w:t>Clemente</w:t>
      </w:r>
      <w:proofErr w:type="spellEnd"/>
      <w:r>
        <w:rPr>
          <w:sz w:val="24"/>
          <w:lang w:val="sk-SK"/>
        </w:rPr>
        <w:t xml:space="preserve">, C-200/07 a C-201/07, ECLI:EU:C:2008:579; rozsudok Všeobecného súdu z 19. marca 2010, </w:t>
      </w:r>
      <w:proofErr w:type="spellStart"/>
      <w:r>
        <w:rPr>
          <w:sz w:val="24"/>
          <w:lang w:val="sk-SK"/>
        </w:rPr>
        <w:t>Gollnisch</w:t>
      </w:r>
      <w:proofErr w:type="spellEnd"/>
      <w:r>
        <w:rPr>
          <w:sz w:val="24"/>
          <w:lang w:val="sk-SK"/>
        </w:rPr>
        <w:t xml:space="preserve">/Parlament, T-42/06, ECLI:EU:T:2010:102; rozsudok Súdneho dvora zo 6. septembra 2011, </w:t>
      </w:r>
      <w:proofErr w:type="spellStart"/>
      <w:r>
        <w:rPr>
          <w:sz w:val="24"/>
          <w:lang w:val="sk-SK"/>
        </w:rPr>
        <w:t>Patriciello</w:t>
      </w:r>
      <w:proofErr w:type="spellEnd"/>
      <w:r>
        <w:rPr>
          <w:sz w:val="24"/>
          <w:lang w:val="sk-SK"/>
        </w:rPr>
        <w:t xml:space="preserve">, C-163/10, ECLI: EU:C:2011:543; rozsudok Všeobecného súdu zo 17. januára 2013, </w:t>
      </w:r>
      <w:proofErr w:type="spellStart"/>
      <w:r>
        <w:rPr>
          <w:sz w:val="24"/>
          <w:lang w:val="sk-SK"/>
        </w:rPr>
        <w:t>Gollnisch</w:t>
      </w:r>
      <w:proofErr w:type="spellEnd"/>
      <w:r>
        <w:rPr>
          <w:sz w:val="24"/>
          <w:lang w:val="sk-SK"/>
        </w:rPr>
        <w:t xml:space="preserve">/Parlament, T-346/11 a T-347/11, ECLI:EU:T:2013:23; rozsudok Súdneho dvora z 19. decembra 2019, </w:t>
      </w:r>
      <w:proofErr w:type="spellStart"/>
      <w:r>
        <w:rPr>
          <w:sz w:val="24"/>
          <w:lang w:val="sk-SK"/>
        </w:rPr>
        <w:t>Junqueras</w:t>
      </w:r>
      <w:proofErr w:type="spellEnd"/>
      <w:r>
        <w:rPr>
          <w:sz w:val="24"/>
          <w:lang w:val="sk-SK"/>
        </w:rPr>
        <w:t xml:space="preserve"> </w:t>
      </w:r>
      <w:proofErr w:type="spellStart"/>
      <w:r>
        <w:rPr>
          <w:sz w:val="24"/>
          <w:lang w:val="sk-SK"/>
        </w:rPr>
        <w:t>Vies</w:t>
      </w:r>
      <w:proofErr w:type="spellEnd"/>
      <w:r>
        <w:rPr>
          <w:sz w:val="24"/>
          <w:lang w:val="sk-SK"/>
        </w:rPr>
        <w:t>, C-502/19, ECLI:EU:C:2019:1115.</w:t>
      </w:r>
    </w:p>
  </w:footnote>
  <w:footnote w:id="3">
    <w:p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rFonts w:eastAsia="Calibri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 xml:space="preserve">Rozsudok Všeobecného súdu z 30. apríla 2019, </w:t>
      </w:r>
      <w:proofErr w:type="spellStart"/>
      <w:r>
        <w:rPr>
          <w:sz w:val="24"/>
          <w:lang w:val="sk-SK"/>
        </w:rPr>
        <w:t>Briois</w:t>
      </w:r>
      <w:proofErr w:type="spellEnd"/>
      <w:r>
        <w:rPr>
          <w:sz w:val="24"/>
          <w:lang w:val="sk-SK"/>
        </w:rPr>
        <w:t>/Parlament, T-214/18, ECLI:EU:T:2019:266.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29/2024"/>
    <w:docVar w:name="dvlangue" w:val="SK"/>
    <w:docVar w:name="dvnumam" w:val="0"/>
    <w:docVar w:name="dvpe" w:val="749.295"/>
    <w:docVar w:name="dvrapporteur" w:val="Spravodajkyňa: "/>
    <w:docVar w:name="dvtitre" w:val="Rozhodnutie Európskeho parlamentu zo 6. februára 2024 o žiadosti o zbavenie Evy Kailiovej imunity(2023/2007(IMM))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ABC61FF-FF68-4E1E-8945-908BDC2C06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Pr>
      <w:b w:val="0"/>
      <w:vertAlign w:val="superscript"/>
    </w:rPr>
  </w:style>
  <w:style w:type="paragraph" w:styleId="FootnoteText">
    <w:name w:val="footnote text"/>
    <w:basedOn w:val="Normal"/>
    <w:link w:val="FootnoteTextChar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Pr>
      <w:sz w:val="22"/>
      <w:lang w:val="fr-FR" w:eastAsia="fr-FR"/>
    </w:rPr>
  </w:style>
  <w:style w:type="character" w:styleId="PageNumber">
    <w:name w:val="page number"/>
    <w:semiHidden/>
  </w:style>
  <w:style w:type="paragraph" w:styleId="TOC2">
    <w:name w:val="toc 2"/>
    <w:basedOn w:val="Normal"/>
    <w:next w:val="Normal"/>
    <w:autoRedefine/>
    <w:semiHidden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pPr>
      <w:jc w:val="right"/>
    </w:pPr>
  </w:style>
  <w:style w:type="paragraph" w:customStyle="1" w:styleId="EPComma">
    <w:name w:val="EPComma"/>
    <w:basedOn w:val="Normal"/>
    <w:pPr>
      <w:spacing w:before="480" w:after="240"/>
    </w:pPr>
  </w:style>
  <w:style w:type="paragraph" w:styleId="BalloonText">
    <w:name w:val="Balloon Text"/>
    <w:basedOn w:val="Normal"/>
    <w:link w:val="BalloonTextChar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Pr>
      <w:rFonts w:ascii="Segoe UI" w:hAnsi="Segoe UI" w:cs="Segoe UI"/>
      <w:sz w:val="18"/>
      <w:szCs w:val="18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4F0EFD-5BCC-45AB-B3E6-F77BC9A666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767</Words>
  <Characters>4266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5023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SUCHANOVA Monika</dc:creator>
  <cp:keywords/>
  <cp:lastModifiedBy>SUCHANOVA Monika</cp:lastModifiedBy>
  <cp:revision>2</cp:revision>
  <cp:lastPrinted>2004-11-19T15:42:00Z</cp:lastPrinted>
  <dcterms:created xsi:type="dcterms:W3CDTF">2024-02-06T10:18:00Z</dcterms:created>
  <dcterms:modified xsi:type="dcterms:W3CDTF">2024-02-06T10:18:00Z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A9-0029/2024</vt:lpwstr>
  </property>
  <property fmtid="{D5CDD505-2E9C-101B-9397-08002B2CF9AE}" pid="4" name="&lt;Type&gt;">
    <vt:lpwstr>RR</vt:lpwstr>
  </property>
</Properties>
</file>