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F4F" w:rsidTr="0010095E">
        <w:trPr>
          <w:trHeight w:hRule="exact" w:val="1418"/>
        </w:trPr>
        <w:tc>
          <w:tcPr>
            <w:tcW w:w="6804" w:type="dxa"/>
            <w:shd w:val="clear" w:color="auto" w:fill="auto"/>
            <w:vAlign w:val="center"/>
          </w:tcPr>
          <w:p w:rsidR="00751A4A" w:rsidRPr="00930F4F" w:rsidRDefault="0067336B" w:rsidP="0010095E">
            <w:pPr>
              <w:pStyle w:val="EPName"/>
            </w:pPr>
            <w:r w:rsidRPr="00930F4F">
              <w:t>Evropski parlament</w:t>
            </w:r>
          </w:p>
          <w:p w:rsidR="00751A4A" w:rsidRPr="00930F4F" w:rsidRDefault="00817416" w:rsidP="00756632">
            <w:pPr>
              <w:pStyle w:val="EPTerm"/>
              <w:rPr>
                <w:rStyle w:val="HideTWBExt"/>
                <w:noProof w:val="0"/>
                <w:vanish w:val="0"/>
                <w:color w:val="auto"/>
              </w:rPr>
            </w:pPr>
            <w:r w:rsidRPr="00930F4F">
              <w:t>2019-2024</w:t>
            </w:r>
          </w:p>
        </w:tc>
        <w:tc>
          <w:tcPr>
            <w:tcW w:w="2268" w:type="dxa"/>
            <w:shd w:val="clear" w:color="auto" w:fill="auto"/>
          </w:tcPr>
          <w:p w:rsidR="00751A4A" w:rsidRPr="00930F4F" w:rsidRDefault="00187494" w:rsidP="0010095E">
            <w:pPr>
              <w:pStyle w:val="EPLogo"/>
            </w:pPr>
            <w:r w:rsidRPr="00930F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0F4F" w:rsidRDefault="00D058B8" w:rsidP="004C5D52">
      <w:pPr>
        <w:pStyle w:val="LineTop"/>
      </w:pPr>
    </w:p>
    <w:p w:rsidR="00680577" w:rsidRPr="00930F4F" w:rsidRDefault="0067336B" w:rsidP="00680577">
      <w:pPr>
        <w:pStyle w:val="EPBodyTA1"/>
      </w:pPr>
      <w:r w:rsidRPr="00930F4F">
        <w:t>SPREJETA BESEDILA</w:t>
      </w:r>
    </w:p>
    <w:p w:rsidR="00D058B8" w:rsidRPr="00930F4F" w:rsidRDefault="00D058B8" w:rsidP="00D058B8">
      <w:pPr>
        <w:pStyle w:val="LineBottom"/>
      </w:pPr>
    </w:p>
    <w:p w:rsidR="0067336B" w:rsidRPr="00930F4F" w:rsidRDefault="0067336B" w:rsidP="00930F4F">
      <w:pPr>
        <w:pStyle w:val="ATHeading1"/>
      </w:pPr>
      <w:bookmarkStart w:id="0" w:name="TANumber"/>
      <w:r w:rsidRPr="00930F4F">
        <w:t>P9_TA(2024)00</w:t>
      </w:r>
      <w:r w:rsidR="00930F4F" w:rsidRPr="00930F4F">
        <w:t>56</w:t>
      </w:r>
      <w:bookmarkEnd w:id="0"/>
    </w:p>
    <w:p w:rsidR="0067336B" w:rsidRPr="00930F4F" w:rsidRDefault="0067336B" w:rsidP="0067336B">
      <w:pPr>
        <w:pStyle w:val="ATHeading2"/>
      </w:pPr>
      <w:bookmarkStart w:id="1" w:name="title"/>
      <w:r w:rsidRPr="00930F4F">
        <w:t>Zahteva za odvzem imunitete Evi Kaili</w:t>
      </w:r>
      <w:bookmarkEnd w:id="1"/>
    </w:p>
    <w:p w:rsidR="0067336B" w:rsidRPr="00930F4F" w:rsidRDefault="0067336B" w:rsidP="0067336B">
      <w:pPr>
        <w:rPr>
          <w:i/>
          <w:vanish/>
        </w:rPr>
      </w:pPr>
      <w:r w:rsidRPr="00930F4F">
        <w:rPr>
          <w:i/>
        </w:rPr>
        <w:fldChar w:fldCharType="begin"/>
      </w:r>
      <w:r w:rsidRPr="00930F4F">
        <w:rPr>
          <w:i/>
        </w:rPr>
        <w:instrText xml:space="preserve"> TC"(</w:instrText>
      </w:r>
      <w:bookmarkStart w:id="2" w:name="DocNumber"/>
      <w:r w:rsidRPr="00930F4F">
        <w:rPr>
          <w:i/>
        </w:rPr>
        <w:instrText>A9-0029/2024</w:instrText>
      </w:r>
      <w:bookmarkEnd w:id="2"/>
      <w:r w:rsidRPr="00930F4F">
        <w:rPr>
          <w:i/>
        </w:rPr>
        <w:instrText xml:space="preserve"> - Poročevalka: Ilana Cicurel)"\l3 \n&gt; \* MERGEFORMAT </w:instrText>
      </w:r>
      <w:r w:rsidRPr="00930F4F">
        <w:rPr>
          <w:i/>
        </w:rPr>
        <w:fldChar w:fldCharType="end"/>
      </w:r>
    </w:p>
    <w:p w:rsidR="0067336B" w:rsidRPr="00930F4F" w:rsidRDefault="0067336B" w:rsidP="0067336B">
      <w:pPr>
        <w:rPr>
          <w:vanish/>
        </w:rPr>
      </w:pPr>
      <w:bookmarkStart w:id="3" w:name="Commission"/>
      <w:r w:rsidRPr="00930F4F">
        <w:rPr>
          <w:vanish/>
        </w:rPr>
        <w:t>Odbor za pravne zadeve</w:t>
      </w:r>
      <w:bookmarkEnd w:id="3"/>
    </w:p>
    <w:p w:rsidR="0067336B" w:rsidRPr="00930F4F" w:rsidRDefault="0067336B" w:rsidP="0067336B">
      <w:pPr>
        <w:rPr>
          <w:vanish/>
        </w:rPr>
      </w:pPr>
      <w:bookmarkStart w:id="4" w:name="PE"/>
      <w:r w:rsidRPr="00930F4F">
        <w:rPr>
          <w:vanish/>
        </w:rPr>
        <w:t>PE749.295</w:t>
      </w:r>
      <w:bookmarkEnd w:id="4"/>
    </w:p>
    <w:p w:rsidR="0067336B" w:rsidRPr="00930F4F" w:rsidRDefault="0067336B" w:rsidP="0067336B">
      <w:pPr>
        <w:pStyle w:val="ATHeading3"/>
      </w:pPr>
      <w:bookmarkStart w:id="5" w:name="Sujet"/>
      <w:r w:rsidRPr="00930F4F">
        <w:t>Sklep Evropskega parlamenta z dne 6. februarja 2024 o zahtevi za odvzem imunitete Evi Kaili</w:t>
      </w:r>
      <w:bookmarkEnd w:id="5"/>
      <w:r w:rsidRPr="00930F4F">
        <w:t xml:space="preserve"> </w:t>
      </w:r>
      <w:bookmarkStart w:id="6" w:name="References"/>
      <w:r w:rsidRPr="00930F4F">
        <w:t>(2023/2007(IMM))</w:t>
      </w:r>
      <w:bookmarkEnd w:id="6"/>
    </w:p>
    <w:p w:rsidR="005556A3" w:rsidRPr="00930F4F" w:rsidRDefault="005556A3" w:rsidP="00A3021D">
      <w:pPr>
        <w:pStyle w:val="EPComma"/>
        <w:spacing w:before="0"/>
      </w:pPr>
      <w:bookmarkStart w:id="7" w:name="TextBodyBegin"/>
      <w:bookmarkEnd w:id="7"/>
      <w:r w:rsidRPr="00930F4F">
        <w:rPr>
          <w:i/>
        </w:rPr>
        <w:t>Evropski parlament</w:t>
      </w:r>
      <w:r w:rsidRPr="00930F4F">
        <w:t>,</w:t>
      </w:r>
    </w:p>
    <w:p w:rsidR="005556A3" w:rsidRPr="00930F4F" w:rsidRDefault="005556A3" w:rsidP="00F607BE">
      <w:pPr>
        <w:pStyle w:val="NormalHanging12a"/>
      </w:pPr>
      <w:r w:rsidRPr="00930F4F">
        <w:t>–</w:t>
      </w:r>
      <w:r w:rsidRPr="00930F4F">
        <w:tab/>
        <w:t>ob upoštevanju zahteve za odvzem</w:t>
      </w:r>
      <w:r w:rsidR="00F607BE" w:rsidRPr="00930F4F">
        <w:t xml:space="preserve"> imunitete Evi Kaili, ki jo je </w:t>
      </w:r>
      <w:r w:rsidRPr="00930F4F">
        <w:t xml:space="preserve">15. decembra 2022 posredoval evropski glavni tožilec in ki je bila razglašena na plenarnem </w:t>
      </w:r>
      <w:r w:rsidR="00F607BE" w:rsidRPr="00930F4F">
        <w:t>zasedanju 19. </w:t>
      </w:r>
      <w:r w:rsidRPr="00930F4F">
        <w:t>januarja 2023,</w:t>
      </w:r>
    </w:p>
    <w:p w:rsidR="005556A3" w:rsidRPr="00930F4F" w:rsidRDefault="005556A3" w:rsidP="00A3021D">
      <w:pPr>
        <w:pStyle w:val="NormalHanging12a"/>
      </w:pPr>
      <w:r w:rsidRPr="00930F4F">
        <w:t>–</w:t>
      </w:r>
      <w:r w:rsidRPr="00930F4F">
        <w:tab/>
        <w:t>po zagovoru Eve Kaili v skladu s členom 9(6) Poslovnika,</w:t>
      </w:r>
    </w:p>
    <w:p w:rsidR="005556A3" w:rsidRPr="00930F4F" w:rsidRDefault="005556A3" w:rsidP="00A3021D">
      <w:pPr>
        <w:pStyle w:val="NormalHanging12a"/>
      </w:pPr>
      <w:r w:rsidRPr="00930F4F">
        <w:t>–</w:t>
      </w:r>
      <w:r w:rsidRPr="00930F4F">
        <w:tab/>
        <w:t>ob upoštevanju členov 8 in 9 Protokola (št. 7) o privilegijih in imunitetah Evropske unije ter člena 6(2) Akta o volitvah poslancev Evropskega parlamenta s splošnimi neposrednimi volitvami z dne 20. septembra 1976,</w:t>
      </w:r>
    </w:p>
    <w:p w:rsidR="005556A3" w:rsidRPr="00930F4F" w:rsidRDefault="005556A3" w:rsidP="00A3021D">
      <w:pPr>
        <w:pStyle w:val="NormalHanging12a"/>
      </w:pPr>
      <w:r w:rsidRPr="00930F4F">
        <w:t>–</w:t>
      </w:r>
      <w:r w:rsidRPr="00930F4F">
        <w:tab/>
        <w:t>ob upoštevanju Uredbe Sveta (EU) 2017/1939 z dne 12. oktobra 2017 o izvajanju okrepljenega sodelovanja v zvezi z ustanovitvijo Evropskega javnega tožilstva (EJT)</w:t>
      </w:r>
      <w:r w:rsidRPr="00930F4F">
        <w:rPr>
          <w:rStyle w:val="FootnoteReference"/>
        </w:rPr>
        <w:footnoteReference w:id="1"/>
      </w:r>
      <w:r w:rsidRPr="00930F4F">
        <w:t xml:space="preserve"> in zlasti člena 29(2) Uredbe,</w:t>
      </w:r>
    </w:p>
    <w:p w:rsidR="005556A3" w:rsidRPr="00930F4F" w:rsidRDefault="005556A3" w:rsidP="00A3021D">
      <w:pPr>
        <w:pStyle w:val="NormalHanging12a"/>
      </w:pPr>
      <w:r w:rsidRPr="00930F4F">
        <w:t>–</w:t>
      </w:r>
      <w:r w:rsidRPr="00930F4F">
        <w:tab/>
        <w:t>ob upoštevanju sodb Sodišča Evropske unije z dne 21. o</w:t>
      </w:r>
      <w:r w:rsidR="00F607BE" w:rsidRPr="00930F4F">
        <w:t>ktobra 2008, 19. marca 2010, 6. </w:t>
      </w:r>
      <w:r w:rsidRPr="00930F4F">
        <w:t>septembra 2011, 17. januarja 2013 in 19. decembra 2019</w:t>
      </w:r>
      <w:r w:rsidRPr="00930F4F">
        <w:rPr>
          <w:rStyle w:val="FootnoteReference"/>
        </w:rPr>
        <w:footnoteReference w:id="2"/>
      </w:r>
      <w:r w:rsidRPr="00930F4F">
        <w:t>,</w:t>
      </w:r>
    </w:p>
    <w:p w:rsidR="005556A3" w:rsidRPr="00930F4F" w:rsidRDefault="005556A3" w:rsidP="00A3021D">
      <w:pPr>
        <w:spacing w:after="240"/>
        <w:ind w:left="567" w:hanging="567"/>
      </w:pPr>
      <w:r w:rsidRPr="00930F4F">
        <w:t>–</w:t>
      </w:r>
      <w:r w:rsidRPr="00930F4F">
        <w:tab/>
        <w:t>ob upoštevanju 62. člena ustave Helenske republike,</w:t>
      </w:r>
    </w:p>
    <w:p w:rsidR="005556A3" w:rsidRPr="00930F4F" w:rsidRDefault="005556A3" w:rsidP="00A3021D">
      <w:pPr>
        <w:pStyle w:val="NormalHanging12a"/>
      </w:pPr>
      <w:r w:rsidRPr="00930F4F">
        <w:t>–</w:t>
      </w:r>
      <w:r w:rsidRPr="00930F4F">
        <w:tab/>
        <w:t>ob upoštevanju člena 5(2), člena 6(1) in člena 9 Poslovnika,</w:t>
      </w:r>
    </w:p>
    <w:p w:rsidR="005556A3" w:rsidRPr="00930F4F" w:rsidRDefault="005556A3" w:rsidP="00A3021D">
      <w:pPr>
        <w:pStyle w:val="NormalHanging12a"/>
      </w:pPr>
      <w:r w:rsidRPr="00930F4F">
        <w:lastRenderedPageBreak/>
        <w:t>–</w:t>
      </w:r>
      <w:r w:rsidRPr="00930F4F">
        <w:tab/>
        <w:t>ob upoštevanju poročila Odbora za pravne zadeve (A9</w:t>
      </w:r>
      <w:r w:rsidRPr="00930F4F">
        <w:noBreakHyphen/>
        <w:t>0029/2024),</w:t>
      </w:r>
    </w:p>
    <w:p w:rsidR="005556A3" w:rsidRPr="00930F4F" w:rsidRDefault="005556A3" w:rsidP="00A3021D">
      <w:pPr>
        <w:spacing w:after="240"/>
        <w:ind w:left="567" w:hanging="567"/>
      </w:pPr>
      <w:r w:rsidRPr="00930F4F">
        <w:t>Α.</w:t>
      </w:r>
      <w:r w:rsidRPr="00930F4F">
        <w:tab/>
        <w:t xml:space="preserve">ker je evropska glavna tožilka zahtevala odvzem poslanske imunitete Evi Kaili v okviru tekoče preiskave dejstev, ki bi lahko pomenila hudo kaznivo dejanje napeljevanja h goljufijam, ki škodijo finančnim interesom Evropske unije, ki je bilo storjeno večkrat in katerega posledica je škoda v višini več kot 120 000 EUR in 150 000 EUR, zanj pa je zagrožena zaporna kazen od 5 do 15 let, kot je določeno v členih 46(1), 52(2) in 98(2) grškega kazenskega zakonika ter členu 4(1) in členu 4(2)(b) zakona št. 2803/2000 v povezavi s členoma 2(1) in 386(2) grškega kazenskega zakonika ter členoma 24(2) in </w:t>
      </w:r>
      <w:bookmarkStart w:id="8" w:name="_GoBack"/>
      <w:r w:rsidRPr="00930F4F">
        <w:t>26(3) zakona št. 4689/2020;</w:t>
      </w:r>
    </w:p>
    <w:bookmarkEnd w:id="8"/>
    <w:p w:rsidR="005556A3" w:rsidRPr="00930F4F" w:rsidRDefault="005556A3" w:rsidP="00A3021D">
      <w:pPr>
        <w:spacing w:after="240"/>
        <w:ind w:left="567" w:hanging="567"/>
      </w:pPr>
      <w:r w:rsidRPr="00930F4F">
        <w:t>Β.</w:t>
      </w:r>
      <w:r w:rsidRPr="00930F4F">
        <w:tab/>
        <w:t>ker je grški evropski delegirani tožilec na podlagi poročila urada OLAF, ki ga je Evropsko javno tožilstvo evidentiralo 1. julija 2021, 8. septembra 2021 začel zadevno preiskavo; ker je evropska delegirana tožilka, pristojna za zadevo, 12. novembra 2021 v skladu s svojimi pristojnostmi od urada OLAF zahtevala, naj predloži dokumente iz spisa; ker je po preučitvi spisa 2. februarja 2022 od urada OLAF zahtevala dodatno preiskavo, 7. februarja 2022 pa prevod dokumentov iz angleščine v grščino; ker je urad OLAF končno poročilo in dokazila predložil 8. decembra 2022, ustrezne prevode pa 14. decembra 2022;</w:t>
      </w:r>
    </w:p>
    <w:p w:rsidR="005556A3" w:rsidRPr="00930F4F" w:rsidRDefault="005556A3" w:rsidP="00A3021D">
      <w:pPr>
        <w:spacing w:after="240"/>
        <w:ind w:left="567" w:hanging="567"/>
      </w:pPr>
      <w:r w:rsidRPr="00930F4F">
        <w:t>C.</w:t>
      </w:r>
      <w:r w:rsidRPr="00930F4F">
        <w:tab/>
        <w:t>ker se domnevne nepravilnosti, s katerimi naj bi bila Eva Kaili seznanjena, nanašajo zlasti na:</w:t>
      </w:r>
    </w:p>
    <w:p w:rsidR="005556A3" w:rsidRPr="00930F4F" w:rsidRDefault="00A3021D" w:rsidP="00A3021D">
      <w:pPr>
        <w:spacing w:after="240"/>
        <w:ind w:left="1134" w:hanging="567"/>
      </w:pPr>
      <w:r w:rsidRPr="00930F4F">
        <w:t>(</w:t>
      </w:r>
      <w:r w:rsidR="005556A3" w:rsidRPr="00930F4F">
        <w:t xml:space="preserve">a) </w:t>
      </w:r>
      <w:r w:rsidRPr="00930F4F">
        <w:tab/>
      </w:r>
      <w:r w:rsidR="005556A3" w:rsidRPr="00930F4F">
        <w:t>neizpolnitev obveznosti ene od njenih akreditiranih parlamentarnih pomočnic glede prisotnosti na delovnem mestu med 28. septembrom 2015 in 2. julijem 2019 ter glede njenega opravljanja nalog,</w:t>
      </w:r>
    </w:p>
    <w:p w:rsidR="005556A3" w:rsidRPr="00930F4F" w:rsidRDefault="00A3021D" w:rsidP="00A3021D">
      <w:pPr>
        <w:spacing w:after="240"/>
        <w:ind w:left="1134" w:hanging="567"/>
      </w:pPr>
      <w:r w:rsidRPr="00930F4F">
        <w:t>(</w:t>
      </w:r>
      <w:r w:rsidR="005556A3" w:rsidRPr="00930F4F">
        <w:t xml:space="preserve">b) </w:t>
      </w:r>
      <w:r w:rsidRPr="00930F4F">
        <w:tab/>
      </w:r>
      <w:r w:rsidR="005556A3" w:rsidRPr="00930F4F">
        <w:t>vložitev zahtevkov za potne naloge in prijavo potnih stroškov ter povračila stroškov za službena potovanja, ki jih štiri akreditirane parlamentarne pomočnice Eve Kaili niso opravile, in sicer za prvo pomočnico med februarjem 2016 in marcem 2018, za drugo med majem 2015 in februarjem 2020, za tretjo med decembrom 2015 in aprilom 2019 ter za četrto med oktobrom 2014 in februarjem 2020,</w:t>
      </w:r>
    </w:p>
    <w:p w:rsidR="005556A3" w:rsidRPr="00930F4F" w:rsidRDefault="00A3021D" w:rsidP="00A3021D">
      <w:pPr>
        <w:spacing w:after="240"/>
        <w:ind w:left="1134" w:hanging="567"/>
      </w:pPr>
      <w:r w:rsidRPr="00930F4F">
        <w:t>(</w:t>
      </w:r>
      <w:r w:rsidR="005556A3" w:rsidRPr="00930F4F">
        <w:t xml:space="preserve">c) </w:t>
      </w:r>
      <w:r w:rsidRPr="00930F4F">
        <w:tab/>
      </w:r>
      <w:r w:rsidR="005556A3" w:rsidRPr="00930F4F">
        <w:t>izplačilo dela plač/stroškov za službena potovanja akreditirane parlamentarne pomočnice Evi Kaili, domnevno na njeno zahtevo, od 28. septembra 2015 do 2. julija 2019;</w:t>
      </w:r>
    </w:p>
    <w:p w:rsidR="005556A3" w:rsidRPr="00930F4F" w:rsidRDefault="005556A3" w:rsidP="00A3021D">
      <w:pPr>
        <w:spacing w:after="240"/>
        <w:ind w:left="567" w:hanging="567"/>
      </w:pPr>
      <w:r w:rsidRPr="00930F4F">
        <w:t>D.</w:t>
      </w:r>
      <w:r w:rsidRPr="00930F4F">
        <w:tab/>
        <w:t>ker Parlamenta ni mogoče enačiti s sodiščem in ker poslanec v zvezi s postopkom za odvzem imunitete ne sme biti obravnavan kot „obtoženec“</w:t>
      </w:r>
      <w:r w:rsidRPr="00930F4F">
        <w:rPr>
          <w:vertAlign w:val="superscript"/>
        </w:rPr>
        <w:footnoteReference w:id="3"/>
      </w:r>
      <w:r w:rsidRPr="00930F4F">
        <w:t>;</w:t>
      </w:r>
    </w:p>
    <w:p w:rsidR="005556A3" w:rsidRPr="00930F4F" w:rsidRDefault="005556A3" w:rsidP="00A3021D">
      <w:pPr>
        <w:spacing w:after="240"/>
        <w:ind w:left="567" w:hanging="567"/>
      </w:pPr>
      <w:r w:rsidRPr="00930F4F">
        <w:t>E.</w:t>
      </w:r>
      <w:r w:rsidRPr="00930F4F">
        <w:tab/>
        <w:t>ker se domnevno kaznivo dejanje ne nanaša na mnenje ali glas, ki ga je Eva Kaili izrekla pri opravljanju svojih dolžnosti poslanke Evropskega parlamenta v skladu s členom 8 Protokola (št. 7) o privilegijih in imunitetah Evropske unije;</w:t>
      </w:r>
    </w:p>
    <w:p w:rsidR="005556A3" w:rsidRPr="00930F4F" w:rsidRDefault="005556A3" w:rsidP="00A3021D">
      <w:pPr>
        <w:spacing w:after="240"/>
        <w:ind w:left="567" w:hanging="567"/>
      </w:pPr>
      <w:r w:rsidRPr="00930F4F">
        <w:t>F.</w:t>
      </w:r>
      <w:r w:rsidRPr="00930F4F">
        <w:tab/>
        <w:t>ker v skladu s členom 9 Protokola (št. 7) o privilegijih in imunitetah Evropske unije poslanci Evropskega parlamenta uživajo na ozemlju svoje države članice imunitete, priznane poslancem parlamenta te države;</w:t>
      </w:r>
    </w:p>
    <w:p w:rsidR="005556A3" w:rsidRPr="00930F4F" w:rsidRDefault="005556A3" w:rsidP="00A3021D">
      <w:pPr>
        <w:spacing w:after="240"/>
        <w:ind w:left="567" w:hanging="567"/>
      </w:pPr>
      <w:r w:rsidRPr="00930F4F">
        <w:lastRenderedPageBreak/>
        <w:t>G.</w:t>
      </w:r>
      <w:r w:rsidRPr="00930F4F">
        <w:tab/>
        <w:t>ker 62. člen ustave Helenske republike med drugim določa, da se v času trajanja poslanskega mandata poslanci ne smejo preganjati, aretirati, pripreti ali se jim ne sme drugače vzeti prostost brez predhodnega soglasja parlamenta;</w:t>
      </w:r>
    </w:p>
    <w:p w:rsidR="005556A3" w:rsidRPr="00930F4F" w:rsidRDefault="005556A3" w:rsidP="00A3021D">
      <w:pPr>
        <w:spacing w:after="240"/>
        <w:ind w:left="567" w:hanging="567"/>
      </w:pPr>
      <w:r w:rsidRPr="00930F4F">
        <w:t>H.</w:t>
      </w:r>
      <w:r w:rsidRPr="00930F4F">
        <w:tab/>
        <w:t>ker je namen poslanske imunitete zaščititi Parlament in njegove poslance pred sodnimi postopki, povezanimi z dejavnostmi poslancev med opravljanjem parlamentarnih dolžnosti, ki jih od teh dolžnosti ni mogoče ločiti;</w:t>
      </w:r>
    </w:p>
    <w:p w:rsidR="005556A3" w:rsidRPr="00930F4F" w:rsidRDefault="005556A3" w:rsidP="00A3021D">
      <w:pPr>
        <w:spacing w:after="240"/>
        <w:ind w:left="567" w:hanging="567"/>
      </w:pPr>
      <w:r w:rsidRPr="00930F4F">
        <w:t>I.</w:t>
      </w:r>
      <w:r w:rsidRPr="00930F4F">
        <w:tab/>
        <w:t xml:space="preserve">ker v obravnavanem primeru Parlament ni našel dokaza o tem, da bi šlo za </w:t>
      </w:r>
      <w:r w:rsidRPr="00930F4F">
        <w:rPr>
          <w:i/>
        </w:rPr>
        <w:t>fumus persecutionis</w:t>
      </w:r>
      <w:r w:rsidRPr="00930F4F">
        <w:t>, tj. dejstva, ki kažejo, da bi lahko bil namen zadevnega sodnega postopka škodovati politični dejavnosti poslanke in s tem tudi Evropskemu parlamentu;</w:t>
      </w:r>
    </w:p>
    <w:p w:rsidR="005556A3" w:rsidRPr="00930F4F" w:rsidRDefault="005556A3" w:rsidP="00A3021D">
      <w:pPr>
        <w:pStyle w:val="NormalHanging12a"/>
      </w:pPr>
      <w:r w:rsidRPr="00930F4F">
        <w:t>1.</w:t>
      </w:r>
      <w:r w:rsidRPr="00930F4F">
        <w:tab/>
        <w:t>sklene, da se Evi Kaili odvzame imuniteta;</w:t>
      </w:r>
    </w:p>
    <w:p w:rsidR="00E365E1" w:rsidRPr="00930F4F" w:rsidRDefault="005556A3" w:rsidP="00A3021D">
      <w:pPr>
        <w:spacing w:after="240"/>
        <w:ind w:left="567" w:hanging="567"/>
      </w:pPr>
      <w:r w:rsidRPr="00930F4F">
        <w:t>2.</w:t>
      </w:r>
      <w:r w:rsidRPr="00930F4F">
        <w:tab/>
        <w:t>naroči svoji predsednici, naj ta sklep in poročilo pristojnega odbora nemudoma posreduje Evropskemu javnemu tožilstvu in Evi Kaili.</w:t>
      </w:r>
      <w:bookmarkStart w:id="9" w:name="TextBodyEnd"/>
      <w:bookmarkEnd w:id="9"/>
    </w:p>
    <w:sectPr w:rsidR="00E365E1" w:rsidRPr="00930F4F" w:rsidSect="00C377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6B" w:rsidRPr="00C37795" w:rsidRDefault="0067336B">
      <w:r w:rsidRPr="00C37795">
        <w:separator/>
      </w:r>
    </w:p>
  </w:endnote>
  <w:endnote w:type="continuationSeparator" w:id="0">
    <w:p w:rsidR="0067336B" w:rsidRPr="00C37795" w:rsidRDefault="0067336B">
      <w:r w:rsidRPr="00C377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6B" w:rsidRPr="00C37795" w:rsidRDefault="0067336B">
      <w:r w:rsidRPr="00C37795">
        <w:separator/>
      </w:r>
    </w:p>
  </w:footnote>
  <w:footnote w:type="continuationSeparator" w:id="0">
    <w:p w:rsidR="0067336B" w:rsidRPr="00C37795" w:rsidRDefault="0067336B">
      <w:r w:rsidRPr="00C37795">
        <w:continuationSeparator/>
      </w:r>
    </w:p>
  </w:footnote>
  <w:footnote w:id="1">
    <w:p w:rsidR="005556A3" w:rsidRPr="00C37795" w:rsidRDefault="005556A3" w:rsidP="00C37795">
      <w:pPr>
        <w:pStyle w:val="FootnoteText"/>
        <w:ind w:left="567" w:hanging="567"/>
        <w:rPr>
          <w:sz w:val="24"/>
          <w:lang w:val="sl-SI"/>
        </w:rPr>
      </w:pPr>
      <w:r w:rsidRPr="00C37795">
        <w:rPr>
          <w:rStyle w:val="FootnoteReference"/>
          <w:sz w:val="24"/>
          <w:lang w:val="sl-SI"/>
        </w:rPr>
        <w:footnoteRef/>
      </w:r>
      <w:r w:rsidR="00C37795" w:rsidRPr="00C37795">
        <w:rPr>
          <w:sz w:val="24"/>
          <w:lang w:val="sl-SI"/>
        </w:rPr>
        <w:t xml:space="preserve"> </w:t>
      </w:r>
      <w:r w:rsidR="00C37795" w:rsidRPr="00C37795">
        <w:rPr>
          <w:sz w:val="24"/>
          <w:lang w:val="sl-SI"/>
        </w:rPr>
        <w:tab/>
      </w:r>
      <w:r w:rsidRPr="00C37795">
        <w:rPr>
          <w:sz w:val="24"/>
          <w:lang w:val="sl-SI"/>
        </w:rPr>
        <w:t>UL L 283, 31.10.2017, str. 1.</w:t>
      </w:r>
    </w:p>
  </w:footnote>
  <w:footnote w:id="2">
    <w:p w:rsidR="005556A3" w:rsidRPr="00C37795" w:rsidRDefault="005556A3" w:rsidP="00C37795">
      <w:pPr>
        <w:pStyle w:val="FootnoteText"/>
        <w:ind w:left="567" w:hanging="567"/>
        <w:rPr>
          <w:sz w:val="24"/>
          <w:lang w:val="sl-SI"/>
        </w:rPr>
      </w:pPr>
      <w:r w:rsidRPr="00C37795">
        <w:rPr>
          <w:rStyle w:val="FootnoteReference"/>
          <w:sz w:val="24"/>
          <w:lang w:val="sl-SI"/>
        </w:rPr>
        <w:footnoteRef/>
      </w:r>
      <w:r w:rsidR="00C37795" w:rsidRPr="00C37795">
        <w:rPr>
          <w:sz w:val="24"/>
          <w:lang w:val="sl-SI"/>
        </w:rPr>
        <w:t xml:space="preserve"> </w:t>
      </w:r>
      <w:r w:rsidR="00C37795" w:rsidRPr="00C37795">
        <w:rPr>
          <w:sz w:val="24"/>
          <w:lang w:val="sl-SI"/>
        </w:rPr>
        <w:tab/>
      </w:r>
      <w:r w:rsidRPr="00C37795">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 Parlament, T-346/11 in T-347/11, ECLI:EU:T:2013:23, in sodba Sodišča z dne 19. decembra 2019, Junqueras Vies, C-502/19, ECLI:EU:C:2019:1115.</w:t>
      </w:r>
    </w:p>
  </w:footnote>
  <w:footnote w:id="3">
    <w:p w:rsidR="005556A3" w:rsidRPr="00C37795" w:rsidRDefault="005556A3" w:rsidP="00C37795">
      <w:pPr>
        <w:pStyle w:val="FootnoteText"/>
        <w:ind w:left="567" w:hanging="567"/>
        <w:rPr>
          <w:sz w:val="24"/>
          <w:lang w:val="sl-SI"/>
        </w:rPr>
      </w:pPr>
      <w:r w:rsidRPr="00C37795">
        <w:rPr>
          <w:rStyle w:val="FootnoteReference"/>
          <w:rFonts w:eastAsia="Calibri"/>
          <w:sz w:val="24"/>
          <w:lang w:val="sl-SI"/>
        </w:rPr>
        <w:footnoteRef/>
      </w:r>
      <w:r w:rsidR="00C37795" w:rsidRPr="00C37795">
        <w:rPr>
          <w:sz w:val="24"/>
          <w:lang w:val="sl-SI"/>
        </w:rPr>
        <w:t xml:space="preserve"> </w:t>
      </w:r>
      <w:r w:rsidR="00C37795" w:rsidRPr="00C37795">
        <w:rPr>
          <w:sz w:val="24"/>
          <w:lang w:val="sl-SI"/>
        </w:rPr>
        <w:tab/>
      </w:r>
      <w:r w:rsidRPr="00C37795">
        <w:rPr>
          <w:sz w:val="24"/>
          <w:lang w:val="sl-SI"/>
        </w:rPr>
        <w:t>Sodba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77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SL"/>
    <w:docVar w:name="dvnumam" w:val="0"/>
    <w:docVar w:name="dvpe" w:val="749.295"/>
    <w:docVar w:name="dvrapporteur" w:val="Poročevalka: "/>
    <w:docVar w:name="dvtitre" w:val="Sklep Evropskega parlamenta z dne 6. februarja 2024 o zahtevi za odvzem imunitete Evi Kaili(2023/2007(IMM))"/>
  </w:docVars>
  <w:rsids>
    <w:rsidRoot w:val="0067336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6A3"/>
    <w:rsid w:val="00560270"/>
    <w:rsid w:val="005C2568"/>
    <w:rsid w:val="006037C0"/>
    <w:rsid w:val="006631B6"/>
    <w:rsid w:val="0067336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F4F"/>
    <w:rsid w:val="0093193B"/>
    <w:rsid w:val="009509D8"/>
    <w:rsid w:val="00950B64"/>
    <w:rsid w:val="00981893"/>
    <w:rsid w:val="00A1687D"/>
    <w:rsid w:val="00A3021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79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07B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A979A"/>
  <w15:chartTrackingRefBased/>
  <w15:docId w15:val="{43044095-CF33-404C-B6EB-74204142B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556A3"/>
    <w:pPr>
      <w:spacing w:after="240"/>
      <w:ind w:left="567" w:hanging="567"/>
    </w:pPr>
  </w:style>
  <w:style w:type="paragraph" w:customStyle="1" w:styleId="EPComma">
    <w:name w:val="EPComma"/>
    <w:basedOn w:val="Normal"/>
    <w:rsid w:val="005556A3"/>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62F62-25A1-49C8-B0D1-018FAE04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749</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2024-02-05T14:35:00Z</dcterms:created>
  <dcterms:modified xsi:type="dcterms:W3CDTF">2024-02-06T08:35:00Z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A9-0029/2024</vt:lpwstr>
  </property>
  <property fmtid="{D5CDD505-2E9C-101B-9397-08002B2CF9AE}" pid="4" name="&lt;Type&gt;">
    <vt:lpwstr>RR</vt:lpwstr>
  </property>
</Properties>
</file>