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5EF8" w14:paraId="51190FA5" w14:textId="77777777" w:rsidTr="0010095E">
        <w:trPr>
          <w:trHeight w:hRule="exact" w:val="1418"/>
        </w:trPr>
        <w:tc>
          <w:tcPr>
            <w:tcW w:w="6804" w:type="dxa"/>
            <w:shd w:val="clear" w:color="auto" w:fill="auto"/>
            <w:vAlign w:val="center"/>
          </w:tcPr>
          <w:p w14:paraId="66603934" w14:textId="77777777" w:rsidR="00751A4A" w:rsidRPr="00DB5EF8" w:rsidRDefault="00524BFB" w:rsidP="0010095E">
            <w:pPr>
              <w:pStyle w:val="EPName"/>
            </w:pPr>
            <w:r w:rsidRPr="00DB5EF8">
              <w:t>Europa-Parlamentet</w:t>
            </w:r>
          </w:p>
          <w:p w14:paraId="147F6A38" w14:textId="77777777" w:rsidR="00751A4A" w:rsidRPr="00DB5EF8" w:rsidRDefault="00817416" w:rsidP="00756632">
            <w:pPr>
              <w:pStyle w:val="EPTerm"/>
              <w:rPr>
                <w:rStyle w:val="HideTWBExt"/>
                <w:noProof w:val="0"/>
                <w:vanish w:val="0"/>
                <w:color w:val="auto"/>
              </w:rPr>
            </w:pPr>
            <w:r w:rsidRPr="00DB5EF8">
              <w:t>2019-2024</w:t>
            </w:r>
          </w:p>
        </w:tc>
        <w:tc>
          <w:tcPr>
            <w:tcW w:w="2268" w:type="dxa"/>
            <w:shd w:val="clear" w:color="auto" w:fill="auto"/>
          </w:tcPr>
          <w:p w14:paraId="771A9027" w14:textId="77777777" w:rsidR="00751A4A" w:rsidRPr="00DB5EF8" w:rsidRDefault="00187494" w:rsidP="0010095E">
            <w:pPr>
              <w:pStyle w:val="EPLogo"/>
            </w:pPr>
            <w:r w:rsidRPr="00DB5EF8">
              <w:rPr>
                <w:noProof/>
                <w:lang w:val="en-GB"/>
              </w:rPr>
              <w:drawing>
                <wp:inline distT="0" distB="0" distL="0" distR="0" wp14:anchorId="7C521D84" wp14:editId="75435A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7A00F0" w14:textId="77777777" w:rsidR="00D058B8" w:rsidRPr="00DB5EF8" w:rsidRDefault="00D058B8" w:rsidP="004C5D52">
      <w:pPr>
        <w:pStyle w:val="LineTop"/>
      </w:pPr>
    </w:p>
    <w:p w14:paraId="6882C26A" w14:textId="77777777" w:rsidR="00680577" w:rsidRPr="00DB5EF8" w:rsidRDefault="00524BFB" w:rsidP="00680577">
      <w:pPr>
        <w:pStyle w:val="EPBodyTA1"/>
      </w:pPr>
      <w:r w:rsidRPr="00DB5EF8">
        <w:t>VEDTAGNE TEKSTER</w:t>
      </w:r>
    </w:p>
    <w:p w14:paraId="7B69446E" w14:textId="77777777" w:rsidR="00D058B8" w:rsidRPr="00DB5EF8" w:rsidRDefault="00D058B8" w:rsidP="00D058B8">
      <w:pPr>
        <w:pStyle w:val="LineBottom"/>
      </w:pPr>
    </w:p>
    <w:p w14:paraId="10732DB2" w14:textId="3B93F3D4" w:rsidR="00524BFB" w:rsidRPr="00DB5EF8" w:rsidRDefault="00524BFB" w:rsidP="00524BFB">
      <w:pPr>
        <w:pStyle w:val="ATHeading1"/>
      </w:pPr>
      <w:bookmarkStart w:id="0" w:name="TANumber"/>
      <w:r w:rsidRPr="00DB5EF8">
        <w:t>P9_</w:t>
      </w:r>
      <w:proofErr w:type="gramStart"/>
      <w:r w:rsidRPr="00DB5EF8">
        <w:t>TA(</w:t>
      </w:r>
      <w:proofErr w:type="gramEnd"/>
      <w:r w:rsidRPr="00DB5EF8">
        <w:t>2024)00</w:t>
      </w:r>
      <w:bookmarkEnd w:id="0"/>
      <w:r w:rsidR="00B50A7B">
        <w:t>57</w:t>
      </w:r>
    </w:p>
    <w:p w14:paraId="2DACB159" w14:textId="77777777" w:rsidR="00524BFB" w:rsidRPr="00DB5EF8" w:rsidRDefault="00725CDD" w:rsidP="00524BFB">
      <w:pPr>
        <w:pStyle w:val="ATHeading2"/>
      </w:pPr>
      <w:r w:rsidRPr="00725CDD">
        <w:t>Den EU-dækkende virkning af visse frakendelser af førerretten</w:t>
      </w:r>
    </w:p>
    <w:p w14:paraId="551C7933" w14:textId="77777777" w:rsidR="00524BFB" w:rsidRPr="00DB5EF8" w:rsidRDefault="00524BFB" w:rsidP="00524BFB">
      <w:pPr>
        <w:rPr>
          <w:i/>
          <w:vanish/>
        </w:rPr>
      </w:pPr>
      <w:r w:rsidRPr="00DB5EF8">
        <w:rPr>
          <w:i/>
        </w:rPr>
        <w:fldChar w:fldCharType="begin"/>
      </w:r>
      <w:r w:rsidRPr="00DB5EF8">
        <w:rPr>
          <w:i/>
        </w:rPr>
        <w:instrText xml:space="preserve"> TC"(</w:instrText>
      </w:r>
      <w:bookmarkStart w:id="1" w:name="DocNumber"/>
      <w:r w:rsidRPr="00DB5EF8">
        <w:rPr>
          <w:i/>
        </w:rPr>
        <w:instrText>A9-0410/2023</w:instrText>
      </w:r>
      <w:bookmarkEnd w:id="1"/>
      <w:r w:rsidRPr="00DB5EF8">
        <w:rPr>
          <w:i/>
        </w:rPr>
        <w:instrText xml:space="preserve"> - Ordfører: Petar </w:instrText>
      </w:r>
      <w:proofErr w:type="spellStart"/>
      <w:r w:rsidRPr="00DB5EF8">
        <w:rPr>
          <w:i/>
        </w:rPr>
        <w:instrText>Vitanov</w:instrText>
      </w:r>
      <w:proofErr w:type="spellEnd"/>
      <w:r w:rsidRPr="00DB5EF8">
        <w:rPr>
          <w:i/>
        </w:rPr>
        <w:instrText>)"\</w:instrText>
      </w:r>
      <w:proofErr w:type="spellStart"/>
      <w:r w:rsidRPr="00DB5EF8">
        <w:rPr>
          <w:i/>
        </w:rPr>
        <w:instrText>l3</w:instrText>
      </w:r>
      <w:proofErr w:type="spellEnd"/>
      <w:r w:rsidRPr="00DB5EF8">
        <w:rPr>
          <w:i/>
        </w:rPr>
        <w:instrText xml:space="preserve"> \n&gt; \* MERGEFORMAT </w:instrText>
      </w:r>
      <w:r w:rsidRPr="00DB5EF8">
        <w:rPr>
          <w:i/>
        </w:rPr>
        <w:fldChar w:fldCharType="end"/>
      </w:r>
    </w:p>
    <w:p w14:paraId="40627983" w14:textId="77777777" w:rsidR="00524BFB" w:rsidRPr="00DB5EF8" w:rsidRDefault="00524BFB" w:rsidP="00524BFB">
      <w:pPr>
        <w:rPr>
          <w:vanish/>
        </w:rPr>
      </w:pPr>
      <w:bookmarkStart w:id="2" w:name="Commission"/>
      <w:r w:rsidRPr="00DB5EF8">
        <w:rPr>
          <w:vanish/>
        </w:rPr>
        <w:t>Transport- og Turismeudvalget</w:t>
      </w:r>
      <w:bookmarkEnd w:id="2"/>
    </w:p>
    <w:p w14:paraId="1CDC6438" w14:textId="77777777" w:rsidR="00524BFB" w:rsidRPr="00DB5EF8" w:rsidRDefault="00524BFB" w:rsidP="00524BFB">
      <w:pPr>
        <w:rPr>
          <w:vanish/>
        </w:rPr>
      </w:pPr>
      <w:bookmarkStart w:id="3" w:name="PE"/>
      <w:r w:rsidRPr="00DB5EF8">
        <w:rPr>
          <w:vanish/>
        </w:rPr>
        <w:t>PE751.805</w:t>
      </w:r>
      <w:bookmarkEnd w:id="3"/>
    </w:p>
    <w:p w14:paraId="4DFD72B6" w14:textId="3A6246F8" w:rsidR="00524BFB" w:rsidRPr="00DB5EF8" w:rsidRDefault="00524BFB" w:rsidP="00524BFB">
      <w:pPr>
        <w:pStyle w:val="ATHeading3"/>
      </w:pPr>
      <w:bookmarkStart w:id="4" w:name="Sujet"/>
      <w:r w:rsidRPr="00DB5EF8">
        <w:t xml:space="preserve">Europa-Parlamentets lovgivningsmæssige beslutning af </w:t>
      </w:r>
      <w:r w:rsidR="00010B8D">
        <w:t>6</w:t>
      </w:r>
      <w:r w:rsidRPr="00DB5EF8">
        <w:t>.</w:t>
      </w:r>
      <w:r w:rsidR="00725CDD">
        <w:t xml:space="preserve"> februar</w:t>
      </w:r>
      <w:r w:rsidRPr="00DB5EF8">
        <w:t xml:space="preserve"> 2024 om forslag til Europa-Parlamentets og Rådets direktiv om den EU-dækkende virkning af visse frakendelser af førerretten</w:t>
      </w:r>
      <w:bookmarkEnd w:id="4"/>
      <w:r w:rsidRPr="00DB5EF8">
        <w:t xml:space="preserve"> </w:t>
      </w:r>
      <w:bookmarkStart w:id="5" w:name="References"/>
      <w:r w:rsidRPr="00DB5EF8">
        <w:t>(</w:t>
      </w:r>
      <w:proofErr w:type="gramStart"/>
      <w:r w:rsidRPr="00DB5EF8">
        <w:t>COM(</w:t>
      </w:r>
      <w:proofErr w:type="gramEnd"/>
      <w:r w:rsidRPr="00DB5EF8">
        <w:t>2023)0128 – C9-0036/2023 – 2023/0055(COD))</w:t>
      </w:r>
      <w:bookmarkEnd w:id="5"/>
    </w:p>
    <w:p w14:paraId="0F269D11" w14:textId="77777777" w:rsidR="00524BFB" w:rsidRPr="00DB5EF8" w:rsidRDefault="00524BFB" w:rsidP="00524BFB"/>
    <w:p w14:paraId="57644CB2" w14:textId="77777777" w:rsidR="00701DBC" w:rsidRPr="00DB5EF8" w:rsidRDefault="00701DBC" w:rsidP="00701DBC">
      <w:pPr>
        <w:pStyle w:val="NormalBold12a"/>
        <w:rPr>
          <w:lang w:val="da-DK"/>
        </w:rPr>
      </w:pPr>
      <w:bookmarkStart w:id="6" w:name="TextBodyBegin"/>
      <w:bookmarkEnd w:id="6"/>
      <w:r w:rsidRPr="00DB5EF8">
        <w:rPr>
          <w:lang w:val="da-DK"/>
        </w:rPr>
        <w:t>(Almindelig lovgivningsprocedure: førstebehandling)</w:t>
      </w:r>
    </w:p>
    <w:p w14:paraId="3DDF395B" w14:textId="77777777" w:rsidR="00701DBC" w:rsidRPr="00DB5EF8" w:rsidRDefault="00701DBC" w:rsidP="00701DBC">
      <w:pPr>
        <w:pStyle w:val="EPComma"/>
        <w:rPr>
          <w:lang w:val="da-DK"/>
        </w:rPr>
      </w:pPr>
      <w:r w:rsidRPr="00DB5EF8">
        <w:rPr>
          <w:rStyle w:val="Italic"/>
          <w:lang w:val="da-DK"/>
        </w:rPr>
        <w:t>Europa-Parlamentet</w:t>
      </w:r>
      <w:r w:rsidRPr="00DB5EF8">
        <w:rPr>
          <w:lang w:val="da-DK"/>
        </w:rPr>
        <w:t>,</w:t>
      </w:r>
    </w:p>
    <w:p w14:paraId="37A83917" w14:textId="77777777" w:rsidR="00701DBC" w:rsidRPr="00DB5EF8" w:rsidRDefault="00701DBC" w:rsidP="00701DBC">
      <w:pPr>
        <w:pStyle w:val="NormalHanging12a"/>
        <w:rPr>
          <w:lang w:val="da-DK"/>
        </w:rPr>
      </w:pPr>
      <w:r w:rsidRPr="00DB5EF8">
        <w:rPr>
          <w:lang w:val="da-DK"/>
        </w:rPr>
        <w:t>–</w:t>
      </w:r>
      <w:r w:rsidRPr="00DB5EF8">
        <w:rPr>
          <w:lang w:val="da-DK"/>
        </w:rPr>
        <w:tab/>
        <w:t>der henviser til Kommissionens forslag til Europa-Parlamentet og Rådet (</w:t>
      </w:r>
      <w:proofErr w:type="gramStart"/>
      <w:r w:rsidRPr="00DB5EF8">
        <w:rPr>
          <w:lang w:val="da-DK"/>
        </w:rPr>
        <w:t>COM(</w:t>
      </w:r>
      <w:proofErr w:type="gramEnd"/>
      <w:r w:rsidRPr="00DB5EF8">
        <w:rPr>
          <w:lang w:val="da-DK"/>
        </w:rPr>
        <w:t>2023)0128),</w:t>
      </w:r>
    </w:p>
    <w:p w14:paraId="4BA309D0" w14:textId="0D44A0B0" w:rsidR="00701DBC" w:rsidRPr="00DB5EF8" w:rsidRDefault="00701DBC" w:rsidP="00701DBC">
      <w:pPr>
        <w:pStyle w:val="NormalHanging12a"/>
        <w:rPr>
          <w:lang w:val="da-DK"/>
        </w:rPr>
      </w:pPr>
      <w:r w:rsidRPr="00DB5EF8">
        <w:rPr>
          <w:lang w:val="da-DK"/>
        </w:rPr>
        <w:t>–</w:t>
      </w:r>
      <w:r w:rsidRPr="00DB5EF8">
        <w:rPr>
          <w:lang w:val="da-DK"/>
        </w:rPr>
        <w:tab/>
        <w:t xml:space="preserve">der henviser til artikel 294, stk. 2, og artikel 91, stk. 1, </w:t>
      </w:r>
      <w:r w:rsidR="00CD5DE9">
        <w:rPr>
          <w:lang w:val="da-DK"/>
        </w:rPr>
        <w:t xml:space="preserve">litra c), </w:t>
      </w:r>
      <w:r w:rsidRPr="00DB5EF8">
        <w:rPr>
          <w:lang w:val="da-DK"/>
        </w:rPr>
        <w:t>i traktaten om Den Europæiske Unions funktionsmåde, på grundlag af hvilke Kommissionen har forelagt forslaget for Parlamentet (C9-0036/2023),</w:t>
      </w:r>
    </w:p>
    <w:p w14:paraId="48BC3DF7" w14:textId="77777777" w:rsidR="00701DBC" w:rsidRPr="00DB5EF8" w:rsidRDefault="00701DBC" w:rsidP="00701DBC">
      <w:pPr>
        <w:pStyle w:val="NormalHanging12a"/>
        <w:rPr>
          <w:lang w:val="da-DK"/>
        </w:rPr>
      </w:pPr>
      <w:r w:rsidRPr="00DB5EF8">
        <w:rPr>
          <w:lang w:val="da-DK"/>
        </w:rPr>
        <w:t>–</w:t>
      </w:r>
      <w:r w:rsidRPr="00DB5EF8">
        <w:rPr>
          <w:lang w:val="da-DK"/>
        </w:rPr>
        <w:tab/>
        <w:t>der henviser til artikel 294, stk. 3, i traktaten om Den Europæiske Unions funktionsmåde,</w:t>
      </w:r>
    </w:p>
    <w:p w14:paraId="78A1F88E" w14:textId="77777777" w:rsidR="00701DBC" w:rsidRPr="00DB5EF8" w:rsidRDefault="00701DBC" w:rsidP="00701DBC">
      <w:pPr>
        <w:pStyle w:val="NormalHanging12a"/>
        <w:rPr>
          <w:lang w:val="da-DK"/>
        </w:rPr>
      </w:pPr>
      <w:r w:rsidRPr="00DB5EF8">
        <w:rPr>
          <w:lang w:val="da-DK"/>
        </w:rPr>
        <w:t>–</w:t>
      </w:r>
      <w:r w:rsidRPr="00DB5EF8">
        <w:rPr>
          <w:lang w:val="da-DK"/>
        </w:rPr>
        <w:tab/>
        <w:t>der henviser til udtalelse af 14. juni 2023 fra Det Europæiske Økonomiske og Sociale Udvalg</w:t>
      </w:r>
      <w:r w:rsidRPr="00DB5EF8">
        <w:rPr>
          <w:rStyle w:val="FootnoteReference"/>
          <w:lang w:val="da-DK"/>
        </w:rPr>
        <w:footnoteReference w:id="1"/>
      </w:r>
      <w:r w:rsidRPr="00DB5EF8">
        <w:rPr>
          <w:lang w:val="da-DK"/>
        </w:rPr>
        <w:t>,</w:t>
      </w:r>
    </w:p>
    <w:p w14:paraId="78C958E4" w14:textId="77777777" w:rsidR="00701DBC" w:rsidRPr="00DB5EF8" w:rsidRDefault="00701DBC" w:rsidP="00701DBC">
      <w:pPr>
        <w:pStyle w:val="NormalHanging12a"/>
        <w:rPr>
          <w:lang w:val="da-DK"/>
        </w:rPr>
      </w:pPr>
      <w:r w:rsidRPr="00DB5EF8">
        <w:rPr>
          <w:lang w:val="da-DK"/>
        </w:rPr>
        <w:t>–</w:t>
      </w:r>
      <w:r w:rsidRPr="00DB5EF8">
        <w:rPr>
          <w:lang w:val="da-DK"/>
        </w:rPr>
        <w:tab/>
        <w:t>der henviser til høring af Regionsudvalget,</w:t>
      </w:r>
    </w:p>
    <w:p w14:paraId="5F642607" w14:textId="77777777" w:rsidR="00701DBC" w:rsidRPr="00DB5EF8" w:rsidRDefault="00701DBC" w:rsidP="00701DBC">
      <w:pPr>
        <w:pStyle w:val="NormalHanging12a"/>
        <w:rPr>
          <w:lang w:val="da-DK"/>
        </w:rPr>
      </w:pPr>
      <w:r w:rsidRPr="00DB5EF8">
        <w:rPr>
          <w:lang w:val="da-DK"/>
        </w:rPr>
        <w:t>–</w:t>
      </w:r>
      <w:r w:rsidRPr="00DB5EF8">
        <w:rPr>
          <w:lang w:val="da-DK"/>
        </w:rPr>
        <w:tab/>
        <w:t>der henviser til forretningsordenens artikel 59,</w:t>
      </w:r>
    </w:p>
    <w:p w14:paraId="2013B67B" w14:textId="77777777" w:rsidR="00701DBC" w:rsidRPr="00DB5EF8" w:rsidRDefault="00701DBC" w:rsidP="00701DBC">
      <w:pPr>
        <w:pStyle w:val="NormalHanging12a"/>
        <w:rPr>
          <w:lang w:val="da-DK"/>
        </w:rPr>
      </w:pPr>
      <w:r w:rsidRPr="00DB5EF8">
        <w:rPr>
          <w:lang w:val="da-DK"/>
        </w:rPr>
        <w:t>–</w:t>
      </w:r>
      <w:r w:rsidRPr="00DB5EF8">
        <w:rPr>
          <w:lang w:val="da-DK"/>
        </w:rPr>
        <w:tab/>
        <w:t>der henviser til betænkning fra Transport- og Turismeudvalget (A9-0410/2023),</w:t>
      </w:r>
    </w:p>
    <w:p w14:paraId="2F4C61A7" w14:textId="77777777" w:rsidR="00701DBC" w:rsidRPr="00DB5EF8" w:rsidRDefault="00701DBC" w:rsidP="00701DBC">
      <w:pPr>
        <w:pStyle w:val="NormalHanging12a"/>
        <w:rPr>
          <w:lang w:val="da-DK"/>
        </w:rPr>
      </w:pPr>
      <w:r w:rsidRPr="00DB5EF8">
        <w:rPr>
          <w:lang w:val="da-DK"/>
        </w:rPr>
        <w:t>1.</w:t>
      </w:r>
      <w:r w:rsidRPr="00DB5EF8">
        <w:rPr>
          <w:lang w:val="da-DK"/>
        </w:rPr>
        <w:tab/>
        <w:t>vedtager nedenstående holdning ved førstebehandling;</w:t>
      </w:r>
    </w:p>
    <w:p w14:paraId="204B1CC3" w14:textId="77777777" w:rsidR="00701DBC" w:rsidRPr="00DB5EF8" w:rsidRDefault="00701DBC" w:rsidP="00701DBC">
      <w:pPr>
        <w:pStyle w:val="NormalHanging12a"/>
        <w:rPr>
          <w:lang w:val="da-DK"/>
        </w:rPr>
      </w:pPr>
      <w:r w:rsidRPr="00DB5EF8">
        <w:rPr>
          <w:lang w:val="da-DK"/>
        </w:rPr>
        <w:t>2.</w:t>
      </w:r>
      <w:r w:rsidRPr="00DB5EF8">
        <w:rPr>
          <w:lang w:val="da-DK"/>
        </w:rPr>
        <w:tab/>
        <w:t>anmoder om fornyet forelæggelse, hvis Kommissionen erstatter, i væsentlig grad ændrer eller agter i væsentlig grad at ændre sit forslag;</w:t>
      </w:r>
    </w:p>
    <w:p w14:paraId="7C9B1730" w14:textId="4F285A93" w:rsidR="00701DBC" w:rsidRDefault="00701DBC" w:rsidP="00701DBC">
      <w:pPr>
        <w:pStyle w:val="NormalHanging12a"/>
        <w:rPr>
          <w:lang w:val="da-DK"/>
        </w:rPr>
      </w:pPr>
      <w:r w:rsidRPr="00DB5EF8">
        <w:rPr>
          <w:lang w:val="da-DK"/>
        </w:rPr>
        <w:lastRenderedPageBreak/>
        <w:t>3.</w:t>
      </w:r>
      <w:r w:rsidRPr="00DB5EF8">
        <w:rPr>
          <w:lang w:val="da-DK"/>
        </w:rPr>
        <w:tab/>
        <w:t>pålægger sin formand at sende Parlamentets holdning til Rådet og Kommissionen samt til de nationale parlamenter.</w:t>
      </w:r>
    </w:p>
    <w:p w14:paraId="59A93ED9" w14:textId="77777777" w:rsidR="002E7AF0" w:rsidRDefault="002E7AF0">
      <w:pPr>
        <w:widowControl/>
        <w:sectPr w:rsidR="002E7AF0" w:rsidSect="00DB5EF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743170" w14:textId="278DA504" w:rsidR="002E7AF0" w:rsidRPr="00EF7590" w:rsidRDefault="002E7AF0" w:rsidP="00690D38">
      <w:pPr>
        <w:pStyle w:val="ATHeading3"/>
      </w:pPr>
      <w:r w:rsidRPr="00EF7590">
        <w:lastRenderedPageBreak/>
        <w:t>P9_TC1-</w:t>
      </w:r>
      <w:proofErr w:type="gramStart"/>
      <w:r w:rsidRPr="00EF7590">
        <w:t>COD(</w:t>
      </w:r>
      <w:proofErr w:type="gramEnd"/>
      <w:r w:rsidRPr="00EF7590">
        <w:t>202</w:t>
      </w:r>
      <w:r w:rsidR="00314FC8">
        <w:t>3</w:t>
      </w:r>
      <w:r>
        <w:t>)0</w:t>
      </w:r>
      <w:r w:rsidR="00314FC8">
        <w:t>055</w:t>
      </w:r>
    </w:p>
    <w:p w14:paraId="7399585F" w14:textId="070AA0B2" w:rsidR="002E7AF0" w:rsidRPr="00EF7590" w:rsidRDefault="002E7AF0" w:rsidP="00690D38">
      <w:pPr>
        <w:pStyle w:val="Typedudocument"/>
        <w:spacing w:before="240" w:after="240"/>
        <w:jc w:val="left"/>
        <w:rPr>
          <w:noProof/>
        </w:rPr>
      </w:pPr>
      <w:r w:rsidRPr="00EF7590">
        <w:t xml:space="preserve">Europa-Parlamentets holdning fastlagt ved førstebehandlingen den </w:t>
      </w:r>
      <w:r w:rsidR="00314FC8">
        <w:t>6. februar</w:t>
      </w:r>
      <w:r w:rsidRPr="00EF7590">
        <w:t xml:space="preserve"> 202</w:t>
      </w:r>
      <w:r w:rsidR="00314FC8">
        <w:t>4</w:t>
      </w:r>
      <w:r w:rsidRPr="00EF7590">
        <w:t xml:space="preserve"> med henblik på vedtagelse af Europa-Parlamentets og Rådets </w:t>
      </w:r>
      <w:r w:rsidRPr="00EF7590">
        <w:rPr>
          <w:rFonts w:eastAsia="Calibri"/>
        </w:rPr>
        <w:t>direktiv</w:t>
      </w:r>
      <w:r w:rsidRPr="00EF7590">
        <w:t xml:space="preserve"> (EU) </w:t>
      </w:r>
      <w:r w:rsidRPr="00EF7590">
        <w:rPr>
          <w:rFonts w:eastAsia="Calibri"/>
        </w:rPr>
        <w:t>2024/... om</w:t>
      </w:r>
      <w:r w:rsidR="00314FC8" w:rsidRPr="002E7AF0">
        <w:rPr>
          <w:szCs w:val="24"/>
        </w:rPr>
        <w:t xml:space="preserve"> den EU-dækkende virkning af visse frakendelser af førerretten</w:t>
      </w:r>
    </w:p>
    <w:p w14:paraId="600C796F" w14:textId="77777777" w:rsidR="002E7AF0" w:rsidRPr="002E7AF0" w:rsidRDefault="002E7AF0" w:rsidP="002E7AF0">
      <w:pPr>
        <w:widowControl/>
        <w:spacing w:before="360" w:after="240" w:line="360" w:lineRule="auto"/>
        <w:jc w:val="center"/>
        <w:rPr>
          <w:szCs w:val="24"/>
          <w:lang w:eastAsia="en-US"/>
        </w:rPr>
      </w:pPr>
      <w:r w:rsidRPr="002E7AF0">
        <w:rPr>
          <w:szCs w:val="24"/>
          <w:lang w:eastAsia="en-US"/>
        </w:rPr>
        <w:t>(EØS-relevant tekst)</w:t>
      </w:r>
    </w:p>
    <w:p w14:paraId="599B8970" w14:textId="77777777" w:rsidR="002E7AF0" w:rsidRPr="002E7AF0" w:rsidRDefault="002E7AF0" w:rsidP="002E7AF0">
      <w:pPr>
        <w:keepNext/>
        <w:spacing w:before="600" w:after="120" w:line="360" w:lineRule="auto"/>
        <w:rPr>
          <w:szCs w:val="24"/>
          <w:lang w:eastAsia="en-US"/>
        </w:rPr>
      </w:pPr>
      <w:r w:rsidRPr="002E7AF0">
        <w:rPr>
          <w:szCs w:val="24"/>
          <w:lang w:eastAsia="en-US"/>
        </w:rPr>
        <w:t>EUROPA-PARLAMENTET OG RÅDET FOR DEN EUROPÆISKE UNION HAR —</w:t>
      </w:r>
    </w:p>
    <w:p w14:paraId="3EF48007" w14:textId="77777777" w:rsidR="002E7AF0" w:rsidRPr="002E7AF0" w:rsidRDefault="002E7AF0" w:rsidP="002E7AF0">
      <w:pPr>
        <w:spacing w:before="120" w:after="120" w:line="360" w:lineRule="auto"/>
        <w:rPr>
          <w:lang w:eastAsia="en-US"/>
        </w:rPr>
      </w:pPr>
      <w:r w:rsidRPr="002E7AF0">
        <w:rPr>
          <w:lang w:eastAsia="en-US"/>
        </w:rPr>
        <w:t>under henvisning til traktaten om Den Europæiske Unions funktionsmåde, særlig artikel 91, stk. 1, litra c),</w:t>
      </w:r>
    </w:p>
    <w:p w14:paraId="44E06D6D" w14:textId="77777777" w:rsidR="002E7AF0" w:rsidRPr="002E7AF0" w:rsidRDefault="002E7AF0" w:rsidP="002E7AF0">
      <w:pPr>
        <w:spacing w:before="120" w:after="120" w:line="360" w:lineRule="auto"/>
        <w:rPr>
          <w:lang w:eastAsia="en-US"/>
        </w:rPr>
      </w:pPr>
      <w:r w:rsidRPr="002E7AF0">
        <w:rPr>
          <w:lang w:eastAsia="en-US"/>
        </w:rPr>
        <w:t>under henvisning til forslag fra Europa-Kommissionen,</w:t>
      </w:r>
    </w:p>
    <w:p w14:paraId="70D2C31D" w14:textId="77777777" w:rsidR="002E7AF0" w:rsidRPr="002E7AF0" w:rsidRDefault="002E7AF0" w:rsidP="002E7AF0">
      <w:pPr>
        <w:spacing w:before="120" w:after="120" w:line="360" w:lineRule="auto"/>
        <w:rPr>
          <w:lang w:eastAsia="en-US"/>
        </w:rPr>
      </w:pPr>
      <w:r w:rsidRPr="002E7AF0">
        <w:rPr>
          <w:lang w:eastAsia="en-US"/>
        </w:rPr>
        <w:t>efter fremsendelse af udkast til lovgivningsmæssig retsakt til de nationale parlamenter,</w:t>
      </w:r>
    </w:p>
    <w:p w14:paraId="60942B8A" w14:textId="77777777" w:rsidR="002E7AF0" w:rsidRPr="002E7AF0" w:rsidRDefault="002E7AF0" w:rsidP="002E7AF0">
      <w:pPr>
        <w:spacing w:before="120" w:after="120" w:line="360" w:lineRule="auto"/>
        <w:rPr>
          <w:lang w:eastAsia="en-US"/>
        </w:rPr>
      </w:pPr>
      <w:r w:rsidRPr="002E7AF0">
        <w:rPr>
          <w:lang w:eastAsia="en-US"/>
        </w:rPr>
        <w:t>under henvisning til udtalelse fra Det Europæiske Økonomiske og Sociale Udvalg</w:t>
      </w:r>
      <w:r w:rsidRPr="002E7AF0">
        <w:rPr>
          <w:vertAlign w:val="superscript"/>
          <w:lang w:val="en-GB" w:eastAsia="en-US"/>
        </w:rPr>
        <w:footnoteReference w:id="2"/>
      </w:r>
      <w:r w:rsidRPr="002E7AF0">
        <w:rPr>
          <w:lang w:eastAsia="en-US"/>
        </w:rPr>
        <w:t>,</w:t>
      </w:r>
    </w:p>
    <w:p w14:paraId="2F573EA7" w14:textId="2291AF31" w:rsidR="002E7AF0" w:rsidRPr="002E7AF0" w:rsidRDefault="00B50577" w:rsidP="002E7AF0">
      <w:pPr>
        <w:spacing w:before="120" w:after="120" w:line="360" w:lineRule="auto"/>
        <w:rPr>
          <w:lang w:eastAsia="en-US"/>
        </w:rPr>
      </w:pPr>
      <w:r>
        <w:rPr>
          <w:lang w:eastAsia="en-US"/>
        </w:rPr>
        <w:t>efter høring af</w:t>
      </w:r>
      <w:r w:rsidR="002E7AF0" w:rsidRPr="002E7AF0">
        <w:rPr>
          <w:lang w:eastAsia="en-US"/>
        </w:rPr>
        <w:t xml:space="preserve"> Regionsudvalget,</w:t>
      </w:r>
    </w:p>
    <w:p w14:paraId="410B4743" w14:textId="77777777" w:rsidR="002E7AF0" w:rsidRPr="002E7AF0" w:rsidRDefault="002E7AF0" w:rsidP="002E7AF0">
      <w:pPr>
        <w:spacing w:before="120" w:after="120" w:line="360" w:lineRule="auto"/>
        <w:rPr>
          <w:lang w:eastAsia="en-US"/>
        </w:rPr>
      </w:pPr>
      <w:r w:rsidRPr="002E7AF0">
        <w:rPr>
          <w:lang w:eastAsia="en-US"/>
        </w:rPr>
        <w:t>efter den almindelige lovgivningsprocedure, og</w:t>
      </w:r>
    </w:p>
    <w:p w14:paraId="10BFDE8C" w14:textId="77777777" w:rsidR="005813C0" w:rsidRDefault="005813C0">
      <w:pPr>
        <w:widowControl/>
        <w:rPr>
          <w:lang w:eastAsia="en-US"/>
        </w:rPr>
      </w:pPr>
      <w:r>
        <w:rPr>
          <w:lang w:eastAsia="en-US"/>
        </w:rPr>
        <w:br w:type="page"/>
      </w:r>
    </w:p>
    <w:p w14:paraId="68B9B0D3" w14:textId="56157895" w:rsidR="002E7AF0" w:rsidRPr="002E7AF0" w:rsidRDefault="002E7AF0" w:rsidP="002E7AF0">
      <w:pPr>
        <w:spacing w:before="120" w:after="120" w:line="360" w:lineRule="auto"/>
        <w:rPr>
          <w:lang w:eastAsia="en-US"/>
        </w:rPr>
      </w:pPr>
      <w:r w:rsidRPr="002E7AF0">
        <w:rPr>
          <w:lang w:eastAsia="en-US"/>
        </w:rPr>
        <w:lastRenderedPageBreak/>
        <w:t>ud fra følgende betragtninger:</w:t>
      </w:r>
    </w:p>
    <w:p w14:paraId="36C1868A" w14:textId="30BEC2A3"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1)</w:t>
      </w:r>
      <w:r w:rsidR="002E7AF0" w:rsidRPr="002E7AF0">
        <w:rPr>
          <w:szCs w:val="24"/>
          <w:lang w:eastAsia="en-US"/>
        </w:rPr>
        <w:tab/>
        <w:t xml:space="preserve">Forbedring af trafiksikkerheden er et af de vigtigste mål i </w:t>
      </w:r>
      <w:r w:rsidR="00C65561">
        <w:rPr>
          <w:szCs w:val="24"/>
          <w:lang w:eastAsia="en-US"/>
        </w:rPr>
        <w:t>Unionens</w:t>
      </w:r>
      <w:r w:rsidR="002E7AF0" w:rsidRPr="002E7AF0">
        <w:rPr>
          <w:szCs w:val="24"/>
          <w:lang w:eastAsia="en-US"/>
        </w:rPr>
        <w:t xml:space="preserve"> transportpolitik. I </w:t>
      </w:r>
      <w:r w:rsidR="00C65561">
        <w:rPr>
          <w:szCs w:val="24"/>
          <w:lang w:eastAsia="en-US"/>
        </w:rPr>
        <w:t>Unionens</w:t>
      </w:r>
      <w:r w:rsidR="002E7AF0" w:rsidRPr="002E7AF0">
        <w:rPr>
          <w:szCs w:val="24"/>
          <w:lang w:eastAsia="en-US"/>
        </w:rPr>
        <w:t xml:space="preserve"> politikramme for trafiksikkerhed 2021-2030</w:t>
      </w:r>
      <w:r w:rsidR="002E7AF0" w:rsidRPr="002E7AF0">
        <w:rPr>
          <w:szCs w:val="24"/>
          <w:vertAlign w:val="superscript"/>
          <w:lang w:val="en-GB" w:eastAsia="en-US"/>
        </w:rPr>
        <w:footnoteReference w:id="3"/>
      </w:r>
      <w:r w:rsidR="002E7AF0" w:rsidRPr="002E7AF0">
        <w:rPr>
          <w:szCs w:val="24"/>
          <w:lang w:eastAsia="en-US"/>
        </w:rPr>
        <w:t xml:space="preserve"> gentog Kommissionen sit ambitiøse mål om at nå ned på nul trafikdræbte og ingen alvorlige kvæstelser på vejene i EU inden 2050 ("Vision Zero") og til på mellemlangt sigt at reducere antallet af dødsfald og alvorlige kvæstelser med 50 % inden 2030.</w:t>
      </w:r>
    </w:p>
    <w:p w14:paraId="39532796" w14:textId="213DA8A1"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2)</w:t>
      </w:r>
      <w:r w:rsidR="002E7AF0" w:rsidRPr="002E7AF0">
        <w:rPr>
          <w:szCs w:val="24"/>
          <w:lang w:eastAsia="en-US"/>
        </w:rPr>
        <w:tab/>
        <w:t xml:space="preserve">For at nå målet om at forbedre trafiksikkerheden opfordrede medlemsstaternes transportministre i </w:t>
      </w:r>
      <w:proofErr w:type="spellStart"/>
      <w:r w:rsidR="002E7AF0" w:rsidRPr="002E7AF0">
        <w:rPr>
          <w:szCs w:val="24"/>
          <w:lang w:eastAsia="en-US"/>
        </w:rPr>
        <w:t>Valettaerklæringen</w:t>
      </w:r>
      <w:proofErr w:type="spellEnd"/>
      <w:r w:rsidR="002E7AF0" w:rsidRPr="002E7AF0">
        <w:rPr>
          <w:szCs w:val="24"/>
          <w:lang w:eastAsia="en-US"/>
        </w:rPr>
        <w:t xml:space="preserve"> om trafiksikkerhed fra 2017 af 29. marts 2017 til en styrkelse af </w:t>
      </w:r>
      <w:r w:rsidR="00C65561">
        <w:rPr>
          <w:szCs w:val="24"/>
          <w:lang w:eastAsia="en-US"/>
        </w:rPr>
        <w:t>Unionens</w:t>
      </w:r>
      <w:r w:rsidR="002E7AF0" w:rsidRPr="002E7AF0">
        <w:rPr>
          <w:szCs w:val="24"/>
          <w:lang w:eastAsia="en-US"/>
        </w:rPr>
        <w:t xml:space="preserve"> retlige rammer for trafiksikkerhed med særligt fokus på behovet for, at medlemsstaterne samarbejder om frakendelser af førerretten for førere, der er bosat i et andet land.</w:t>
      </w:r>
    </w:p>
    <w:p w14:paraId="46227BF6" w14:textId="3AA0F7E8"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3)</w:t>
      </w:r>
      <w:r w:rsidR="002E7AF0" w:rsidRPr="002E7AF0">
        <w:rPr>
          <w:szCs w:val="24"/>
          <w:lang w:eastAsia="en-US"/>
        </w:rPr>
        <w:tab/>
        <w:t>Som følge af den frie bevægelighed for personer og den stigende internationale vejtrafik er det ofte andre medlemsstater end den, hvor føreren har sin sædvanlige bopæl, og som har udstedt kørekortet, der træffer afgørelser om frakendelse af førerretten.</w:t>
      </w:r>
    </w:p>
    <w:p w14:paraId="67CEC0BA" w14:textId="77777777" w:rsidR="005813C0" w:rsidRDefault="005813C0">
      <w:pPr>
        <w:widowControl/>
        <w:rPr>
          <w:szCs w:val="24"/>
          <w:lang w:eastAsia="en-US"/>
        </w:rPr>
      </w:pPr>
      <w:r>
        <w:rPr>
          <w:szCs w:val="24"/>
          <w:lang w:eastAsia="en-US"/>
        </w:rPr>
        <w:br w:type="page"/>
      </w:r>
    </w:p>
    <w:p w14:paraId="33FA575F" w14:textId="557AF1EB"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4)</w:t>
      </w:r>
      <w:r w:rsidR="002E7AF0" w:rsidRPr="002E7AF0">
        <w:rPr>
          <w:szCs w:val="24"/>
          <w:lang w:eastAsia="en-US"/>
        </w:rPr>
        <w:tab/>
        <w:t xml:space="preserve">Som situationen er lige nu, kan en anden medlemsstat end den, hvor føreren har sin sædvanlige bopæl, træffe foranstaltninger i overensstemmelse med den nationale ret og som følge af en ulovlig adfærd begået af indehaveren af et kørekort, der er erhvervet i en anden medlemsstat, på dens område, hvilket fører til, at gyldigheden af kørekort, der er udstedt af andre medlemsstater, afvises, og dermed til en begrænsning af den berørte persons førerret. Anvendelsesområdet for disse foranstaltninger er imidlertid begrænset til den medlemsstats område, hvor den ulovlige adfærd har fundet sted, og deres virkning er begrænset til en afvisning af at anerkende gyldigheden af kørekortet på dette område. Da den medlemsstat, der har udstedt kørekortet, ikke har truffet nogen foranstaltninger, vil dette kørekort således fortsat blive anerkendt i alle andre medlemsstater. Et sådant scenario forhindrer imidlertid opnåelsen af et højere trafiksikkerhedsniveau i </w:t>
      </w:r>
      <w:r w:rsidR="00C65561">
        <w:rPr>
          <w:szCs w:val="24"/>
          <w:lang w:eastAsia="en-US"/>
        </w:rPr>
        <w:t>Unionen</w:t>
      </w:r>
      <w:r w:rsidR="002E7AF0" w:rsidRPr="002E7AF0">
        <w:rPr>
          <w:szCs w:val="24"/>
          <w:lang w:eastAsia="en-US"/>
        </w:rPr>
        <w:t>. Førere, der har fået frakendt førerretten i en anden medlemsstat end den, der har udstedt kørekortet, bør ikke kunne slippe for virkningerne af en sådan foranstaltning, blot fordi de befinder sig i en anden medlemsstat end overtrædelsesmedlemsstaten.</w:t>
      </w:r>
    </w:p>
    <w:p w14:paraId="47C9D2B0" w14:textId="77777777" w:rsidR="005813C0" w:rsidRDefault="005813C0">
      <w:pPr>
        <w:widowControl/>
        <w:rPr>
          <w:szCs w:val="24"/>
          <w:lang w:eastAsia="en-US"/>
        </w:rPr>
      </w:pPr>
      <w:r>
        <w:rPr>
          <w:szCs w:val="24"/>
          <w:lang w:eastAsia="en-US"/>
        </w:rPr>
        <w:br w:type="page"/>
      </w:r>
    </w:p>
    <w:p w14:paraId="25F6AA89" w14:textId="689F9E82"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5)</w:t>
      </w:r>
      <w:r w:rsidR="002E7AF0" w:rsidRPr="002E7AF0">
        <w:rPr>
          <w:szCs w:val="24"/>
          <w:lang w:eastAsia="en-US"/>
        </w:rPr>
        <w:tab/>
        <w:t xml:space="preserve">For at sikre et højt beskyttelsesniveau for alle trafikanter i </w:t>
      </w:r>
      <w:r w:rsidR="00C65561">
        <w:rPr>
          <w:szCs w:val="24"/>
          <w:lang w:eastAsia="en-US"/>
        </w:rPr>
        <w:t>Unionen</w:t>
      </w:r>
      <w:r w:rsidR="002E7AF0" w:rsidRPr="002E7AF0">
        <w:rPr>
          <w:szCs w:val="24"/>
          <w:lang w:eastAsia="en-US"/>
        </w:rPr>
        <w:t xml:space="preserve"> skal der fastsættes særlige regler for den EU-dækkende anvendelse af frakendelser af førerretten, der pålægges af en anden medlemsstat end den, der har udstedt lovovertræderens kørekort, og som skyldes alvorlige trafiksikkerhedsrelaterede færdselslovsovertrædelser.</w:t>
      </w:r>
    </w:p>
    <w:p w14:paraId="02F90724" w14:textId="55DC2B98" w:rsidR="002E7AF0" w:rsidRPr="002E7AF0" w:rsidRDefault="008A4472" w:rsidP="002E7AF0">
      <w:pPr>
        <w:spacing w:before="120" w:after="120" w:line="360" w:lineRule="auto"/>
        <w:ind w:left="850" w:hanging="850"/>
        <w:rPr>
          <w:b/>
          <w:szCs w:val="24"/>
          <w:lang w:eastAsia="en-US"/>
        </w:rPr>
      </w:pPr>
      <w:r>
        <w:rPr>
          <w:szCs w:val="24"/>
          <w:lang w:eastAsia="en-US"/>
        </w:rPr>
        <w:t>(</w:t>
      </w:r>
      <w:r w:rsidR="002E7AF0" w:rsidRPr="002E7AF0">
        <w:rPr>
          <w:szCs w:val="24"/>
          <w:lang w:eastAsia="en-US"/>
        </w:rPr>
        <w:t>6)</w:t>
      </w:r>
      <w:r w:rsidR="002E7AF0" w:rsidRPr="002E7AF0">
        <w:rPr>
          <w:szCs w:val="24"/>
          <w:lang w:eastAsia="en-US"/>
        </w:rPr>
        <w:tab/>
        <w:t>Gennemførelsen af dette direktiv bør dog</w:t>
      </w:r>
      <w:r w:rsidR="002E7AF0" w:rsidRPr="002E7AF0">
        <w:rPr>
          <w:b/>
          <w:i/>
          <w:szCs w:val="24"/>
          <w:lang w:eastAsia="en-US"/>
        </w:rPr>
        <w:t xml:space="preserve"> overholde nærhedsprincippet og bør</w:t>
      </w:r>
      <w:r w:rsidR="002E7AF0" w:rsidRPr="002E7AF0">
        <w:rPr>
          <w:szCs w:val="24"/>
          <w:lang w:eastAsia="en-US"/>
        </w:rPr>
        <w:t xml:space="preserve"> ikke nødvendiggøre en harmonisering af de nationale regler vedrørende definitionen af færdselslovsovertrædelser, deres retlige karakter og de sanktioner, der skal anvendes for sådanne overtrædelser. Der bør navnlig arbejdes hen imod en EU-dækkende virkning af frakendelser af førerretten, uanset om de nationale foranstaltninger i overtrædelsesmedlemsstaten betragtes som administrative eller strafferetlige.</w:t>
      </w:r>
      <w:r w:rsidR="002E7AF0" w:rsidRPr="002E7AF0">
        <w:rPr>
          <w:b/>
          <w:i/>
          <w:szCs w:val="24"/>
          <w:lang w:eastAsia="en-US"/>
        </w:rPr>
        <w:t xml:space="preserve"> Når medlemsstaterne anvender en EU-dækkende frakendelse af førerretten inden for de eksisterende retlige grænser for de nationale regler i denne henseende, bør de sigte mod så vidt muligt at bringe deres afgørelser i overensstemmelse.</w:t>
      </w:r>
      <w:r w:rsidR="00E05383">
        <w:rPr>
          <w:b/>
          <w:szCs w:val="24"/>
          <w:lang w:eastAsia="en-US"/>
        </w:rPr>
        <w:t xml:space="preserve"> [Ændring 1]</w:t>
      </w:r>
    </w:p>
    <w:p w14:paraId="59291AE4" w14:textId="77777777" w:rsidR="005813C0" w:rsidRDefault="005813C0">
      <w:pPr>
        <w:widowControl/>
        <w:rPr>
          <w:szCs w:val="24"/>
          <w:lang w:eastAsia="en-US"/>
        </w:rPr>
      </w:pPr>
      <w:r>
        <w:rPr>
          <w:szCs w:val="24"/>
          <w:lang w:eastAsia="en-US"/>
        </w:rPr>
        <w:br w:type="page"/>
      </w:r>
    </w:p>
    <w:p w14:paraId="26939A7D" w14:textId="7A8153FC"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7)</w:t>
      </w:r>
      <w:r w:rsidR="002E7AF0" w:rsidRPr="002E7AF0">
        <w:rPr>
          <w:szCs w:val="24"/>
          <w:lang w:eastAsia="en-US"/>
        </w:rPr>
        <w:tab/>
        <w:t>Dette direktiv bør ikke berøre reglerne om politisamarbejde og retligt samarbejde i straffesager og om gensidig anerkendelse af relaterede retsafgørelser. Det bør heller ikke berøre medlemsstaternes judicielle myndigheders mulighed for at fuldbyrde afgørelser, som de har truffet, navnlig afgørelser af strafferetlig karakter.</w:t>
      </w:r>
    </w:p>
    <w:p w14:paraId="079A7FEA" w14:textId="24594AD6"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8)</w:t>
      </w:r>
      <w:r w:rsidR="002E7AF0" w:rsidRPr="002E7AF0">
        <w:rPr>
          <w:szCs w:val="24"/>
          <w:lang w:eastAsia="en-US"/>
        </w:rPr>
        <w:tab/>
        <w:t xml:space="preserve">Det præcise formål med dette direktiv er at sætte </w:t>
      </w:r>
      <w:r w:rsidR="00C65561">
        <w:rPr>
          <w:szCs w:val="24"/>
          <w:lang w:eastAsia="en-US"/>
        </w:rPr>
        <w:t>Unionen</w:t>
      </w:r>
      <w:r w:rsidR="002E7AF0" w:rsidRPr="002E7AF0">
        <w:rPr>
          <w:szCs w:val="24"/>
          <w:lang w:eastAsia="en-US"/>
        </w:rPr>
        <w:t xml:space="preserve"> i stand til at forfølge målet om at forbedre trafiksikkerheden i hele </w:t>
      </w:r>
      <w:r w:rsidR="00C65561">
        <w:rPr>
          <w:szCs w:val="24"/>
          <w:lang w:eastAsia="en-US"/>
        </w:rPr>
        <w:t>Unionen</w:t>
      </w:r>
      <w:r w:rsidR="002E7AF0" w:rsidRPr="002E7AF0">
        <w:rPr>
          <w:szCs w:val="24"/>
          <w:lang w:eastAsia="en-US"/>
        </w:rPr>
        <w:t>. Som fastslået af EU-Domstolen er foranstaltninger til forbedring af trafiksikkerheden en del af transportpolitikken og kan vedtages på grundlag af traktatens artikel 91, stk. 1, litra c)</w:t>
      </w:r>
      <w:r w:rsidR="002E7AF0" w:rsidRPr="002E7AF0">
        <w:rPr>
          <w:szCs w:val="24"/>
          <w:vertAlign w:val="superscript"/>
          <w:lang w:val="en-GB" w:eastAsia="en-US"/>
        </w:rPr>
        <w:footnoteReference w:id="4"/>
      </w:r>
      <w:r w:rsidR="002E7AF0" w:rsidRPr="002E7AF0">
        <w:rPr>
          <w:szCs w:val="24"/>
          <w:lang w:eastAsia="en-US"/>
        </w:rPr>
        <w:t>, for så vidt som der er tale om "foranstaltninger til forbedring af transportsikkerhed" i denne bestemmelses forstand</w:t>
      </w:r>
      <w:r w:rsidR="002E7AF0" w:rsidRPr="002E7AF0">
        <w:rPr>
          <w:szCs w:val="24"/>
          <w:vertAlign w:val="superscript"/>
          <w:lang w:val="en-GB" w:eastAsia="en-US"/>
        </w:rPr>
        <w:footnoteReference w:id="5"/>
      </w:r>
      <w:r w:rsidR="002E7AF0" w:rsidRPr="002E7AF0">
        <w:rPr>
          <w:szCs w:val="24"/>
          <w:lang w:eastAsia="en-US"/>
        </w:rPr>
        <w:t>.</w:t>
      </w:r>
    </w:p>
    <w:p w14:paraId="4D29D799" w14:textId="1CF5F292"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9)</w:t>
      </w:r>
      <w:r w:rsidR="002E7AF0" w:rsidRPr="002E7AF0">
        <w:rPr>
          <w:szCs w:val="24"/>
          <w:lang w:eastAsia="en-US"/>
        </w:rPr>
        <w:tab/>
        <w:t>Frakendelser af førerretten som følge af alvorlige trafiksikkerhedsrelaterede færdselslovsovertrædelser kan bestå i inddragelse, begrænsning eller suspension af lovovertræderens kørekort eller førerret. Hvis overtrædelsen er begået i den medlemsstat, der har udstedt kørekortet, kan frakendelsen også bestå i en annullering. Den EU-dækkende virkning af frakendelser af førerretten bør derfor opnås gennem anvendelse af alle disse foranstaltninger i den medlemsstat, der har udstedt kørekortet.</w:t>
      </w:r>
    </w:p>
    <w:p w14:paraId="3749F8C6" w14:textId="77777777" w:rsidR="005813C0" w:rsidRDefault="005813C0">
      <w:pPr>
        <w:widowControl/>
        <w:rPr>
          <w:szCs w:val="24"/>
          <w:lang w:eastAsia="en-US"/>
        </w:rPr>
      </w:pPr>
      <w:r>
        <w:rPr>
          <w:szCs w:val="24"/>
          <w:lang w:eastAsia="en-US"/>
        </w:rPr>
        <w:br w:type="page"/>
      </w:r>
    </w:p>
    <w:p w14:paraId="5940ED22" w14:textId="1098C378" w:rsidR="002E7AF0" w:rsidRPr="002E7AF0" w:rsidRDefault="008A4472" w:rsidP="002E7AF0">
      <w:pPr>
        <w:spacing w:before="120" w:after="120" w:line="360" w:lineRule="auto"/>
        <w:ind w:left="850" w:hanging="850"/>
        <w:rPr>
          <w:b/>
          <w:szCs w:val="24"/>
          <w:lang w:eastAsia="en-US"/>
        </w:rPr>
      </w:pPr>
      <w:r>
        <w:rPr>
          <w:szCs w:val="24"/>
          <w:lang w:eastAsia="en-US"/>
        </w:rPr>
        <w:lastRenderedPageBreak/>
        <w:t>(</w:t>
      </w:r>
      <w:r w:rsidR="002E7AF0" w:rsidRPr="002E7AF0">
        <w:rPr>
          <w:szCs w:val="24"/>
          <w:lang w:eastAsia="en-US"/>
        </w:rPr>
        <w:t>10)</w:t>
      </w:r>
      <w:r w:rsidR="002E7AF0" w:rsidRPr="002E7AF0">
        <w:rPr>
          <w:szCs w:val="24"/>
          <w:lang w:eastAsia="en-US"/>
        </w:rPr>
        <w:tab/>
        <w:t>Da spirituskørsel (dvs. kørsel med et alkoholindhold i blodet, der overstiger den maksimale værdi, der er tilladt i henhold til loven), hastighedsoverskridelse (dvs. overskridelse af de hastighedsgrænser, der gælder for den pågældende vej eller køretøjstype) og kørsel under påvirkning af narkotika</w:t>
      </w:r>
      <w:r w:rsidR="002E7AF0" w:rsidRPr="002E7AF0">
        <w:rPr>
          <w:b/>
          <w:i/>
          <w:szCs w:val="24"/>
          <w:lang w:eastAsia="en-US"/>
        </w:rPr>
        <w:t xml:space="preserve"> og psykoaktive stoffer</w:t>
      </w:r>
      <w:r w:rsidR="002E7AF0" w:rsidRPr="002E7AF0">
        <w:rPr>
          <w:szCs w:val="24"/>
          <w:lang w:eastAsia="en-US"/>
        </w:rPr>
        <w:t xml:space="preserve"> udgør de vigtigste årsager til trafikulykker og dødsfald på vejene i </w:t>
      </w:r>
      <w:r w:rsidR="00C65561">
        <w:rPr>
          <w:szCs w:val="24"/>
          <w:lang w:eastAsia="en-US"/>
        </w:rPr>
        <w:t>Unionen</w:t>
      </w:r>
      <w:r w:rsidR="002E7AF0" w:rsidRPr="002E7AF0">
        <w:rPr>
          <w:szCs w:val="24"/>
          <w:lang w:eastAsia="en-US"/>
        </w:rPr>
        <w:t xml:space="preserve">, bør der sikres den størst mulige omhu i sager vedrørende disse overtrædelser, som derfor bør betragtes som "alvorlige trafiksikkerhedsrelaterede færdselslovsovertrædelser" i forbindelse med dette direktiv. Endvidere bør færdselslovsovertrædelser, der har dødsfald eller alvorlige legemsbeskadigelser til følge, </w:t>
      </w:r>
      <w:r w:rsidR="002E7AF0" w:rsidRPr="002E7AF0">
        <w:rPr>
          <w:b/>
          <w:i/>
          <w:szCs w:val="24"/>
          <w:lang w:eastAsia="en-US"/>
        </w:rPr>
        <w:t xml:space="preserve">eller kørsel uden gyldigt kørekort </w:t>
      </w:r>
      <w:r w:rsidR="002E7AF0" w:rsidRPr="002E7AF0">
        <w:rPr>
          <w:szCs w:val="24"/>
          <w:lang w:eastAsia="en-US"/>
        </w:rPr>
        <w:t>i betragtning af deres alvor også betragtes som alvorlige lovovertrædelser.</w:t>
      </w:r>
      <w:r w:rsidR="00E05383">
        <w:rPr>
          <w:b/>
          <w:szCs w:val="24"/>
          <w:lang w:eastAsia="en-US"/>
        </w:rPr>
        <w:t xml:space="preserve"> [Ændring 2]</w:t>
      </w:r>
    </w:p>
    <w:p w14:paraId="55C2E908" w14:textId="77777777" w:rsidR="005813C0" w:rsidRDefault="005813C0">
      <w:pPr>
        <w:widowControl/>
        <w:rPr>
          <w:szCs w:val="24"/>
          <w:lang w:eastAsia="en-US"/>
        </w:rPr>
      </w:pPr>
      <w:r>
        <w:rPr>
          <w:szCs w:val="24"/>
          <w:lang w:eastAsia="en-US"/>
        </w:rPr>
        <w:br w:type="page"/>
      </w:r>
    </w:p>
    <w:p w14:paraId="2AD6286A" w14:textId="791F6C18"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11)</w:t>
      </w:r>
      <w:r w:rsidR="002E7AF0" w:rsidRPr="002E7AF0">
        <w:rPr>
          <w:szCs w:val="24"/>
          <w:lang w:eastAsia="en-US"/>
        </w:rPr>
        <w:tab/>
        <w:t>Frakendelser af førerretten, som en medlemsstat pålægger en person, der ikke har sædvanlig bopæl som omhandlet i artikel 17 i [NYT DIREKTIV OM KØREKORT], og som er indehaver af et kørekort, der er udstedt af en anden medlemsstat, bør have EU-dækkende virkning på samme vilkår som frakendelser af førerretten, der pålægges personer, som er indehavere af kørekort udstedt af den pågældende medlemsstat. I betragtning af princippet om procesautonomi bør medlemsstaterne også frit kunne beslutte, hvordan dette resultat bedst opnås i overensstemmelse med national ret. Der bør imidlertid tages hensyn til den omstændighed, at når en medlemsstat frakender en person, der har sædvanlig bopæl i denne medlemsstat, men som er i besiddelse af et kørekort udstedt af en anden medlemsstat, førerretten, har førstnævnte ret til at ombytte kørekortet med henblik på anvendelsen af denne frakendelse af førerretten i henhold til artikel 11, stk. 2, i [NYT DIREKTIV OM KØREKORT].</w:t>
      </w:r>
    </w:p>
    <w:p w14:paraId="19C8EAAA" w14:textId="77777777" w:rsidR="005813C0" w:rsidRDefault="005813C0">
      <w:pPr>
        <w:widowControl/>
        <w:rPr>
          <w:szCs w:val="24"/>
          <w:lang w:eastAsia="en-US"/>
        </w:rPr>
      </w:pPr>
      <w:r>
        <w:rPr>
          <w:szCs w:val="24"/>
          <w:lang w:eastAsia="en-US"/>
        </w:rPr>
        <w:br w:type="page"/>
      </w:r>
    </w:p>
    <w:p w14:paraId="74D93608" w14:textId="4582CC01" w:rsidR="002E7AF0" w:rsidRPr="002E7AF0" w:rsidRDefault="008A4472" w:rsidP="002E7AF0">
      <w:pPr>
        <w:spacing w:before="120" w:after="120" w:line="360" w:lineRule="auto"/>
        <w:ind w:left="850" w:hanging="850"/>
        <w:rPr>
          <w:b/>
          <w:szCs w:val="24"/>
          <w:lang w:eastAsia="en-US"/>
        </w:rPr>
      </w:pPr>
      <w:r>
        <w:rPr>
          <w:szCs w:val="24"/>
          <w:lang w:eastAsia="en-US"/>
        </w:rPr>
        <w:lastRenderedPageBreak/>
        <w:t>(</w:t>
      </w:r>
      <w:r w:rsidR="002E7AF0" w:rsidRPr="002E7AF0">
        <w:rPr>
          <w:szCs w:val="24"/>
          <w:lang w:eastAsia="en-US"/>
        </w:rPr>
        <w:t>12)</w:t>
      </w:r>
      <w:r w:rsidR="002E7AF0" w:rsidRPr="002E7AF0">
        <w:rPr>
          <w:szCs w:val="24"/>
          <w:lang w:eastAsia="en-US"/>
        </w:rPr>
        <w:tab/>
        <w:t xml:space="preserve">Den medlemsstat, der har pålagt frakendelsen af førerretten ("overtrædelsesmedlemsstat"), bør underrette den medlemsstat, der har udstedt den berørte persons kørekort ("udstedelsesmedlemsstat"), om enhver pålagt frakendelse af førerretten af en varighed på en måned eller mere, for at udløse de procedurer, der er nødvendige for at sikre den EU-dækkende virkning af frakendelsen af førerretten. En sådan underretning bør fremsendes </w:t>
      </w:r>
      <w:r w:rsidR="002E7AF0" w:rsidRPr="002E7AF0">
        <w:rPr>
          <w:b/>
          <w:i/>
          <w:szCs w:val="24"/>
          <w:lang w:eastAsia="en-US"/>
        </w:rPr>
        <w:t xml:space="preserve">senest ti arbejdsdage efter afgørelsen om frakendelse af førerretten </w:t>
      </w:r>
      <w:r w:rsidR="002E7AF0" w:rsidRPr="002E7AF0">
        <w:rPr>
          <w:szCs w:val="24"/>
          <w:lang w:eastAsia="en-US"/>
        </w:rPr>
        <w:t>ved hjælp af et standardcertifikat for at sikre en problemfri, pålidelig og effektiv udveksling af oplysninger medlemsstaterne imellem.</w:t>
      </w:r>
      <w:r w:rsidR="002E7AF0" w:rsidRPr="002E7AF0">
        <w:rPr>
          <w:b/>
          <w:i/>
          <w:szCs w:val="24"/>
          <w:lang w:eastAsia="en-US"/>
        </w:rPr>
        <w:t xml:space="preserve"> Fremsendelse af certifikatet samt enhver anden udveksling af oplysninger mellem de nationale kontaktpunkter i medlemsstaterne vedrørende anvendelsen af dette direktiv bør ske via EU-kørekortnetværket ("RESPER").</w:t>
      </w:r>
      <w:r w:rsidR="00E05383">
        <w:rPr>
          <w:b/>
          <w:szCs w:val="24"/>
          <w:lang w:eastAsia="en-US"/>
        </w:rPr>
        <w:t xml:space="preserve"> [Ændring 3]</w:t>
      </w:r>
    </w:p>
    <w:p w14:paraId="4B6BEABF" w14:textId="77777777" w:rsidR="005813C0" w:rsidRDefault="005813C0">
      <w:pPr>
        <w:widowControl/>
        <w:rPr>
          <w:szCs w:val="24"/>
          <w:lang w:eastAsia="en-US"/>
        </w:rPr>
      </w:pPr>
      <w:r>
        <w:rPr>
          <w:szCs w:val="24"/>
          <w:lang w:eastAsia="en-US"/>
        </w:rPr>
        <w:br w:type="page"/>
      </w:r>
    </w:p>
    <w:p w14:paraId="4BFAD4B4" w14:textId="45D922CC" w:rsidR="002E7AF0" w:rsidRPr="002E7AF0" w:rsidRDefault="008A4472" w:rsidP="002E7AF0">
      <w:pPr>
        <w:spacing w:before="120" w:after="120" w:line="360" w:lineRule="auto"/>
        <w:ind w:left="850" w:hanging="850"/>
        <w:rPr>
          <w:b/>
          <w:szCs w:val="24"/>
          <w:lang w:eastAsia="en-US"/>
        </w:rPr>
      </w:pPr>
      <w:r>
        <w:rPr>
          <w:szCs w:val="24"/>
          <w:lang w:eastAsia="en-US"/>
        </w:rPr>
        <w:lastRenderedPageBreak/>
        <w:t>(</w:t>
      </w:r>
      <w:r w:rsidR="002E7AF0" w:rsidRPr="002E7AF0">
        <w:rPr>
          <w:szCs w:val="24"/>
          <w:lang w:eastAsia="en-US"/>
        </w:rPr>
        <w:t>13)</w:t>
      </w:r>
      <w:r w:rsidR="002E7AF0" w:rsidRPr="002E7AF0">
        <w:rPr>
          <w:szCs w:val="24"/>
          <w:lang w:eastAsia="en-US"/>
        </w:rPr>
        <w:tab/>
        <w:t xml:space="preserve">Standardcertifikatet bør indeholde et minimumssæt af data, der gør det muligt at gennemføre dette direktiv korrekt, nemlig angivelse af den myndighed i overtrædelsesmedlemsstaten, der pålægger frakendelsen af førerretten, </w:t>
      </w:r>
      <w:r w:rsidR="002E7AF0" w:rsidRPr="002E7AF0">
        <w:rPr>
          <w:b/>
          <w:i/>
          <w:szCs w:val="24"/>
          <w:lang w:eastAsia="en-US"/>
        </w:rPr>
        <w:t xml:space="preserve">en beskrivelse af </w:t>
      </w:r>
      <w:r w:rsidR="002E7AF0" w:rsidRPr="002E7AF0">
        <w:rPr>
          <w:szCs w:val="24"/>
          <w:lang w:eastAsia="en-US"/>
        </w:rPr>
        <w:t>den alvorlige trafiksikkerhedsrelaterede færdselslovsovertrædelse, den deraf følgende frakendelse af førerretten,</w:t>
      </w:r>
      <w:r w:rsidR="002E7AF0" w:rsidRPr="002E7AF0">
        <w:rPr>
          <w:b/>
          <w:i/>
          <w:szCs w:val="24"/>
          <w:lang w:eastAsia="en-US"/>
        </w:rPr>
        <w:t xml:space="preserve"> nærmere oplysninger om</w:t>
      </w:r>
      <w:r w:rsidR="002E7AF0" w:rsidRPr="002E7AF0">
        <w:rPr>
          <w:szCs w:val="24"/>
          <w:lang w:eastAsia="en-US"/>
        </w:rPr>
        <w:t xml:space="preserve"> den berørte person og de procedurer, der følges ved </w:t>
      </w:r>
      <w:proofErr w:type="spellStart"/>
      <w:r w:rsidR="002E7AF0" w:rsidRPr="002E7AF0">
        <w:rPr>
          <w:szCs w:val="24"/>
          <w:lang w:eastAsia="en-US"/>
        </w:rPr>
        <w:t>pålæggelse</w:t>
      </w:r>
      <w:proofErr w:type="spellEnd"/>
      <w:r w:rsidR="002E7AF0" w:rsidRPr="002E7AF0">
        <w:rPr>
          <w:szCs w:val="24"/>
          <w:lang w:eastAsia="en-US"/>
        </w:rPr>
        <w:t xml:space="preserve"> af frakendelsen. Dette certifikat bør endvidere oversættes til et officielt sprog i udstedelsesmedlemsstaten eller et andet sprog, som udstedelsesmedlemsstaten har accepteret, for at sikre en hurtig behandling hos modtageren. Ved kun at give disse oplysninger kan standardcertifikatet garantere effektiviteten uden at forpligte medlemsstaterne til at dele uhensigtsmæssige eller uforholdsmæssigt store mængder oplysninger.</w:t>
      </w:r>
      <w:r w:rsidR="00E05383">
        <w:rPr>
          <w:b/>
          <w:szCs w:val="24"/>
          <w:lang w:eastAsia="en-US"/>
        </w:rPr>
        <w:t xml:space="preserve"> [Ændring 4]</w:t>
      </w:r>
    </w:p>
    <w:p w14:paraId="19CFFACC" w14:textId="77777777" w:rsidR="005813C0" w:rsidRDefault="005813C0">
      <w:pPr>
        <w:widowControl/>
        <w:rPr>
          <w:szCs w:val="24"/>
          <w:lang w:eastAsia="en-US"/>
        </w:rPr>
      </w:pPr>
      <w:r>
        <w:rPr>
          <w:szCs w:val="24"/>
          <w:lang w:eastAsia="en-US"/>
        </w:rPr>
        <w:br w:type="page"/>
      </w:r>
    </w:p>
    <w:p w14:paraId="70BEEAB5" w14:textId="519E209F"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14)</w:t>
      </w:r>
      <w:r w:rsidR="002E7AF0" w:rsidRPr="002E7AF0">
        <w:rPr>
          <w:szCs w:val="24"/>
          <w:lang w:eastAsia="en-US"/>
        </w:rPr>
        <w:tab/>
        <w:t xml:space="preserve">Ved at frakende førerretten som følge af ulovlig adfærd bidrages der til et højt trafiksikkerhedsniveau i </w:t>
      </w:r>
      <w:r w:rsidR="00C65561">
        <w:rPr>
          <w:szCs w:val="24"/>
          <w:lang w:eastAsia="en-US"/>
        </w:rPr>
        <w:t>Unionen</w:t>
      </w:r>
      <w:r w:rsidR="002E7AF0" w:rsidRPr="002E7AF0">
        <w:rPr>
          <w:szCs w:val="24"/>
          <w:lang w:eastAsia="en-US"/>
        </w:rPr>
        <w:t xml:space="preserve">. På grundlag af princippet om gensidig anerkendelse af kørekort, der er udstedt i medlemsstaterne, anerkendes foranstaltninger vedrørende inddragelse, annullering, suspension eller begrænsning af et kørekort, der er udstedt af udstedelsesmedlemsstaten, automatisk af alle andre medlemsstater. Udstedelsesmedlemsstaten bør derfor forpligtes til at sikre, at frakendelser af førerretten, der vedtages af andre medlemsstater, anerkendes af alle medlemsstater. Efter underretning om den pålagte frakendelse af førerretten — medmindre der foreligger eller påberåbes en grund til undtagelse — bør udstedelsesmedlemsstaten derfor træffe passende foranstaltninger til at udvide virkningen af frakendelsen af førerretten til at omfatte </w:t>
      </w:r>
      <w:r w:rsidR="00C65561">
        <w:rPr>
          <w:szCs w:val="24"/>
          <w:lang w:eastAsia="en-US"/>
        </w:rPr>
        <w:t>Unionen</w:t>
      </w:r>
      <w:r w:rsidR="002E7AF0" w:rsidRPr="002E7AF0">
        <w:rPr>
          <w:szCs w:val="24"/>
          <w:lang w:eastAsia="en-US"/>
        </w:rPr>
        <w:t>.</w:t>
      </w:r>
    </w:p>
    <w:p w14:paraId="3EE2058A" w14:textId="77777777" w:rsidR="005813C0" w:rsidRDefault="005813C0">
      <w:pPr>
        <w:widowControl/>
        <w:rPr>
          <w:szCs w:val="24"/>
          <w:lang w:eastAsia="en-US"/>
        </w:rPr>
      </w:pPr>
      <w:r>
        <w:rPr>
          <w:szCs w:val="24"/>
          <w:lang w:eastAsia="en-US"/>
        </w:rPr>
        <w:br w:type="page"/>
      </w:r>
    </w:p>
    <w:p w14:paraId="673F227B" w14:textId="6E1E7C14"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15)</w:t>
      </w:r>
      <w:r w:rsidR="002E7AF0" w:rsidRPr="002E7AF0">
        <w:rPr>
          <w:szCs w:val="24"/>
          <w:lang w:eastAsia="en-US"/>
        </w:rPr>
        <w:tab/>
        <w:t>Den foranstaltning, der træffes af udstedelsesmedlemsstaten, bør variere afhængigt af den særlige karakter af frakendelsen af førerretten. Eftersom inddragelse, suspension eller begrænsning af et kørekort eller en førerret nødvendigvis har forskellige konsekvenser, gennemføres der forskellige procedurer under overholdelse af de berørte medlemsstaters kompetencer. Navnlig for så vidt angår inddragelse bør den berørte person kunne generhverve kørekortet eller førerretten i overensstemmelse med de regler, der finder anvendelse på samme omstændigheder i udstedelsesmedlemsstaten. Med hensyn til suspension eller begrænsning bør det sikres, at den EU-dækkende virkning kun gælder varigheden af sådanne foranstaltninger, selv om der er knyttet yderligere betingelser til frakendelsen af førerretten, fordi det primære mål med disse foranstaltninger er midlertidigt eller delvist at forhindre den berørte person i at føre et motorkøretøj og ikke at fastlægge, hvordan den pågældende bør generhverve sin førerret i udstedelsesmedlemsstaten.</w:t>
      </w:r>
    </w:p>
    <w:p w14:paraId="68E7563F" w14:textId="77777777" w:rsidR="005813C0" w:rsidRDefault="005813C0">
      <w:pPr>
        <w:widowControl/>
        <w:rPr>
          <w:szCs w:val="24"/>
          <w:lang w:eastAsia="en-US"/>
        </w:rPr>
      </w:pPr>
      <w:r>
        <w:rPr>
          <w:szCs w:val="24"/>
          <w:lang w:eastAsia="en-US"/>
        </w:rPr>
        <w:br w:type="page"/>
      </w:r>
    </w:p>
    <w:p w14:paraId="7C1AA4EB" w14:textId="228AFA76"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16)</w:t>
      </w:r>
      <w:r w:rsidR="002E7AF0" w:rsidRPr="002E7AF0">
        <w:rPr>
          <w:szCs w:val="24"/>
          <w:lang w:eastAsia="en-US"/>
        </w:rPr>
        <w:tab/>
        <w:t>I princippet bør medlemsstaternes mulighed for at anvende frakendelser af førerretten på deres område ikke begrænses af dette direktiv. Overtrædelsesmedlemsstaten bør derfor i overensstemmelse med de nationale regler og med en virkning, der er begrænset til dens område, fortsat kunne anvende frakendelser af førerretten og eventuelle yderligere betingelser fastsat i henhold hertil, indtil den berørte person opfylder disse betingelser.</w:t>
      </w:r>
    </w:p>
    <w:p w14:paraId="2535BC37" w14:textId="1E198588"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17)</w:t>
      </w:r>
      <w:r w:rsidR="002E7AF0" w:rsidRPr="002E7AF0">
        <w:rPr>
          <w:szCs w:val="24"/>
          <w:lang w:eastAsia="en-US"/>
        </w:rPr>
        <w:tab/>
        <w:t xml:space="preserve">Det er imidlertid også vigtigt at tage hensyn til, at vurderingen af overholdelsen af de krav, der er fastsat i EU-retten for erhvervelse af et kørekort, henhører under udstedelsesmedlemsstatens kompetence. Anvendelsen af yderligere betingelser i udstedelsesmedlemsstaten bør heller ikke føre til en overlapning af de krav, som en berørt person skal opfylde for at bevise, at generhvervelse af et kørekort eller førerretten ikke vil udgøre en fare for trafiksikkerheden i </w:t>
      </w:r>
      <w:r w:rsidR="00C65561">
        <w:rPr>
          <w:szCs w:val="24"/>
          <w:lang w:eastAsia="en-US"/>
        </w:rPr>
        <w:t>Unionen</w:t>
      </w:r>
      <w:r w:rsidR="002E7AF0" w:rsidRPr="002E7AF0">
        <w:rPr>
          <w:szCs w:val="24"/>
          <w:lang w:eastAsia="en-US"/>
        </w:rPr>
        <w:t xml:space="preserve">. I lyset heraf bør denne vurdering anerkendes i hele </w:t>
      </w:r>
      <w:r w:rsidR="00C65561">
        <w:rPr>
          <w:szCs w:val="24"/>
          <w:lang w:eastAsia="en-US"/>
        </w:rPr>
        <w:t>Unionen</w:t>
      </w:r>
      <w:r w:rsidR="002E7AF0" w:rsidRPr="002E7AF0">
        <w:rPr>
          <w:szCs w:val="24"/>
          <w:lang w:eastAsia="en-US"/>
        </w:rPr>
        <w:t xml:space="preserve"> og dermed også i overtrædelsesmedlemsstaten, hvis udstedelsesmedlemsstaten har vedtaget foranstaltninger for at sikre den EU-dækkende virkning af frakendelsen af førerretten og efterfølgende har revurderet, om den berørte person skal kunne generhverve et kørekort eller førerretten.</w:t>
      </w:r>
    </w:p>
    <w:p w14:paraId="17C4E68D" w14:textId="77777777" w:rsidR="005813C0" w:rsidRDefault="005813C0">
      <w:pPr>
        <w:widowControl/>
        <w:rPr>
          <w:szCs w:val="24"/>
          <w:lang w:eastAsia="en-US"/>
        </w:rPr>
      </w:pPr>
      <w:r>
        <w:rPr>
          <w:szCs w:val="24"/>
          <w:lang w:eastAsia="en-US"/>
        </w:rPr>
        <w:br w:type="page"/>
      </w:r>
    </w:p>
    <w:p w14:paraId="198252BD" w14:textId="3A9040EA"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18)</w:t>
      </w:r>
      <w:r w:rsidR="002E7AF0" w:rsidRPr="002E7AF0">
        <w:rPr>
          <w:szCs w:val="24"/>
          <w:lang w:eastAsia="en-US"/>
        </w:rPr>
        <w:tab/>
        <w:t>Udstedelsesmedlemsstatens anvendelse af foranstaltninger bør have til formål at sikre en EU-dækkende virkning af en frakendelse af førerretten og bør ikke kræve en ny vurdering af de forhold, der førte til frakendelsen. For at sikre, at den EU-dækkende virkning ikke er i strid med proportionalitetsprincippet, de grundlæggende rettigheder eller undtagelserne i udstedelsesmedlemsstatens lovgivning, er det imidlertid hensigtsmæssigt at fastsætte visse grunde, der fritager udstedelsesmedlemsstaten fra forpligtelsen til at vedtage foranstaltninger.</w:t>
      </w:r>
    </w:p>
    <w:p w14:paraId="37ACDE73" w14:textId="4B1716EA"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19)</w:t>
      </w:r>
      <w:r w:rsidR="002E7AF0" w:rsidRPr="002E7AF0">
        <w:rPr>
          <w:szCs w:val="24"/>
          <w:lang w:eastAsia="en-US"/>
        </w:rPr>
        <w:tab/>
        <w:t>Af hensyn til trafiksikkerheden og for at skabe retssikkerhed for den berørte person og for overtrædelsesmedlemsstaten bør udstedelsesmedlemsstaten sikre den EU-dækkende virkning af frakendelsen af førerretten eller anvende en grund til undtagelse hurtigst muligt, og under alle omstændigheder senest 15 dage efter at den er blevet underrettet om frakendelsen. Dette bør ikke berøre situationer, hvor ekstraordinære omstændigheder gør det umuligt at overholde denne frist. Selv i sådanne ekstraordinære tilfælde bør udstedelsesmedlemsstaten imidlertid handle uden unødig forsinkelse og underrette overtrædelsesmedlemsstaten om forsinkelsens varighed og årsag.</w:t>
      </w:r>
    </w:p>
    <w:p w14:paraId="1C9E06B8" w14:textId="77777777" w:rsidR="005813C0" w:rsidRDefault="005813C0">
      <w:pPr>
        <w:widowControl/>
        <w:rPr>
          <w:szCs w:val="24"/>
          <w:lang w:eastAsia="en-US"/>
        </w:rPr>
      </w:pPr>
      <w:r>
        <w:rPr>
          <w:szCs w:val="24"/>
          <w:lang w:eastAsia="en-US"/>
        </w:rPr>
        <w:br w:type="page"/>
      </w:r>
    </w:p>
    <w:p w14:paraId="7DDEA7AF" w14:textId="4FD6FAE7" w:rsidR="002E7AF0" w:rsidRPr="002E7AF0" w:rsidRDefault="008A4472" w:rsidP="002E7AF0">
      <w:pPr>
        <w:spacing w:before="120" w:after="120" w:line="360" w:lineRule="auto"/>
        <w:ind w:left="850" w:hanging="850"/>
        <w:rPr>
          <w:b/>
          <w:szCs w:val="24"/>
          <w:lang w:eastAsia="en-US"/>
        </w:rPr>
      </w:pPr>
      <w:r>
        <w:rPr>
          <w:szCs w:val="24"/>
          <w:lang w:eastAsia="en-US"/>
        </w:rPr>
        <w:lastRenderedPageBreak/>
        <w:t>(</w:t>
      </w:r>
      <w:r w:rsidR="002E7AF0" w:rsidRPr="002E7AF0">
        <w:rPr>
          <w:szCs w:val="24"/>
          <w:lang w:eastAsia="en-US"/>
        </w:rPr>
        <w:t>20)</w:t>
      </w:r>
      <w:r w:rsidR="002E7AF0" w:rsidRPr="002E7AF0">
        <w:rPr>
          <w:szCs w:val="24"/>
          <w:lang w:eastAsia="en-US"/>
        </w:rPr>
        <w:tab/>
        <w:t xml:space="preserve">En forudsætning for den korrekte gennemførelse af dette direktiv er en tæt, hurtig og effektiv kommunikation mellem de involverede kompetente nationale myndigheder. Medlemsstaternes kompetente nationale myndigheder bør derfor, når det er nødvendigt, </w:t>
      </w:r>
      <w:r w:rsidR="002E7AF0" w:rsidRPr="002E7AF0">
        <w:rPr>
          <w:strike/>
          <w:szCs w:val="24"/>
          <w:lang w:eastAsia="en-US"/>
        </w:rPr>
        <w:t xml:space="preserve">på passende vis </w:t>
      </w:r>
      <w:r w:rsidR="002E7AF0" w:rsidRPr="002E7AF0">
        <w:rPr>
          <w:szCs w:val="24"/>
          <w:lang w:eastAsia="en-US"/>
        </w:rPr>
        <w:t xml:space="preserve">rådføre sig med hinanden. I specifikke, veldefinerede tilfælde bør både udstedelsesmedlemsstaten og overtrædelsesmedlemsstaten desuden </w:t>
      </w:r>
      <w:r w:rsidR="002E7AF0" w:rsidRPr="002E7AF0">
        <w:rPr>
          <w:strike/>
          <w:szCs w:val="24"/>
          <w:lang w:eastAsia="en-US"/>
        </w:rPr>
        <w:t xml:space="preserve">straks </w:t>
      </w:r>
      <w:r w:rsidR="002E7AF0" w:rsidRPr="002E7AF0">
        <w:rPr>
          <w:szCs w:val="24"/>
          <w:lang w:eastAsia="en-US"/>
        </w:rPr>
        <w:t>give hinanden vigtige oplysninger i forbindelse med anvendelsen af dette direktiv</w:t>
      </w:r>
      <w:r w:rsidR="002E7AF0" w:rsidRPr="002E7AF0">
        <w:rPr>
          <w:strike/>
          <w:szCs w:val="24"/>
          <w:lang w:eastAsia="en-US"/>
        </w:rPr>
        <w:t>. Dette bør være tilfældet for</w:t>
      </w:r>
      <w:r w:rsidR="002E7AF0" w:rsidRPr="002E7AF0">
        <w:rPr>
          <w:b/>
          <w:i/>
          <w:szCs w:val="24"/>
          <w:lang w:eastAsia="en-US"/>
        </w:rPr>
        <w:t xml:space="preserve"> senest ti arbejdsdage efter en afgørelse om</w:t>
      </w:r>
      <w:r w:rsidR="002E7AF0" w:rsidRPr="002E7AF0">
        <w:rPr>
          <w:szCs w:val="24"/>
          <w:lang w:eastAsia="en-US"/>
        </w:rPr>
        <w:t xml:space="preserve"> vedtagelsen af foranstaltninger, der giver frakendelser af førerretten en EU-dækkende virkning, </w:t>
      </w:r>
      <w:proofErr w:type="spellStart"/>
      <w:r w:rsidR="002E7AF0" w:rsidRPr="002E7AF0">
        <w:rPr>
          <w:strike/>
          <w:szCs w:val="24"/>
          <w:lang w:eastAsia="en-US"/>
        </w:rPr>
        <w:t>afgørelser</w:t>
      </w:r>
      <w:r w:rsidR="002E7AF0" w:rsidRPr="002E7AF0">
        <w:rPr>
          <w:b/>
          <w:i/>
          <w:szCs w:val="24"/>
          <w:lang w:eastAsia="en-US"/>
        </w:rPr>
        <w:t>eller</w:t>
      </w:r>
      <w:proofErr w:type="spellEnd"/>
      <w:r w:rsidR="002E7AF0" w:rsidRPr="002E7AF0">
        <w:rPr>
          <w:b/>
          <w:i/>
          <w:szCs w:val="24"/>
          <w:lang w:eastAsia="en-US"/>
        </w:rPr>
        <w:t xml:space="preserve"> en afgørelse</w:t>
      </w:r>
      <w:r w:rsidR="002E7AF0" w:rsidRPr="002E7AF0">
        <w:rPr>
          <w:szCs w:val="24"/>
          <w:lang w:eastAsia="en-US"/>
        </w:rPr>
        <w:t xml:space="preserve"> truffet på grundlag af undtagelser, gennemførelsen af frakendelser af førerretten og eventuelle omstændigheder, der påvirker de oprindeligt pålagte frakendelser af førerretten.</w:t>
      </w:r>
      <w:r w:rsidR="00E05383">
        <w:rPr>
          <w:b/>
          <w:szCs w:val="24"/>
          <w:lang w:eastAsia="en-US"/>
        </w:rPr>
        <w:t xml:space="preserve"> [Ændring 5]</w:t>
      </w:r>
    </w:p>
    <w:p w14:paraId="61D3D078" w14:textId="05645F57" w:rsidR="002E7AF0" w:rsidRPr="002E7AF0" w:rsidRDefault="008A4472" w:rsidP="002E7AF0">
      <w:pPr>
        <w:spacing w:before="120" w:after="120" w:line="360" w:lineRule="auto"/>
        <w:ind w:left="850" w:hanging="850"/>
        <w:rPr>
          <w:b/>
          <w:szCs w:val="24"/>
          <w:lang w:eastAsia="en-US"/>
        </w:rPr>
      </w:pPr>
      <w:r>
        <w:rPr>
          <w:szCs w:val="24"/>
          <w:lang w:eastAsia="en-US"/>
        </w:rPr>
        <w:t>(</w:t>
      </w:r>
      <w:r w:rsidR="002E7AF0" w:rsidRPr="002E7AF0">
        <w:rPr>
          <w:szCs w:val="24"/>
          <w:lang w:eastAsia="en-US"/>
        </w:rPr>
        <w:t>21)</w:t>
      </w:r>
      <w:r w:rsidR="002E7AF0" w:rsidRPr="002E7AF0">
        <w:rPr>
          <w:szCs w:val="24"/>
          <w:lang w:eastAsia="en-US"/>
        </w:rPr>
        <w:tab/>
        <w:t xml:space="preserve">Efter at være blevet underrettet om en frakendelse af førerretten og den EU-dækkende virkning heraf bør udstedelsesmedlemsstaten </w:t>
      </w:r>
      <w:proofErr w:type="spellStart"/>
      <w:r w:rsidR="002E7AF0" w:rsidRPr="002E7AF0">
        <w:rPr>
          <w:strike/>
          <w:szCs w:val="24"/>
          <w:lang w:eastAsia="en-US"/>
        </w:rPr>
        <w:t>straks</w:t>
      </w:r>
      <w:r w:rsidR="002E7AF0" w:rsidRPr="002E7AF0">
        <w:rPr>
          <w:b/>
          <w:i/>
          <w:szCs w:val="24"/>
          <w:lang w:eastAsia="en-US"/>
        </w:rPr>
        <w:t>senest</w:t>
      </w:r>
      <w:proofErr w:type="spellEnd"/>
      <w:r w:rsidR="002E7AF0" w:rsidRPr="002E7AF0">
        <w:rPr>
          <w:b/>
          <w:i/>
          <w:szCs w:val="24"/>
          <w:lang w:eastAsia="en-US"/>
        </w:rPr>
        <w:t xml:space="preserve"> syv dage efter denne underretning</w:t>
      </w:r>
      <w:r w:rsidR="002E7AF0" w:rsidRPr="002E7AF0">
        <w:rPr>
          <w:szCs w:val="24"/>
          <w:lang w:eastAsia="en-US"/>
        </w:rPr>
        <w:t xml:space="preserve"> underrette den berørte person for at sikre udøvelsen af grundlæggende rettigheder såsom retten til at blive hørt og til at anfægte afgørelserne ved de kompetente nationale domstole.</w:t>
      </w:r>
      <w:r w:rsidR="00E05383">
        <w:rPr>
          <w:b/>
          <w:szCs w:val="24"/>
          <w:lang w:eastAsia="en-US"/>
        </w:rPr>
        <w:t xml:space="preserve"> [Ændring 6]</w:t>
      </w:r>
    </w:p>
    <w:p w14:paraId="13599487" w14:textId="77777777" w:rsidR="005813C0" w:rsidRDefault="005813C0">
      <w:pPr>
        <w:widowControl/>
        <w:rPr>
          <w:szCs w:val="24"/>
          <w:lang w:eastAsia="en-US"/>
        </w:rPr>
      </w:pPr>
      <w:r>
        <w:rPr>
          <w:szCs w:val="24"/>
          <w:lang w:eastAsia="en-US"/>
        </w:rPr>
        <w:br w:type="page"/>
      </w:r>
    </w:p>
    <w:p w14:paraId="15F17B04" w14:textId="76AA43E6"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22)</w:t>
      </w:r>
      <w:r w:rsidR="002E7AF0" w:rsidRPr="002E7AF0">
        <w:rPr>
          <w:szCs w:val="24"/>
          <w:lang w:eastAsia="en-US"/>
        </w:rPr>
        <w:tab/>
        <w:t xml:space="preserve">Medlemsstaterne bør sikre, at der findes passende </w:t>
      </w:r>
      <w:proofErr w:type="spellStart"/>
      <w:r w:rsidR="002E7AF0" w:rsidRPr="002E7AF0">
        <w:rPr>
          <w:szCs w:val="24"/>
          <w:lang w:eastAsia="en-US"/>
        </w:rPr>
        <w:t>retsmidler</w:t>
      </w:r>
      <w:proofErr w:type="spellEnd"/>
      <w:r w:rsidR="002E7AF0" w:rsidRPr="002E7AF0">
        <w:rPr>
          <w:szCs w:val="24"/>
          <w:lang w:eastAsia="en-US"/>
        </w:rPr>
        <w:t xml:space="preserve"> mod foranstaltninger, der træffes i henhold til dette direktiv, svarende til dem, der findes i lignende nationale sager, og at der gives oplysninger om sådanne </w:t>
      </w:r>
      <w:proofErr w:type="spellStart"/>
      <w:r w:rsidR="002E7AF0" w:rsidRPr="002E7AF0">
        <w:rPr>
          <w:szCs w:val="24"/>
          <w:lang w:eastAsia="en-US"/>
        </w:rPr>
        <w:t>retsmidler</w:t>
      </w:r>
      <w:proofErr w:type="spellEnd"/>
      <w:r w:rsidR="002E7AF0" w:rsidRPr="002E7AF0">
        <w:rPr>
          <w:szCs w:val="24"/>
          <w:lang w:eastAsia="en-US"/>
        </w:rPr>
        <w:t xml:space="preserve">, når disse </w:t>
      </w:r>
      <w:proofErr w:type="spellStart"/>
      <w:r w:rsidR="002E7AF0" w:rsidRPr="002E7AF0">
        <w:rPr>
          <w:szCs w:val="24"/>
          <w:lang w:eastAsia="en-US"/>
        </w:rPr>
        <w:t>retsmidler</w:t>
      </w:r>
      <w:proofErr w:type="spellEnd"/>
      <w:r w:rsidR="002E7AF0" w:rsidRPr="002E7AF0">
        <w:rPr>
          <w:szCs w:val="24"/>
          <w:lang w:eastAsia="en-US"/>
        </w:rPr>
        <w:t xml:space="preserve"> finder anvendelse, og i god tid for at sikre, at de kan anvendes effektivt. Det bør dog præciseres, at den frakendelse af førerretten, der er meddelt i henhold til artikel 4, stk. 1, kun kan anfægtes ved et søgsmål anlagt i overtrædelsesmedlemsstaten.</w:t>
      </w:r>
    </w:p>
    <w:p w14:paraId="6C08FFBF" w14:textId="7CFBD0B4"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23)</w:t>
      </w:r>
      <w:r w:rsidR="002E7AF0" w:rsidRPr="002E7AF0">
        <w:rPr>
          <w:szCs w:val="24"/>
          <w:lang w:eastAsia="en-US"/>
        </w:rPr>
        <w:tab/>
        <w:t>Beskyttelse af fysiske personer i forbindelse med behandling af deres personoplysninger er en grundlæggende rettighed. I overensstemmelse med artikel 8, stk. 1, i Den Europæiske Unions charter om grundlæggende rettigheder</w:t>
      </w:r>
      <w:r w:rsidR="002E7AF0" w:rsidRPr="002E7AF0">
        <w:rPr>
          <w:szCs w:val="24"/>
          <w:vertAlign w:val="superscript"/>
          <w:lang w:val="en-GB" w:eastAsia="en-US"/>
        </w:rPr>
        <w:footnoteReference w:id="6"/>
      </w:r>
      <w:r w:rsidR="002E7AF0" w:rsidRPr="002E7AF0">
        <w:rPr>
          <w:szCs w:val="24"/>
          <w:lang w:eastAsia="en-US"/>
        </w:rPr>
        <w:t xml:space="preserve"> og artikel 16, stk. 1, i traktaten har enhver ret til beskyttelse af personoplysninger, der vedrører den pågældende. Den relevante EU-lovgivning, nemlig Europa-Parlamentets og Rådets forordning (EU) 2016/679</w:t>
      </w:r>
      <w:r w:rsidR="002E7AF0" w:rsidRPr="002E7AF0">
        <w:rPr>
          <w:szCs w:val="24"/>
          <w:vertAlign w:val="superscript"/>
          <w:lang w:val="en-GB" w:eastAsia="en-US"/>
        </w:rPr>
        <w:footnoteReference w:id="7"/>
      </w:r>
      <w:r w:rsidR="002E7AF0" w:rsidRPr="002E7AF0">
        <w:rPr>
          <w:szCs w:val="24"/>
          <w:lang w:eastAsia="en-US"/>
        </w:rPr>
        <w:t xml:space="preserve"> og Europa-Parlamentets og Rådets direktiv (EU) 2016/680</w:t>
      </w:r>
      <w:r w:rsidR="002E7AF0" w:rsidRPr="002E7AF0">
        <w:rPr>
          <w:szCs w:val="24"/>
          <w:vertAlign w:val="superscript"/>
          <w:lang w:val="en-GB" w:eastAsia="en-US"/>
        </w:rPr>
        <w:footnoteReference w:id="8"/>
      </w:r>
      <w:r w:rsidR="002E7AF0" w:rsidRPr="002E7AF0">
        <w:rPr>
          <w:szCs w:val="24"/>
          <w:lang w:eastAsia="en-US"/>
        </w:rPr>
        <w:t>, bør finde anvendelse på behandlingen af personoplysninger i forbindelse med dette direktiv i overensstemmelse med deres respektive anvendelsesområde.</w:t>
      </w:r>
    </w:p>
    <w:p w14:paraId="1AE75444" w14:textId="77777777" w:rsidR="005813C0" w:rsidRDefault="005813C0">
      <w:pPr>
        <w:widowControl/>
        <w:rPr>
          <w:szCs w:val="24"/>
          <w:lang w:eastAsia="en-US"/>
        </w:rPr>
      </w:pPr>
      <w:r>
        <w:rPr>
          <w:szCs w:val="24"/>
          <w:lang w:eastAsia="en-US"/>
        </w:rPr>
        <w:br w:type="page"/>
      </w:r>
    </w:p>
    <w:p w14:paraId="3048448A" w14:textId="638276DC"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24)</w:t>
      </w:r>
      <w:r w:rsidR="002E7AF0" w:rsidRPr="002E7AF0">
        <w:rPr>
          <w:szCs w:val="24"/>
          <w:lang w:eastAsia="en-US"/>
        </w:rPr>
        <w:tab/>
        <w:t>Med dette direktiv fastlægges retsgrundlaget for udveksling af personoplysninger med henblik på gennemførelse af frakendelser af førerretten, der er pålagt af en anden medlemsstat end udstedelsesmedlemsstaten. Dette retsgrundlag er i overensstemmelse med artikel 6, stk. 1, litra c), og, hvor det er relevant, artikel 10 i forordning 2016/679 og artikel 8 i direktiv 2016/680. De personoplysninger, der skal udveksles med udstedelsesmedlemsstaten, bør begrænses til, hvad der er nødvendigt for at opfylde forpligtelserne i dette direktiv.</w:t>
      </w:r>
    </w:p>
    <w:p w14:paraId="5F7A293D" w14:textId="1F16BE4D" w:rsidR="002E7AF0" w:rsidRPr="002E7AF0" w:rsidRDefault="008A4472" w:rsidP="002E7AF0">
      <w:pPr>
        <w:spacing w:before="120" w:after="120" w:line="360" w:lineRule="auto"/>
        <w:ind w:left="850" w:hanging="850"/>
        <w:rPr>
          <w:b/>
          <w:szCs w:val="24"/>
          <w:lang w:eastAsia="en-US"/>
        </w:rPr>
      </w:pPr>
      <w:r>
        <w:rPr>
          <w:szCs w:val="24"/>
          <w:lang w:eastAsia="en-US"/>
        </w:rPr>
        <w:t>(</w:t>
      </w:r>
      <w:r w:rsidR="002E7AF0" w:rsidRPr="002E7AF0">
        <w:rPr>
          <w:szCs w:val="24"/>
          <w:lang w:eastAsia="en-US"/>
        </w:rPr>
        <w:t>25)</w:t>
      </w:r>
      <w:r w:rsidR="002E7AF0" w:rsidRPr="002E7AF0">
        <w:rPr>
          <w:szCs w:val="24"/>
          <w:lang w:eastAsia="en-US"/>
        </w:rPr>
        <w:tab/>
        <w:t>For at sikre en problemfri, pålidelig og effektiv udveksling af oplysninger</w:t>
      </w:r>
      <w:r w:rsidR="002E7AF0" w:rsidRPr="002E7AF0">
        <w:rPr>
          <w:b/>
          <w:i/>
          <w:szCs w:val="24"/>
          <w:lang w:eastAsia="en-US"/>
        </w:rPr>
        <w:t xml:space="preserve"> via RESPER</w:t>
      </w:r>
      <w:r w:rsidR="002E7AF0" w:rsidRPr="002E7AF0">
        <w:rPr>
          <w:szCs w:val="24"/>
          <w:lang w:eastAsia="en-US"/>
        </w:rPr>
        <w:t xml:space="preserve"> bør hver medlemsstat udpege et nationalt kontaktpunkt med henblik på dette direktiv. Medlemsstaterne bør endvidere sikre, at deres respektive nationale kontaktpunkter samarbejder med de relevante myndigheder, der er involveret i håndhævelsen af de frakendelser af førerretten, som er omfattet af dette direktiv, navnlig for at sikre, at alle nødvendige oplysninger udveksles rettidigt.</w:t>
      </w:r>
      <w:r w:rsidR="00E05383">
        <w:rPr>
          <w:b/>
          <w:szCs w:val="24"/>
          <w:lang w:eastAsia="en-US"/>
        </w:rPr>
        <w:t xml:space="preserve"> [Ændring 7]</w:t>
      </w:r>
    </w:p>
    <w:p w14:paraId="6C910200" w14:textId="77777777" w:rsidR="005813C0" w:rsidRDefault="005813C0">
      <w:pPr>
        <w:widowControl/>
        <w:rPr>
          <w:szCs w:val="24"/>
          <w:lang w:eastAsia="en-US"/>
        </w:rPr>
      </w:pPr>
      <w:r>
        <w:rPr>
          <w:szCs w:val="24"/>
          <w:lang w:eastAsia="en-US"/>
        </w:rPr>
        <w:br w:type="page"/>
      </w:r>
    </w:p>
    <w:p w14:paraId="6C8CF175" w14:textId="468F446C"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26)</w:t>
      </w:r>
      <w:r w:rsidR="002E7AF0" w:rsidRPr="002E7AF0">
        <w:rPr>
          <w:szCs w:val="24"/>
          <w:lang w:eastAsia="en-US"/>
        </w:rPr>
        <w:tab/>
        <w:t>Medlemsstaterne bør regelmæssigt indsamle omfattende statistikker om anvendelsen af dette direktiv og hvert år sende dem til Kommissionen. På grundlag af disse og andre oplysninger bør Kommissionen evaluere virkningen af gennemførelsen af dette direktiv på trafiksikkerheden og hvert femte år forelægge Europa-Parlamentet og Rådet en rapport om resultaterne af denne evaluering, eventuelt ledsaget af lovgivningsmæssige forslag til ændring heraf.</w:t>
      </w:r>
    </w:p>
    <w:p w14:paraId="76180FB5" w14:textId="02907DD1" w:rsidR="002E7AF0" w:rsidRPr="002E7AF0" w:rsidRDefault="002E7AF0" w:rsidP="002E7AF0">
      <w:pPr>
        <w:spacing w:before="120" w:after="120" w:line="360" w:lineRule="auto"/>
        <w:ind w:left="850" w:hanging="850"/>
        <w:rPr>
          <w:b/>
          <w:szCs w:val="24"/>
          <w:lang w:eastAsia="en-US"/>
        </w:rPr>
      </w:pPr>
      <w:r w:rsidRPr="002E7AF0">
        <w:rPr>
          <w:b/>
          <w:i/>
          <w:szCs w:val="24"/>
          <w:lang w:eastAsia="en-US"/>
        </w:rPr>
        <w:t>(26a)</w:t>
      </w:r>
      <w:r w:rsidRPr="002E7AF0">
        <w:rPr>
          <w:szCs w:val="24"/>
          <w:lang w:eastAsia="en-US"/>
        </w:rPr>
        <w:tab/>
      </w:r>
      <w:r w:rsidRPr="002E7AF0">
        <w:rPr>
          <w:b/>
          <w:i/>
          <w:szCs w:val="24"/>
          <w:lang w:eastAsia="en-US"/>
        </w:rPr>
        <w:t>Under forberedelserne til revisionen af dette direktiv bør Kommissionen i videst muligt omfang tage hensyn til, at medlemsstaterne står over for forskellige geografiske og samfundsmæssige udfordringer, når de sigter mod at forbedre trafiksikkerheden. Selv om det er lykkedes for nogle medlemsstater at håndhæve færdselsreglerne gennem systemer med klip, vælger andre forskellige metoder, såsom straks at pålægge strengere sanktioner eller gøre en større indsats for at gennemføre målrettede håndhævelses- og forebyggelseskampagner. Desuden bør der også tages hensyn til, at systemerne med klip kan være meget forskellige i de medlemsstater, der vælger at anvende dem. Ressourcer og opmærksomhed bør derfor rettes mod andre foranstaltninger, som kan øge trafiksikkerheden, samtidig med at medlemsstaterne får mulighed for at tackle de forskellige udfordringer, de står over for, på en måde, som de mener er mest effektive.</w:t>
      </w:r>
      <w:r w:rsidR="00E05383">
        <w:rPr>
          <w:b/>
          <w:szCs w:val="24"/>
          <w:lang w:eastAsia="en-US"/>
        </w:rPr>
        <w:t xml:space="preserve"> [Ændring 51]</w:t>
      </w:r>
    </w:p>
    <w:p w14:paraId="271C6EE6" w14:textId="77777777" w:rsidR="005813C0" w:rsidRDefault="005813C0">
      <w:pPr>
        <w:widowControl/>
        <w:rPr>
          <w:szCs w:val="24"/>
          <w:lang w:eastAsia="en-US"/>
        </w:rPr>
      </w:pPr>
      <w:r>
        <w:rPr>
          <w:szCs w:val="24"/>
          <w:lang w:eastAsia="en-US"/>
        </w:rPr>
        <w:br w:type="page"/>
      </w:r>
    </w:p>
    <w:p w14:paraId="141F9CDA" w14:textId="0140C2C6"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27)</w:t>
      </w:r>
      <w:r w:rsidR="002E7AF0" w:rsidRPr="002E7AF0">
        <w:rPr>
          <w:szCs w:val="24"/>
          <w:lang w:eastAsia="en-US"/>
        </w:rPr>
        <w:tab/>
        <w:t>Dette direktiv bør ikke berøre de rettigheder og forpligtelser, der følger af anden gældende EU-lovgivning, navnlig Rådets rammeafgørelse 2008/947/RIA</w:t>
      </w:r>
      <w:r w:rsidR="002E7AF0" w:rsidRPr="002E7AF0">
        <w:rPr>
          <w:szCs w:val="24"/>
          <w:vertAlign w:val="superscript"/>
          <w:lang w:val="en-GB" w:eastAsia="en-US"/>
        </w:rPr>
        <w:footnoteReference w:id="9"/>
      </w:r>
      <w:r w:rsidR="002E7AF0" w:rsidRPr="002E7AF0">
        <w:rPr>
          <w:szCs w:val="24"/>
          <w:lang w:eastAsia="en-US"/>
        </w:rPr>
        <w:t xml:space="preserve"> og Rådets rammeafgørelse 2005/214/RIA</w:t>
      </w:r>
      <w:r w:rsidR="002E7AF0" w:rsidRPr="002E7AF0">
        <w:rPr>
          <w:szCs w:val="24"/>
          <w:vertAlign w:val="superscript"/>
          <w:lang w:val="en-GB" w:eastAsia="en-US"/>
        </w:rPr>
        <w:footnoteReference w:id="10"/>
      </w:r>
      <w:r w:rsidR="002E7AF0" w:rsidRPr="002E7AF0">
        <w:rPr>
          <w:szCs w:val="24"/>
          <w:lang w:eastAsia="en-US"/>
        </w:rPr>
        <w:t>, eller mistænktes og tiltaltes rettigheder som fastsat i direktiv 2010/64/EU</w:t>
      </w:r>
      <w:r w:rsidR="002E7AF0" w:rsidRPr="002E7AF0">
        <w:rPr>
          <w:szCs w:val="24"/>
          <w:vertAlign w:val="superscript"/>
          <w:lang w:val="en-GB" w:eastAsia="en-US"/>
        </w:rPr>
        <w:footnoteReference w:id="11"/>
      </w:r>
      <w:r w:rsidR="002E7AF0" w:rsidRPr="002E7AF0">
        <w:rPr>
          <w:szCs w:val="24"/>
          <w:lang w:eastAsia="en-US"/>
        </w:rPr>
        <w:t>, direktiv 2012/13/EU</w:t>
      </w:r>
      <w:r w:rsidR="002E7AF0" w:rsidRPr="002E7AF0">
        <w:rPr>
          <w:szCs w:val="24"/>
          <w:vertAlign w:val="superscript"/>
          <w:lang w:val="en-GB" w:eastAsia="en-US"/>
        </w:rPr>
        <w:footnoteReference w:id="12"/>
      </w:r>
      <w:r w:rsidR="002E7AF0" w:rsidRPr="002E7AF0">
        <w:rPr>
          <w:szCs w:val="24"/>
          <w:lang w:eastAsia="en-US"/>
        </w:rPr>
        <w:t>, direktiv 2013/48/EU</w:t>
      </w:r>
      <w:r w:rsidR="002E7AF0" w:rsidRPr="002E7AF0">
        <w:rPr>
          <w:szCs w:val="24"/>
          <w:vertAlign w:val="superscript"/>
          <w:lang w:val="en-GB" w:eastAsia="en-US"/>
        </w:rPr>
        <w:footnoteReference w:id="13"/>
      </w:r>
      <w:r w:rsidR="002E7AF0" w:rsidRPr="002E7AF0">
        <w:rPr>
          <w:szCs w:val="24"/>
          <w:lang w:eastAsia="en-US"/>
        </w:rPr>
        <w:t>, direktiv (EU) 2016/343</w:t>
      </w:r>
      <w:r w:rsidR="002E7AF0" w:rsidRPr="002E7AF0">
        <w:rPr>
          <w:szCs w:val="24"/>
          <w:vertAlign w:val="superscript"/>
          <w:lang w:val="en-GB" w:eastAsia="en-US"/>
        </w:rPr>
        <w:footnoteReference w:id="14"/>
      </w:r>
      <w:r w:rsidR="002E7AF0" w:rsidRPr="002E7AF0">
        <w:rPr>
          <w:szCs w:val="24"/>
          <w:lang w:eastAsia="en-US"/>
        </w:rPr>
        <w:t>, direktiv (EU) 2016/800</w:t>
      </w:r>
      <w:r w:rsidR="002E7AF0" w:rsidRPr="002E7AF0">
        <w:rPr>
          <w:szCs w:val="24"/>
          <w:vertAlign w:val="superscript"/>
          <w:lang w:val="en-GB" w:eastAsia="en-US"/>
        </w:rPr>
        <w:footnoteReference w:id="15"/>
      </w:r>
      <w:r w:rsidR="002E7AF0" w:rsidRPr="002E7AF0">
        <w:rPr>
          <w:szCs w:val="24"/>
          <w:lang w:eastAsia="en-US"/>
        </w:rPr>
        <w:t xml:space="preserve"> og Europa-Parlamentets og Rådets direktiv (EU) 2016/1919</w:t>
      </w:r>
      <w:r w:rsidR="002E7AF0" w:rsidRPr="002E7AF0">
        <w:rPr>
          <w:szCs w:val="24"/>
          <w:vertAlign w:val="superscript"/>
          <w:lang w:val="en-GB" w:eastAsia="en-US"/>
        </w:rPr>
        <w:footnoteReference w:id="16"/>
      </w:r>
      <w:r w:rsidR="002E7AF0" w:rsidRPr="002E7AF0">
        <w:rPr>
          <w:szCs w:val="24"/>
          <w:lang w:eastAsia="en-US"/>
        </w:rPr>
        <w:t>.</w:t>
      </w:r>
    </w:p>
    <w:p w14:paraId="4251481A" w14:textId="77777777" w:rsidR="005813C0" w:rsidRDefault="005813C0">
      <w:pPr>
        <w:widowControl/>
        <w:rPr>
          <w:szCs w:val="24"/>
          <w:lang w:eastAsia="en-US"/>
        </w:rPr>
      </w:pPr>
      <w:r>
        <w:rPr>
          <w:szCs w:val="24"/>
          <w:lang w:eastAsia="en-US"/>
        </w:rPr>
        <w:br w:type="page"/>
      </w:r>
    </w:p>
    <w:p w14:paraId="1BD101AF" w14:textId="2C7CC9BF"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28)</w:t>
      </w:r>
      <w:r w:rsidR="002E7AF0" w:rsidRPr="002E7AF0">
        <w:rPr>
          <w:szCs w:val="24"/>
          <w:lang w:eastAsia="en-US"/>
        </w:rPr>
        <w:tab/>
        <w:t>Medlemsstaterne bør kunne indgå bilaterale eller multilaterale aftaler eller ordninger med andre medlemsstater for at supplere og lette det system, der indføres ved dette direktiv. De bør dog kun gøre dette, for så vidt som sådanne aftaler eller ordninger giver mulighed for at forlænge eller udvide bestemmelserne i dette direktiv og bidrager til yderligere at forenkle eller lette procedurerne for at give frakendelser af førerretten en EU-dækkende virkning, og dermed for så vidt som de giver mulighed for et højere trafiksikkerhedsniveau.</w:t>
      </w:r>
    </w:p>
    <w:p w14:paraId="3C3A49AD" w14:textId="4A54777C"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29)</w:t>
      </w:r>
      <w:r w:rsidR="002E7AF0" w:rsidRPr="002E7AF0">
        <w:rPr>
          <w:szCs w:val="24"/>
          <w:lang w:eastAsia="en-US"/>
        </w:rPr>
        <w:tab/>
        <w:t>For at sikre ensartede betingelser for gennemførelsen af dette direktiv bør Kommissionen tillægges gennemførelsesbeføjelser til fastsættelse af format og indhold af standardcertifikatet for meddelelsen af en frakendelse af førerretten. Disse beføjelser bør udøves i overensstemmelse med Europa-Parlamentets og Rådets forordning (EU) nr. 182/2011</w:t>
      </w:r>
      <w:r w:rsidR="002E7AF0" w:rsidRPr="002E7AF0">
        <w:rPr>
          <w:szCs w:val="24"/>
          <w:vertAlign w:val="superscript"/>
          <w:lang w:val="en-GB" w:eastAsia="en-US"/>
        </w:rPr>
        <w:footnoteReference w:id="17"/>
      </w:r>
      <w:r w:rsidR="002E7AF0" w:rsidRPr="002E7AF0">
        <w:rPr>
          <w:szCs w:val="24"/>
          <w:lang w:eastAsia="en-US"/>
        </w:rPr>
        <w:t>.</w:t>
      </w:r>
    </w:p>
    <w:p w14:paraId="3780D8B4" w14:textId="77777777" w:rsidR="005813C0" w:rsidRDefault="005813C0">
      <w:pPr>
        <w:widowControl/>
        <w:rPr>
          <w:szCs w:val="24"/>
          <w:lang w:eastAsia="en-US"/>
        </w:rPr>
      </w:pPr>
      <w:r>
        <w:rPr>
          <w:szCs w:val="24"/>
          <w:lang w:eastAsia="en-US"/>
        </w:rPr>
        <w:br w:type="page"/>
      </w:r>
    </w:p>
    <w:p w14:paraId="2329470B" w14:textId="143FD6F3" w:rsidR="002E7AF0" w:rsidRPr="002E7AF0" w:rsidRDefault="008A4472" w:rsidP="002E7AF0">
      <w:pPr>
        <w:spacing w:before="120" w:after="120" w:line="360" w:lineRule="auto"/>
        <w:ind w:left="850" w:hanging="850"/>
        <w:rPr>
          <w:szCs w:val="24"/>
          <w:lang w:eastAsia="en-US"/>
        </w:rPr>
      </w:pPr>
      <w:r>
        <w:rPr>
          <w:szCs w:val="24"/>
          <w:lang w:eastAsia="en-US"/>
        </w:rPr>
        <w:lastRenderedPageBreak/>
        <w:t>(</w:t>
      </w:r>
      <w:r w:rsidR="002E7AF0" w:rsidRPr="002E7AF0">
        <w:rPr>
          <w:szCs w:val="24"/>
          <w:lang w:eastAsia="en-US"/>
        </w:rPr>
        <w:t>30)</w:t>
      </w:r>
      <w:r w:rsidR="002E7AF0" w:rsidRPr="002E7AF0">
        <w:rPr>
          <w:szCs w:val="24"/>
          <w:lang w:eastAsia="en-US"/>
        </w:rPr>
        <w:tab/>
        <w:t xml:space="preserve">Målet for dette direktiv, nemlig at sikre den EU-dækkende virkning af afgørelser om frakendelser af førerretten, som skyldes alvorlige trafiksikkerhedsrelaterede færdselslovsovertrædelser, med henblik på at forbedre trafiksikkerheden i hele </w:t>
      </w:r>
      <w:r w:rsidR="00C65561">
        <w:rPr>
          <w:szCs w:val="24"/>
          <w:lang w:eastAsia="en-US"/>
        </w:rPr>
        <w:t>Unionen</w:t>
      </w:r>
      <w:r w:rsidR="002E7AF0" w:rsidRPr="002E7AF0">
        <w:rPr>
          <w:szCs w:val="24"/>
          <w:lang w:eastAsia="en-US"/>
        </w:rPr>
        <w:t xml:space="preserve">, kan ikke i tilstrækkelig grad opfyldes af medlemsstaterne, men kan på grund af direktivets omfang og virkninger bedre nås på EU-plan. </w:t>
      </w:r>
      <w:r w:rsidR="00C65561">
        <w:rPr>
          <w:szCs w:val="24"/>
          <w:lang w:eastAsia="en-US"/>
        </w:rPr>
        <w:t>Unionen</w:t>
      </w:r>
      <w:r w:rsidR="002E7AF0" w:rsidRPr="002E7AF0">
        <w:rPr>
          <w:szCs w:val="24"/>
          <w:lang w:eastAsia="en-US"/>
        </w:rPr>
        <w:t xml:space="preserve"> kan derfor vedtage foranstaltninger i overensstemmelse med nærhedsprincippet, jf. artikel 5 i traktaten om Den Europæiske Union</w:t>
      </w:r>
      <w:r w:rsidR="002E7AF0" w:rsidRPr="002E7AF0">
        <w:rPr>
          <w:szCs w:val="24"/>
          <w:vertAlign w:val="superscript"/>
          <w:lang w:val="en-GB" w:eastAsia="en-US"/>
        </w:rPr>
        <w:footnoteReference w:id="18"/>
      </w:r>
      <w:r w:rsidR="002E7AF0" w:rsidRPr="002E7AF0">
        <w:rPr>
          <w:szCs w:val="24"/>
          <w:lang w:eastAsia="en-US"/>
        </w:rPr>
        <w:t>. I overensstemmelse med proportionalitetsprincippet, jf. nævnte artikel, går dette direktiv ikke videre, end hvad der er nødvendigt for at nå disse mål.</w:t>
      </w:r>
    </w:p>
    <w:p w14:paraId="019738A2" w14:textId="1F9A7C5E" w:rsidR="002E7AF0" w:rsidRPr="002E7AF0" w:rsidRDefault="008A4472" w:rsidP="002E7AF0">
      <w:pPr>
        <w:spacing w:before="120" w:after="120" w:line="360" w:lineRule="auto"/>
        <w:ind w:left="850" w:hanging="850"/>
        <w:rPr>
          <w:szCs w:val="24"/>
          <w:lang w:eastAsia="en-US"/>
        </w:rPr>
      </w:pPr>
      <w:r>
        <w:rPr>
          <w:szCs w:val="24"/>
          <w:lang w:eastAsia="en-US"/>
        </w:rPr>
        <w:t>(</w:t>
      </w:r>
      <w:r w:rsidR="002E7AF0" w:rsidRPr="002E7AF0">
        <w:rPr>
          <w:szCs w:val="24"/>
          <w:lang w:eastAsia="en-US"/>
        </w:rPr>
        <w:t>31)</w:t>
      </w:r>
      <w:r w:rsidR="002E7AF0" w:rsidRPr="002E7AF0">
        <w:rPr>
          <w:szCs w:val="24"/>
          <w:lang w:eastAsia="en-US"/>
        </w:rPr>
        <w:tab/>
        <w:t>Den Europæiske Tilsynsførende for Databeskyttelse blev hørt i overensstemmelse med artikel 42, stk. 1, i Europa-Parlamentets og Rådets forordning (EU) 2018/1725</w:t>
      </w:r>
      <w:r w:rsidR="002E7AF0" w:rsidRPr="002E7AF0">
        <w:rPr>
          <w:szCs w:val="24"/>
          <w:vertAlign w:val="superscript"/>
          <w:lang w:val="en-GB" w:eastAsia="en-US"/>
        </w:rPr>
        <w:footnoteReference w:id="19"/>
      </w:r>
      <w:r w:rsidR="002E7AF0" w:rsidRPr="002E7AF0">
        <w:rPr>
          <w:szCs w:val="24"/>
          <w:lang w:eastAsia="en-US"/>
        </w:rPr>
        <w:t xml:space="preserve"> og afgav udtalelse den </w:t>
      </w:r>
      <w:r w:rsidR="002E7AF0" w:rsidRPr="002E7AF0">
        <w:rPr>
          <w:b/>
          <w:i/>
          <w:szCs w:val="24"/>
          <w:lang w:eastAsia="en-US"/>
        </w:rPr>
        <w:t xml:space="preserve">... </w:t>
      </w:r>
      <w:r w:rsidR="002E7AF0" w:rsidRPr="002E7AF0">
        <w:rPr>
          <w:szCs w:val="24"/>
          <w:lang w:eastAsia="en-US"/>
        </w:rPr>
        <w:t>[DD/MM/ÅÅÅÅ] —</w:t>
      </w:r>
    </w:p>
    <w:p w14:paraId="216444D8" w14:textId="77777777" w:rsidR="002E7AF0" w:rsidRPr="002E7AF0" w:rsidRDefault="002E7AF0" w:rsidP="002E7AF0">
      <w:pPr>
        <w:keepNext/>
        <w:widowControl/>
        <w:spacing w:before="120" w:after="120" w:line="360" w:lineRule="auto"/>
        <w:rPr>
          <w:szCs w:val="24"/>
          <w:lang w:eastAsia="en-US"/>
        </w:rPr>
      </w:pPr>
      <w:r w:rsidRPr="002E7AF0">
        <w:rPr>
          <w:szCs w:val="24"/>
          <w:lang w:eastAsia="en-US"/>
        </w:rPr>
        <w:t>VEDTAGET DETTE DIREKTIV:</w:t>
      </w:r>
    </w:p>
    <w:p w14:paraId="3AE8E5FB" w14:textId="77777777" w:rsidR="005813C0" w:rsidRDefault="005813C0">
      <w:pPr>
        <w:widowControl/>
        <w:rPr>
          <w:szCs w:val="24"/>
          <w:lang w:eastAsia="en-US"/>
        </w:rPr>
      </w:pPr>
      <w:r>
        <w:rPr>
          <w:szCs w:val="24"/>
          <w:lang w:eastAsia="en-US"/>
        </w:rPr>
        <w:br w:type="page"/>
      </w:r>
    </w:p>
    <w:p w14:paraId="1EB1C978" w14:textId="650639EB"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w:t>
      </w:r>
      <w:r w:rsidRPr="002E7AF0">
        <w:rPr>
          <w:strike/>
          <w:szCs w:val="24"/>
          <w:lang w:eastAsia="en-US"/>
        </w:rPr>
        <w:t>.</w:t>
      </w:r>
      <w:r w:rsidRPr="002E7AF0">
        <w:rPr>
          <w:szCs w:val="24"/>
          <w:lang w:eastAsia="en-US"/>
        </w:rPr>
        <w:br/>
        <w:t>Formål og genstand</w:t>
      </w:r>
    </w:p>
    <w:p w14:paraId="258ACC03" w14:textId="7025D502" w:rsidR="002E7AF0" w:rsidRPr="002E7AF0" w:rsidRDefault="002E7AF0" w:rsidP="002E7AF0">
      <w:pPr>
        <w:spacing w:before="120" w:after="120" w:line="360" w:lineRule="auto"/>
        <w:rPr>
          <w:szCs w:val="24"/>
          <w:lang w:eastAsia="en-US"/>
        </w:rPr>
      </w:pPr>
      <w:r w:rsidRPr="002E7AF0">
        <w:rPr>
          <w:szCs w:val="24"/>
          <w:lang w:eastAsia="en-US"/>
        </w:rPr>
        <w:t xml:space="preserve">Dette direktiv har til formål at sikre et højt beskyttelsesniveau for alle trafikanter i </w:t>
      </w:r>
      <w:r w:rsidR="00C65561">
        <w:rPr>
          <w:szCs w:val="24"/>
          <w:lang w:eastAsia="en-US"/>
        </w:rPr>
        <w:t>Unionen</w:t>
      </w:r>
      <w:r w:rsidRPr="002E7AF0">
        <w:rPr>
          <w:szCs w:val="24"/>
          <w:lang w:eastAsia="en-US"/>
        </w:rPr>
        <w:t>. Til dette formål indeholder direktivet regler til sikring af en EU-dækkende virkning af frakendelser af førerretten i forbindelse med alvorlige trafiksikkerhedsrelaterede færdselslovsovertrædelser begået i en anden medlemsstat end den, der har udstedt den berørte persons kørekort.</w:t>
      </w:r>
    </w:p>
    <w:p w14:paraId="58C14EE4"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2</w:t>
      </w:r>
      <w:r w:rsidRPr="002E7AF0">
        <w:rPr>
          <w:szCs w:val="24"/>
          <w:lang w:eastAsia="en-US"/>
        </w:rPr>
        <w:br/>
        <w:t>Definitioner</w:t>
      </w:r>
    </w:p>
    <w:p w14:paraId="0AFC6114" w14:textId="77777777" w:rsidR="002E7AF0" w:rsidRPr="002E7AF0" w:rsidRDefault="002E7AF0" w:rsidP="002E7AF0">
      <w:pPr>
        <w:spacing w:before="120" w:after="120" w:line="360" w:lineRule="auto"/>
        <w:rPr>
          <w:szCs w:val="24"/>
          <w:lang w:eastAsia="en-US"/>
        </w:rPr>
      </w:pPr>
      <w:r w:rsidRPr="002E7AF0">
        <w:rPr>
          <w:szCs w:val="24"/>
          <w:lang w:eastAsia="en-US"/>
        </w:rPr>
        <w:t>I dette direktiv forstås ved:</w:t>
      </w:r>
    </w:p>
    <w:p w14:paraId="0F24E8C7"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"frakendelse af førerretten": enhver afgørelse vedrørende en alvorlig trafiksikkerhedsrelateret færdselslovsovertrædelse, som medfører inddragelse, begrænsning eller suspension af kørekortet eller førerretten for en fører af et motorkøretøj, som ikke længere kan påklages, uanset om der er tale om en primær, sekundær eller supplerende sanktion eller en sikkerhedsforanstaltning, og uanset om der er tale om en administrativ eller strafferetlig foranstaltning</w:t>
      </w:r>
    </w:p>
    <w:p w14:paraId="05D76CEB" w14:textId="77777777" w:rsidR="005813C0" w:rsidRDefault="005813C0">
      <w:pPr>
        <w:widowControl/>
        <w:rPr>
          <w:szCs w:val="24"/>
          <w:lang w:eastAsia="en-US"/>
        </w:rPr>
      </w:pPr>
      <w:r>
        <w:rPr>
          <w:szCs w:val="24"/>
          <w:lang w:eastAsia="en-US"/>
        </w:rPr>
        <w:br w:type="page"/>
      </w:r>
    </w:p>
    <w:p w14:paraId="1602C9BA" w14:textId="13CBA075"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2)</w:t>
      </w:r>
      <w:r w:rsidRPr="002E7AF0">
        <w:rPr>
          <w:szCs w:val="24"/>
          <w:lang w:eastAsia="en-US"/>
        </w:rPr>
        <w:tab/>
        <w:t>"inddragelse": tilbagekaldelse af kørekortet eller førerretten eller af anerkendelsen heraf</w:t>
      </w:r>
    </w:p>
    <w:p w14:paraId="0401973A" w14:textId="2600B1A2" w:rsidR="002E7AF0" w:rsidRPr="002E7AF0" w:rsidRDefault="002E7AF0" w:rsidP="002E7AF0">
      <w:pPr>
        <w:spacing w:before="120" w:after="120" w:line="360" w:lineRule="auto"/>
        <w:ind w:left="850" w:hanging="850"/>
        <w:rPr>
          <w:b/>
          <w:szCs w:val="24"/>
          <w:lang w:eastAsia="en-US"/>
        </w:rPr>
      </w:pPr>
      <w:r w:rsidRPr="002E7AF0">
        <w:rPr>
          <w:szCs w:val="24"/>
          <w:lang w:eastAsia="en-US"/>
        </w:rPr>
        <w:t>3)</w:t>
      </w:r>
      <w:r w:rsidRPr="002E7AF0">
        <w:rPr>
          <w:szCs w:val="24"/>
          <w:lang w:eastAsia="en-US"/>
        </w:rPr>
        <w:tab/>
        <w:t>"suspension"</w:t>
      </w:r>
      <w:r w:rsidRPr="002E7AF0">
        <w:rPr>
          <w:strike/>
          <w:szCs w:val="24"/>
          <w:lang w:eastAsia="en-US"/>
        </w:rPr>
        <w:t>:</w:t>
      </w:r>
      <w:r w:rsidRPr="002E7AF0">
        <w:rPr>
          <w:szCs w:val="24"/>
          <w:lang w:eastAsia="en-US"/>
        </w:rPr>
        <w:t xml:space="preserve"> midlertidig begrænsning af gyldigheden af kørekortet eller førerretten eller af anerkendelsen heraf i </w:t>
      </w:r>
      <w:r w:rsidRPr="002E7AF0">
        <w:rPr>
          <w:strike/>
          <w:szCs w:val="24"/>
          <w:lang w:eastAsia="en-US"/>
        </w:rPr>
        <w:t xml:space="preserve">en specifik </w:t>
      </w:r>
      <w:proofErr w:type="spellStart"/>
      <w:r w:rsidRPr="002E7AF0">
        <w:rPr>
          <w:strike/>
          <w:szCs w:val="24"/>
          <w:lang w:eastAsia="en-US"/>
        </w:rPr>
        <w:t>periode</w:t>
      </w:r>
      <w:r w:rsidRPr="002E7AF0">
        <w:rPr>
          <w:b/>
          <w:i/>
          <w:szCs w:val="24"/>
          <w:lang w:eastAsia="en-US"/>
        </w:rPr>
        <w:t>et</w:t>
      </w:r>
      <w:proofErr w:type="spellEnd"/>
      <w:r w:rsidRPr="002E7AF0">
        <w:rPr>
          <w:b/>
          <w:i/>
          <w:szCs w:val="24"/>
          <w:lang w:eastAsia="en-US"/>
        </w:rPr>
        <w:t xml:space="preserve"> specifikt tidsrum</w:t>
      </w:r>
      <w:r w:rsidRPr="002E7AF0">
        <w:rPr>
          <w:szCs w:val="24"/>
          <w:lang w:eastAsia="en-US"/>
        </w:rPr>
        <w:t xml:space="preserve"> eller i </w:t>
      </w:r>
      <w:r w:rsidRPr="002E7AF0">
        <w:rPr>
          <w:strike/>
          <w:szCs w:val="24"/>
          <w:lang w:eastAsia="en-US"/>
        </w:rPr>
        <w:t xml:space="preserve">en specifik </w:t>
      </w:r>
      <w:proofErr w:type="spellStart"/>
      <w:r w:rsidRPr="002E7AF0">
        <w:rPr>
          <w:strike/>
          <w:szCs w:val="24"/>
          <w:lang w:eastAsia="en-US"/>
        </w:rPr>
        <w:t>periode</w:t>
      </w:r>
      <w:r w:rsidRPr="002E7AF0">
        <w:rPr>
          <w:b/>
          <w:i/>
          <w:szCs w:val="24"/>
          <w:lang w:eastAsia="en-US"/>
        </w:rPr>
        <w:t>et</w:t>
      </w:r>
      <w:proofErr w:type="spellEnd"/>
      <w:r w:rsidRPr="002E7AF0">
        <w:rPr>
          <w:b/>
          <w:i/>
          <w:szCs w:val="24"/>
          <w:lang w:eastAsia="en-US"/>
        </w:rPr>
        <w:t xml:space="preserve"> specifikt tidsrum</w:t>
      </w:r>
      <w:r w:rsidRPr="002E7AF0">
        <w:rPr>
          <w:szCs w:val="24"/>
          <w:lang w:eastAsia="en-US"/>
        </w:rPr>
        <w:t xml:space="preserve"> kombineret med opfyldelsen af yderligere betingelser</w:t>
      </w:r>
      <w:r w:rsidR="00E05383">
        <w:rPr>
          <w:b/>
          <w:szCs w:val="24"/>
          <w:lang w:eastAsia="en-US"/>
        </w:rPr>
        <w:t xml:space="preserve"> [Ændring 9]</w:t>
      </w:r>
    </w:p>
    <w:p w14:paraId="4C133774"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4)</w:t>
      </w:r>
      <w:r w:rsidRPr="002E7AF0">
        <w:rPr>
          <w:szCs w:val="24"/>
          <w:lang w:eastAsia="en-US"/>
        </w:rPr>
        <w:tab/>
        <w:t>"begrænsning": delvis begrænsning af gyldigheden af kørekortet eller førerretten eller af anerkendelsen heraf i en specifik periode eller ved opfyldelsen af yderligere betingelser eller en kombination heraf</w:t>
      </w:r>
    </w:p>
    <w:p w14:paraId="18433D80"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5)</w:t>
      </w:r>
      <w:r w:rsidRPr="002E7AF0">
        <w:rPr>
          <w:szCs w:val="24"/>
          <w:lang w:eastAsia="en-US"/>
        </w:rPr>
        <w:tab/>
        <w:t>"yderligere betingelser": andre betingelser end udløbet af en specifik periode, som en person, der er berørt af en frakendelse af førerretten, skal opfylde for at generhverve sin førerret eller sit kørekort</w:t>
      </w:r>
    </w:p>
    <w:p w14:paraId="669B219A" w14:textId="5681DD7A" w:rsidR="002E7AF0" w:rsidRPr="002E7AF0" w:rsidRDefault="002E7AF0" w:rsidP="002E7AF0">
      <w:pPr>
        <w:spacing w:before="120" w:after="120" w:line="360" w:lineRule="auto"/>
        <w:ind w:left="850" w:hanging="850"/>
        <w:rPr>
          <w:b/>
          <w:szCs w:val="24"/>
          <w:lang w:eastAsia="en-US"/>
        </w:rPr>
      </w:pPr>
      <w:r w:rsidRPr="002E7AF0">
        <w:rPr>
          <w:szCs w:val="24"/>
          <w:lang w:eastAsia="en-US"/>
        </w:rPr>
        <w:t>6)</w:t>
      </w:r>
      <w:r w:rsidRPr="002E7AF0">
        <w:rPr>
          <w:szCs w:val="24"/>
          <w:lang w:eastAsia="en-US"/>
        </w:rPr>
        <w:tab/>
        <w:t xml:space="preserve">"overtrædelsesmedlemsstat": den medlemsstat, </w:t>
      </w:r>
      <w:r w:rsidRPr="002E7AF0">
        <w:rPr>
          <w:b/>
          <w:i/>
          <w:szCs w:val="24"/>
          <w:lang w:eastAsia="en-US"/>
        </w:rPr>
        <w:t xml:space="preserve">på hvis område den færdselsforseelse, der har givet anledning til frakendelse af førerretten, blev begået, og hvor denne </w:t>
      </w:r>
      <w:proofErr w:type="spellStart"/>
      <w:r w:rsidRPr="002E7AF0">
        <w:rPr>
          <w:b/>
          <w:i/>
          <w:szCs w:val="24"/>
          <w:lang w:eastAsia="en-US"/>
        </w:rPr>
        <w:t>frakendelse</w:t>
      </w:r>
      <w:r w:rsidRPr="002E7AF0">
        <w:rPr>
          <w:strike/>
          <w:szCs w:val="24"/>
          <w:lang w:eastAsia="en-US"/>
        </w:rPr>
        <w:t>hvor</w:t>
      </w:r>
      <w:proofErr w:type="spellEnd"/>
      <w:r w:rsidRPr="002E7AF0">
        <w:rPr>
          <w:strike/>
          <w:szCs w:val="24"/>
          <w:lang w:eastAsia="en-US"/>
        </w:rPr>
        <w:t xml:space="preserve"> frakendelsen</w:t>
      </w:r>
      <w:r w:rsidRPr="002E7AF0">
        <w:rPr>
          <w:szCs w:val="24"/>
          <w:lang w:eastAsia="en-US"/>
        </w:rPr>
        <w:t xml:space="preserve"> af førerretten blev meddelt</w:t>
      </w:r>
      <w:r w:rsidR="00E05383">
        <w:rPr>
          <w:b/>
          <w:szCs w:val="24"/>
          <w:lang w:eastAsia="en-US"/>
        </w:rPr>
        <w:t xml:space="preserve"> [Ændring 10]</w:t>
      </w:r>
    </w:p>
    <w:p w14:paraId="4C428F3D" w14:textId="77777777" w:rsidR="005813C0" w:rsidRDefault="005813C0">
      <w:pPr>
        <w:widowControl/>
        <w:rPr>
          <w:szCs w:val="24"/>
          <w:lang w:eastAsia="en-US"/>
        </w:rPr>
      </w:pPr>
      <w:r>
        <w:rPr>
          <w:szCs w:val="24"/>
          <w:lang w:eastAsia="en-US"/>
        </w:rPr>
        <w:br w:type="page"/>
      </w:r>
    </w:p>
    <w:p w14:paraId="6865036F" w14:textId="347A20A1"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7)</w:t>
      </w:r>
      <w:r w:rsidRPr="002E7AF0">
        <w:rPr>
          <w:szCs w:val="24"/>
          <w:lang w:eastAsia="en-US"/>
        </w:rPr>
        <w:tab/>
        <w:t>"udstedelsesmedlemsstat": den medlemsstat, der har udstedt den berørte persons kørekort, og som har fået meddelelse om frakendelsen af førerretten i overensstemmelse med bestemmelserne i dette direktiv</w:t>
      </w:r>
    </w:p>
    <w:p w14:paraId="0641A826"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8)</w:t>
      </w:r>
      <w:r w:rsidRPr="002E7AF0">
        <w:rPr>
          <w:szCs w:val="24"/>
          <w:lang w:eastAsia="en-US"/>
        </w:rPr>
        <w:tab/>
        <w:t>"motorkøretøj": et motorkøretøj som defineret i artikel 2, stk. 4, i [NYT DIREKTIV OM KØREKORT]</w:t>
      </w:r>
    </w:p>
    <w:p w14:paraId="1FDC5FB8"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9)</w:t>
      </w:r>
      <w:r w:rsidRPr="002E7AF0">
        <w:rPr>
          <w:szCs w:val="24"/>
          <w:lang w:eastAsia="en-US"/>
        </w:rPr>
        <w:tab/>
        <w:t>"kørekort": et kørekort som defineret i artikel 2, stk. 1, i [NYT DIREKTIV OM KØREKORT]</w:t>
      </w:r>
    </w:p>
    <w:p w14:paraId="6450EC3C" w14:textId="2C7DF213" w:rsidR="002E7AF0" w:rsidRPr="002E7AF0" w:rsidRDefault="002E7AF0" w:rsidP="002E7AF0">
      <w:pPr>
        <w:spacing w:before="120" w:after="120" w:line="360" w:lineRule="auto"/>
        <w:ind w:left="850" w:hanging="850"/>
        <w:rPr>
          <w:b/>
          <w:szCs w:val="24"/>
          <w:lang w:eastAsia="en-US"/>
        </w:rPr>
      </w:pPr>
      <w:r w:rsidRPr="002E7AF0">
        <w:rPr>
          <w:szCs w:val="24"/>
          <w:lang w:eastAsia="en-US"/>
        </w:rPr>
        <w:t>10)</w:t>
      </w:r>
      <w:r w:rsidRPr="002E7AF0">
        <w:rPr>
          <w:szCs w:val="24"/>
          <w:lang w:eastAsia="en-US"/>
        </w:rPr>
        <w:tab/>
        <w:t>"</w:t>
      </w:r>
      <w:proofErr w:type="spellStart"/>
      <w:r w:rsidRPr="002E7AF0">
        <w:rPr>
          <w:strike/>
          <w:szCs w:val="24"/>
          <w:lang w:eastAsia="en-US"/>
        </w:rPr>
        <w:t>berørt</w:t>
      </w:r>
      <w:r w:rsidRPr="002E7AF0">
        <w:rPr>
          <w:b/>
          <w:i/>
          <w:szCs w:val="24"/>
          <w:lang w:eastAsia="en-US"/>
        </w:rPr>
        <w:t>den</w:t>
      </w:r>
      <w:proofErr w:type="spellEnd"/>
      <w:r w:rsidRPr="002E7AF0">
        <w:rPr>
          <w:b/>
          <w:i/>
          <w:szCs w:val="24"/>
          <w:lang w:eastAsia="en-US"/>
        </w:rPr>
        <w:t xml:space="preserve"> ansvarlige</w:t>
      </w:r>
      <w:r w:rsidRPr="002E7AF0">
        <w:rPr>
          <w:szCs w:val="24"/>
          <w:lang w:eastAsia="en-US"/>
        </w:rPr>
        <w:t xml:space="preserve"> person": den fysiske person, som er genstand for en frakendelse af førerretten</w:t>
      </w:r>
      <w:r w:rsidR="00E05383">
        <w:rPr>
          <w:b/>
          <w:szCs w:val="24"/>
          <w:lang w:eastAsia="en-US"/>
        </w:rPr>
        <w:t xml:space="preserve"> [Ændring 11]</w:t>
      </w:r>
    </w:p>
    <w:p w14:paraId="0F83A433"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11)</w:t>
      </w:r>
      <w:r w:rsidRPr="002E7AF0">
        <w:rPr>
          <w:szCs w:val="24"/>
          <w:lang w:eastAsia="en-US"/>
        </w:rPr>
        <w:tab/>
        <w:t>"alvorlig trafiksikkerhedsrelateret færdselslovsovertrædelse":</w:t>
      </w:r>
    </w:p>
    <w:p w14:paraId="483EE94E"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spirituskørsel som defineret i artikel 3, litra g), i Europa-Parlamentets og Rådets forordning (EU) 2015/413</w:t>
      </w:r>
      <w:r w:rsidRPr="002E7AF0">
        <w:rPr>
          <w:szCs w:val="24"/>
          <w:vertAlign w:val="superscript"/>
          <w:lang w:val="en-GB" w:eastAsia="en-US"/>
        </w:rPr>
        <w:footnoteReference w:id="20"/>
      </w:r>
    </w:p>
    <w:p w14:paraId="308938B1"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b)</w:t>
      </w:r>
      <w:r w:rsidRPr="002E7AF0">
        <w:rPr>
          <w:szCs w:val="24"/>
          <w:lang w:eastAsia="en-US"/>
        </w:rPr>
        <w:tab/>
        <w:t>hastighedsoverskridelse som defineret i artikel 3, litra d), i direktiv (EU) 2015/413</w:t>
      </w:r>
    </w:p>
    <w:p w14:paraId="1B50B299"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kørsel under påvirkning af stoffer som defineret i artikel 3, litra h), i direktiv (EU) 2015/413</w:t>
      </w:r>
    </w:p>
    <w:p w14:paraId="6A068502" w14:textId="77777777" w:rsidR="005813C0" w:rsidRDefault="005813C0">
      <w:pPr>
        <w:widowControl/>
        <w:rPr>
          <w:szCs w:val="24"/>
          <w:lang w:eastAsia="en-US"/>
        </w:rPr>
      </w:pPr>
      <w:r>
        <w:rPr>
          <w:szCs w:val="24"/>
          <w:lang w:eastAsia="en-US"/>
        </w:rPr>
        <w:br w:type="page"/>
      </w:r>
    </w:p>
    <w:p w14:paraId="01E05853" w14:textId="307DED54" w:rsidR="002E7AF0" w:rsidRPr="002E7AF0" w:rsidRDefault="002E7AF0" w:rsidP="002E7AF0">
      <w:pPr>
        <w:spacing w:before="120" w:after="120" w:line="360" w:lineRule="auto"/>
        <w:ind w:left="1416" w:hanging="566"/>
        <w:rPr>
          <w:szCs w:val="24"/>
          <w:lang w:eastAsia="en-US"/>
        </w:rPr>
      </w:pPr>
      <w:r w:rsidRPr="002E7AF0">
        <w:rPr>
          <w:szCs w:val="24"/>
          <w:lang w:eastAsia="en-US"/>
        </w:rPr>
        <w:lastRenderedPageBreak/>
        <w:t>d)</w:t>
      </w:r>
      <w:r w:rsidRPr="002E7AF0">
        <w:rPr>
          <w:szCs w:val="24"/>
          <w:lang w:eastAsia="en-US"/>
        </w:rPr>
        <w:tab/>
        <w:t>en adfærd, der er i strid med færdselslovgivningen, og som har dødsfald eller alvorlig legemsbeskadigelse til følge</w:t>
      </w:r>
    </w:p>
    <w:p w14:paraId="16A9193C" w14:textId="26DB8C4F" w:rsidR="002E7AF0" w:rsidRPr="002E7AF0" w:rsidRDefault="002E7AF0" w:rsidP="002E7AF0">
      <w:pPr>
        <w:spacing w:before="120" w:after="120" w:line="360" w:lineRule="auto"/>
        <w:ind w:left="1416" w:hanging="566"/>
        <w:rPr>
          <w:b/>
          <w:szCs w:val="24"/>
          <w:lang w:eastAsia="en-US"/>
        </w:rPr>
      </w:pPr>
      <w:r w:rsidRPr="002E7AF0">
        <w:rPr>
          <w:b/>
          <w:i/>
          <w:szCs w:val="24"/>
          <w:lang w:eastAsia="en-US"/>
        </w:rPr>
        <w:t>da)</w:t>
      </w:r>
      <w:r w:rsidRPr="002E7AF0">
        <w:rPr>
          <w:szCs w:val="24"/>
          <w:lang w:eastAsia="en-US"/>
        </w:rPr>
        <w:tab/>
      </w:r>
      <w:r w:rsidRPr="002E7AF0">
        <w:rPr>
          <w:b/>
          <w:i/>
          <w:szCs w:val="24"/>
          <w:lang w:eastAsia="en-US"/>
        </w:rPr>
        <w:t>kørsel uden gyldigt kørekort som beskrevet i direktiv 2006/126/EF</w:t>
      </w:r>
      <w:r w:rsidR="00E05383">
        <w:rPr>
          <w:b/>
          <w:szCs w:val="24"/>
          <w:lang w:eastAsia="en-US"/>
        </w:rPr>
        <w:t xml:space="preserve"> [Ændring 12]</w:t>
      </w:r>
    </w:p>
    <w:p w14:paraId="7039C54C"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12)</w:t>
      </w:r>
      <w:r w:rsidRPr="002E7AF0">
        <w:rPr>
          <w:szCs w:val="24"/>
          <w:lang w:eastAsia="en-US"/>
        </w:rPr>
        <w:tab/>
        <w:t>"sædvanlig bopæl": sædvanlig bopæl i overensstemmelse med artikel 17 i [NYT DIREKTIV OM KØREKORT].</w:t>
      </w:r>
    </w:p>
    <w:p w14:paraId="7352F5C8"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3</w:t>
      </w:r>
      <w:r w:rsidRPr="002E7AF0">
        <w:rPr>
          <w:szCs w:val="24"/>
          <w:lang w:eastAsia="en-US"/>
        </w:rPr>
        <w:br/>
        <w:t>EU-dækkende virkning af frakendelser af førerretten</w:t>
      </w:r>
    </w:p>
    <w:p w14:paraId="50ABFF8D" w14:textId="663FAEAE" w:rsidR="002E7AF0" w:rsidRPr="002E7AF0" w:rsidRDefault="002E7AF0" w:rsidP="002E7AF0">
      <w:pPr>
        <w:spacing w:before="120" w:after="120" w:line="360" w:lineRule="auto"/>
        <w:rPr>
          <w:b/>
          <w:szCs w:val="24"/>
          <w:lang w:eastAsia="en-US"/>
        </w:rPr>
      </w:pPr>
      <w:r w:rsidRPr="002E7AF0">
        <w:rPr>
          <w:szCs w:val="24"/>
          <w:lang w:eastAsia="en-US"/>
        </w:rPr>
        <w:t xml:space="preserve">Medlemsstaterne sikrer, at en afgørelse om frakendelse af førerretten, der er truffet af en medlemsstat, med hensyn til en person, der </w:t>
      </w:r>
      <w:r w:rsidRPr="002E7AF0">
        <w:rPr>
          <w:b/>
          <w:i/>
          <w:szCs w:val="24"/>
          <w:lang w:eastAsia="en-US"/>
        </w:rPr>
        <w:t xml:space="preserve">normalt er eller ikke er </w:t>
      </w:r>
      <w:proofErr w:type="spellStart"/>
      <w:r w:rsidRPr="002E7AF0">
        <w:rPr>
          <w:b/>
          <w:i/>
          <w:szCs w:val="24"/>
          <w:lang w:eastAsia="en-US"/>
        </w:rPr>
        <w:t>bosiddende</w:t>
      </w:r>
      <w:r w:rsidRPr="002E7AF0">
        <w:rPr>
          <w:strike/>
          <w:szCs w:val="24"/>
          <w:lang w:eastAsia="en-US"/>
        </w:rPr>
        <w:t>ikke</w:t>
      </w:r>
      <w:proofErr w:type="spellEnd"/>
      <w:r w:rsidRPr="002E7AF0">
        <w:rPr>
          <w:strike/>
          <w:szCs w:val="24"/>
          <w:lang w:eastAsia="en-US"/>
        </w:rPr>
        <w:t xml:space="preserve"> har sin sædvanlige bopæl</w:t>
      </w:r>
      <w:r w:rsidRPr="002E7AF0">
        <w:rPr>
          <w:szCs w:val="24"/>
          <w:lang w:eastAsia="en-US"/>
        </w:rPr>
        <w:t xml:space="preserve"> i den pågældende medlemsstat</w:t>
      </w:r>
      <w:r w:rsidRPr="002E7AF0">
        <w:rPr>
          <w:b/>
          <w:i/>
          <w:szCs w:val="24"/>
          <w:lang w:eastAsia="en-US"/>
        </w:rPr>
        <w:t xml:space="preserve"> eller i en anden medlemsstat</w:t>
      </w:r>
      <w:r w:rsidRPr="002E7AF0">
        <w:rPr>
          <w:szCs w:val="24"/>
          <w:lang w:eastAsia="en-US"/>
        </w:rPr>
        <w:t>, og som</w:t>
      </w:r>
      <w:r w:rsidRPr="002E7AF0">
        <w:rPr>
          <w:b/>
          <w:i/>
          <w:szCs w:val="24"/>
          <w:lang w:eastAsia="en-US"/>
        </w:rPr>
        <w:t xml:space="preserve"> enten</w:t>
      </w:r>
      <w:r w:rsidRPr="002E7AF0">
        <w:rPr>
          <w:szCs w:val="24"/>
          <w:lang w:eastAsia="en-US"/>
        </w:rPr>
        <w:t xml:space="preserve"> er indehaver af et kørekort udstedt af en anden medlemsstat</w:t>
      </w:r>
      <w:r w:rsidRPr="002E7AF0">
        <w:rPr>
          <w:b/>
          <w:i/>
          <w:szCs w:val="24"/>
          <w:lang w:eastAsia="en-US"/>
        </w:rPr>
        <w:t>, eller som ikke har et kørekort</w:t>
      </w:r>
      <w:r w:rsidRPr="002E7AF0">
        <w:rPr>
          <w:szCs w:val="24"/>
          <w:lang w:eastAsia="en-US"/>
        </w:rPr>
        <w:t>, har EU-dækkende virkning i overensstemmelse med dette direktiv.</w:t>
      </w:r>
      <w:r w:rsidR="00E05383">
        <w:rPr>
          <w:b/>
          <w:szCs w:val="24"/>
          <w:lang w:eastAsia="en-US"/>
        </w:rPr>
        <w:t xml:space="preserve"> [Ændring 13]</w:t>
      </w:r>
    </w:p>
    <w:p w14:paraId="2E4F96AA" w14:textId="77777777" w:rsidR="005813C0" w:rsidRDefault="005813C0">
      <w:pPr>
        <w:widowControl/>
        <w:rPr>
          <w:szCs w:val="24"/>
          <w:lang w:eastAsia="en-US"/>
        </w:rPr>
      </w:pPr>
      <w:r>
        <w:rPr>
          <w:szCs w:val="24"/>
          <w:lang w:eastAsia="en-US"/>
        </w:rPr>
        <w:br w:type="page"/>
      </w:r>
    </w:p>
    <w:p w14:paraId="7177B4D6" w14:textId="7669986C"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4</w:t>
      </w:r>
      <w:r w:rsidRPr="002E7AF0">
        <w:rPr>
          <w:szCs w:val="24"/>
          <w:lang w:eastAsia="en-US"/>
        </w:rPr>
        <w:br/>
        <w:t>Forpligtelse til at underrette om frakendelser af førerretten</w:t>
      </w:r>
    </w:p>
    <w:p w14:paraId="1861762C" w14:textId="36A3B356" w:rsidR="002E7AF0" w:rsidRPr="002E7AF0" w:rsidRDefault="002E7AF0" w:rsidP="002E7AF0">
      <w:pPr>
        <w:spacing w:before="120" w:after="120" w:line="360" w:lineRule="auto"/>
        <w:ind w:left="850" w:hanging="850"/>
        <w:rPr>
          <w:b/>
          <w:szCs w:val="24"/>
          <w:lang w:eastAsia="en-US"/>
        </w:rPr>
      </w:pPr>
      <w:r w:rsidRPr="002E7AF0">
        <w:rPr>
          <w:szCs w:val="24"/>
          <w:lang w:eastAsia="en-US"/>
        </w:rPr>
        <w:t>1.</w:t>
      </w:r>
      <w:r w:rsidRPr="002E7AF0">
        <w:rPr>
          <w:szCs w:val="24"/>
          <w:lang w:eastAsia="en-US"/>
        </w:rPr>
        <w:tab/>
        <w:t>Overtrædelsesmedlemsstaten underretter udstedelsesmedlemsstaten</w:t>
      </w:r>
      <w:r w:rsidRPr="002E7AF0">
        <w:rPr>
          <w:b/>
          <w:i/>
          <w:szCs w:val="24"/>
          <w:lang w:eastAsia="en-US"/>
        </w:rPr>
        <w:t>, senest ti arbejdsdage efter at den har truffet afgørelse</w:t>
      </w:r>
      <w:r w:rsidRPr="002E7AF0">
        <w:rPr>
          <w:szCs w:val="24"/>
          <w:lang w:eastAsia="en-US"/>
        </w:rPr>
        <w:t xml:space="preserve"> om enhver frakendelse af førerretten med en varighed af minimum en måned, der er pålagt en person, som ikke har sin sædvanlige bopæl i overtrædelsesmedlemsstaten, og som er indehaver af et kørekort udstedt af udstedelsesmedlemsstaten.</w:t>
      </w:r>
      <w:r w:rsidRPr="002E7AF0">
        <w:rPr>
          <w:b/>
          <w:i/>
          <w:szCs w:val="24"/>
          <w:lang w:eastAsia="en-US"/>
        </w:rPr>
        <w:t xml:space="preserve"> Overtrædelsesmedlemsstaten underretter også den pågældende person, hvis vedkommende ikke har sit sædvanlige opholdssted i udstedelsesmedlemsstaten.</w:t>
      </w:r>
      <w:r w:rsidR="00E05383">
        <w:rPr>
          <w:b/>
          <w:szCs w:val="24"/>
          <w:lang w:eastAsia="en-US"/>
        </w:rPr>
        <w:t xml:space="preserve"> [Ændring 14]</w:t>
      </w:r>
    </w:p>
    <w:p w14:paraId="6DFF3658"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Den i stk. 1 omhandlede meddelelse gives ved hjælp af et standardcertifikat som omhandlet i artikel 5 og efter proceduren i stk. 3.</w:t>
      </w:r>
    </w:p>
    <w:p w14:paraId="315D4397" w14:textId="77777777" w:rsidR="005813C0" w:rsidRDefault="005813C0">
      <w:pPr>
        <w:widowControl/>
        <w:rPr>
          <w:szCs w:val="24"/>
          <w:lang w:eastAsia="en-US"/>
        </w:rPr>
      </w:pPr>
      <w:r>
        <w:rPr>
          <w:szCs w:val="24"/>
          <w:lang w:eastAsia="en-US"/>
        </w:rPr>
        <w:br w:type="page"/>
      </w:r>
    </w:p>
    <w:p w14:paraId="72D4CF4B" w14:textId="771DDE04" w:rsidR="002E7AF0" w:rsidRPr="002E7AF0" w:rsidRDefault="002E7AF0" w:rsidP="002E7AF0">
      <w:pPr>
        <w:spacing w:before="120" w:after="120" w:line="360" w:lineRule="auto"/>
        <w:ind w:left="850" w:hanging="850"/>
        <w:rPr>
          <w:b/>
          <w:szCs w:val="24"/>
          <w:lang w:eastAsia="en-US"/>
        </w:rPr>
      </w:pPr>
      <w:r w:rsidRPr="002E7AF0">
        <w:rPr>
          <w:szCs w:val="24"/>
          <w:lang w:eastAsia="en-US"/>
        </w:rPr>
        <w:lastRenderedPageBreak/>
        <w:t>3.</w:t>
      </w:r>
      <w:r w:rsidRPr="002E7AF0">
        <w:rPr>
          <w:szCs w:val="24"/>
          <w:lang w:eastAsia="en-US"/>
        </w:rPr>
        <w:tab/>
        <w:t xml:space="preserve">Det nationale kontaktpunkt i overtrædelsesmedlemsstaten udfylder, underskriver og fremsender certifikatet direkte til det nationale kontaktpunkt i udstedelsesmedlemsstaten, som fremsender det til den myndighed, der er kompetent til at sikre den EU-dækkende virkning af frakendelsen af førerretten. Det nationale kontaktpunkt i overtrædelsesmedlemsstaten fremsender endvidere den berørte persons kørekort, </w:t>
      </w:r>
      <w:proofErr w:type="spellStart"/>
      <w:r w:rsidRPr="002E7AF0">
        <w:rPr>
          <w:strike/>
          <w:szCs w:val="24"/>
          <w:lang w:eastAsia="en-US"/>
        </w:rPr>
        <w:t>når</w:t>
      </w:r>
      <w:r w:rsidRPr="002E7AF0">
        <w:rPr>
          <w:b/>
          <w:i/>
          <w:szCs w:val="24"/>
          <w:lang w:eastAsia="en-US"/>
        </w:rPr>
        <w:t>såfremt</w:t>
      </w:r>
      <w:proofErr w:type="spellEnd"/>
      <w:r w:rsidRPr="002E7AF0">
        <w:rPr>
          <w:szCs w:val="24"/>
          <w:lang w:eastAsia="en-US"/>
        </w:rPr>
        <w:t xml:space="preserve"> det er blevet inddraget, og den oprindelige afgørelse om frakendelse af førerretten eller en bekræftet kopi heraf til det nationale kontaktpunkt i udstedelsesmedlemsstaten. Overtrædelsesmedlemsstaten er ikke forpligtet til at oversætte den oprindelige afgørelse eller den bekræftede kopi heraf.</w:t>
      </w:r>
      <w:r w:rsidR="00E05383">
        <w:rPr>
          <w:b/>
          <w:szCs w:val="24"/>
          <w:lang w:eastAsia="en-US"/>
        </w:rPr>
        <w:t xml:space="preserve"> [Ændring 15]</w:t>
      </w:r>
    </w:p>
    <w:p w14:paraId="69215DDD"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5</w:t>
      </w:r>
      <w:r w:rsidRPr="002E7AF0">
        <w:rPr>
          <w:szCs w:val="24"/>
          <w:lang w:eastAsia="en-US"/>
        </w:rPr>
        <w:br/>
        <w:t>Standardcertifikat og fremsendelsesmåde</w:t>
      </w:r>
    </w:p>
    <w:p w14:paraId="401ADD99" w14:textId="37B0A260"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 xml:space="preserve">Inden den </w:t>
      </w:r>
      <w:r w:rsidR="00AB5AA4">
        <w:rPr>
          <w:szCs w:val="24"/>
          <w:lang w:eastAsia="en-US"/>
        </w:rPr>
        <w:t xml:space="preserve">... </w:t>
      </w:r>
      <w:r w:rsidRPr="002E7AF0">
        <w:rPr>
          <w:szCs w:val="24"/>
          <w:lang w:eastAsia="en-US"/>
        </w:rPr>
        <w:t>[gennemførelsesdatoen i artikel 19] fastsætter Kommissionen ved hjælp af en gennemførelsesretsakt formatet og indholdet af standardcertifikatet for meddelelse af frakendelse af førerretten. Denne gennemførelsesretsakt vedtages efter undersøgelsesproceduren i artikel 17, stk. 2.</w:t>
      </w:r>
    </w:p>
    <w:p w14:paraId="53A3D92C" w14:textId="77777777" w:rsidR="005813C0" w:rsidRDefault="005813C0">
      <w:pPr>
        <w:widowControl/>
        <w:rPr>
          <w:szCs w:val="24"/>
          <w:lang w:eastAsia="en-US"/>
        </w:rPr>
      </w:pPr>
      <w:r>
        <w:rPr>
          <w:szCs w:val="24"/>
          <w:lang w:eastAsia="en-US"/>
        </w:rPr>
        <w:br w:type="page"/>
      </w:r>
    </w:p>
    <w:p w14:paraId="61B40927" w14:textId="61F6C9AD"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2.</w:t>
      </w:r>
      <w:r w:rsidRPr="002E7AF0">
        <w:rPr>
          <w:szCs w:val="24"/>
          <w:lang w:eastAsia="en-US"/>
        </w:rPr>
        <w:tab/>
        <w:t>Certifikatet skal indeholde følgende oplysninger:</w:t>
      </w:r>
    </w:p>
    <w:p w14:paraId="52CFFD73"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oplysninger om den myndighed, der har pålagt frakendelse af førerretten i overtrædelsesmedlemsstaten</w:t>
      </w:r>
    </w:p>
    <w:p w14:paraId="103B0E48" w14:textId="35A4F803" w:rsidR="002E7AF0" w:rsidRPr="002E7AF0" w:rsidRDefault="002E7AF0" w:rsidP="002E7AF0">
      <w:pPr>
        <w:spacing w:before="120" w:after="120" w:line="360" w:lineRule="auto"/>
        <w:ind w:left="1416" w:hanging="566"/>
        <w:rPr>
          <w:b/>
          <w:szCs w:val="24"/>
          <w:lang w:eastAsia="en-US"/>
        </w:rPr>
      </w:pPr>
      <w:r w:rsidRPr="002E7AF0">
        <w:rPr>
          <w:szCs w:val="24"/>
          <w:lang w:eastAsia="en-US"/>
        </w:rPr>
        <w:t>b)</w:t>
      </w:r>
      <w:r w:rsidRPr="002E7AF0">
        <w:rPr>
          <w:szCs w:val="24"/>
          <w:lang w:eastAsia="en-US"/>
        </w:rPr>
        <w:tab/>
        <w:t>en beskrivelse af den alvorlige trafiksikkerhedsrelaterede færdselslovsovertrædelse og de forhold</w:t>
      </w:r>
      <w:r w:rsidRPr="002E7AF0">
        <w:rPr>
          <w:b/>
          <w:i/>
          <w:szCs w:val="24"/>
          <w:lang w:eastAsia="en-US"/>
        </w:rPr>
        <w:t xml:space="preserve"> og grunde</w:t>
      </w:r>
      <w:r w:rsidRPr="002E7AF0">
        <w:rPr>
          <w:szCs w:val="24"/>
          <w:lang w:eastAsia="en-US"/>
        </w:rPr>
        <w:t>, der har ført til frakendelse af førerretten</w:t>
      </w:r>
      <w:r w:rsidR="00E05383">
        <w:rPr>
          <w:b/>
          <w:szCs w:val="24"/>
          <w:lang w:eastAsia="en-US"/>
        </w:rPr>
        <w:t xml:space="preserve"> [Ændring 16]</w:t>
      </w:r>
    </w:p>
    <w:p w14:paraId="449F8A0B" w14:textId="4518D0CD" w:rsidR="002E7AF0" w:rsidRPr="002E7AF0" w:rsidRDefault="002E7AF0" w:rsidP="002E7AF0">
      <w:pPr>
        <w:spacing w:before="120" w:after="120" w:line="360" w:lineRule="auto"/>
        <w:ind w:left="1416" w:hanging="566"/>
        <w:rPr>
          <w:b/>
          <w:szCs w:val="24"/>
          <w:lang w:eastAsia="en-US"/>
        </w:rPr>
      </w:pPr>
      <w:r w:rsidRPr="002E7AF0">
        <w:rPr>
          <w:szCs w:val="24"/>
          <w:lang w:eastAsia="en-US"/>
        </w:rPr>
        <w:t>c)</w:t>
      </w:r>
      <w:r w:rsidRPr="002E7AF0">
        <w:rPr>
          <w:szCs w:val="24"/>
          <w:lang w:eastAsia="en-US"/>
        </w:rPr>
        <w:tab/>
        <w:t>navn og adresse på den berørte person</w:t>
      </w:r>
      <w:r w:rsidRPr="002E7AF0">
        <w:rPr>
          <w:strike/>
          <w:szCs w:val="24"/>
          <w:lang w:eastAsia="en-US"/>
        </w:rPr>
        <w:t>, kørekortets nummer og om nødvendigt</w:t>
      </w:r>
      <w:r w:rsidRPr="002E7AF0">
        <w:rPr>
          <w:b/>
          <w:i/>
          <w:szCs w:val="24"/>
          <w:lang w:eastAsia="en-US"/>
        </w:rPr>
        <w:t xml:space="preserve"> og</w:t>
      </w:r>
      <w:r w:rsidRPr="002E7AF0">
        <w:rPr>
          <w:szCs w:val="24"/>
          <w:lang w:eastAsia="en-US"/>
        </w:rPr>
        <w:t xml:space="preserve"> nummeret på </w:t>
      </w:r>
      <w:r w:rsidRPr="002E7AF0">
        <w:rPr>
          <w:strike/>
          <w:szCs w:val="24"/>
          <w:lang w:eastAsia="en-US"/>
        </w:rPr>
        <w:t>den berørte persons</w:t>
      </w:r>
      <w:r w:rsidRPr="002E7AF0">
        <w:rPr>
          <w:b/>
          <w:i/>
          <w:szCs w:val="24"/>
          <w:lang w:eastAsia="en-US"/>
        </w:rPr>
        <w:t>vedkommendes kørekort og</w:t>
      </w:r>
      <w:r w:rsidRPr="002E7AF0">
        <w:rPr>
          <w:szCs w:val="24"/>
          <w:lang w:eastAsia="en-US"/>
        </w:rPr>
        <w:t xml:space="preserve"> nationale identifikationsdokumenter, </w:t>
      </w:r>
      <w:r w:rsidRPr="002E7AF0">
        <w:rPr>
          <w:strike/>
          <w:szCs w:val="24"/>
          <w:lang w:eastAsia="en-US"/>
        </w:rPr>
        <w:t xml:space="preserve">hvis dette er </w:t>
      </w:r>
      <w:proofErr w:type="spellStart"/>
      <w:r w:rsidRPr="002E7AF0">
        <w:rPr>
          <w:strike/>
          <w:szCs w:val="24"/>
          <w:lang w:eastAsia="en-US"/>
        </w:rPr>
        <w:t>tilgængeligt</w:t>
      </w:r>
      <w:r w:rsidRPr="002E7AF0">
        <w:rPr>
          <w:b/>
          <w:i/>
          <w:szCs w:val="24"/>
          <w:lang w:eastAsia="en-US"/>
        </w:rPr>
        <w:t>mens</w:t>
      </w:r>
      <w:proofErr w:type="spellEnd"/>
      <w:r w:rsidRPr="002E7AF0">
        <w:rPr>
          <w:b/>
          <w:i/>
          <w:szCs w:val="24"/>
          <w:lang w:eastAsia="en-US"/>
        </w:rPr>
        <w:t xml:space="preserve"> andre personlige informationer, der er knyttet til vedkommende nationale identitetsdokument, skal forblive fortrolige</w:t>
      </w:r>
      <w:r w:rsidR="00E05383">
        <w:rPr>
          <w:b/>
          <w:szCs w:val="24"/>
          <w:lang w:eastAsia="en-US"/>
        </w:rPr>
        <w:t xml:space="preserve"> [Ændring 17]</w:t>
      </w:r>
    </w:p>
    <w:p w14:paraId="377F9014"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d)</w:t>
      </w:r>
      <w:r w:rsidRPr="002E7AF0">
        <w:rPr>
          <w:szCs w:val="24"/>
          <w:lang w:eastAsia="en-US"/>
        </w:rPr>
        <w:tab/>
        <w:t>de gældende lovbestemmelser i overtrædelsesmedlemsstaten</w:t>
      </w:r>
    </w:p>
    <w:p w14:paraId="33C71F11"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e)</w:t>
      </w:r>
      <w:r w:rsidRPr="002E7AF0">
        <w:rPr>
          <w:szCs w:val="24"/>
          <w:lang w:eastAsia="en-US"/>
        </w:rPr>
        <w:tab/>
        <w:t>de anvendte procedurer og det nøjagtige omfang og indhold af frakendelsen af førerretten, herunder, hvis det er relevant, den dato, hvor suspensionen eller begrænsningen ophører med at have virkning, og eventuelle yderligere betingelser fastsat af overtrædelsesmedlemsstaten</w:t>
      </w:r>
    </w:p>
    <w:p w14:paraId="60A2DE61" w14:textId="77777777" w:rsidR="005813C0" w:rsidRDefault="005813C0">
      <w:pPr>
        <w:widowControl/>
        <w:rPr>
          <w:szCs w:val="24"/>
          <w:lang w:eastAsia="en-US"/>
        </w:rPr>
      </w:pPr>
      <w:r>
        <w:rPr>
          <w:szCs w:val="24"/>
          <w:lang w:eastAsia="en-US"/>
        </w:rPr>
        <w:br w:type="page"/>
      </w:r>
    </w:p>
    <w:p w14:paraId="78FF93CF" w14:textId="4FCF5954" w:rsidR="002E7AF0" w:rsidRPr="002E7AF0" w:rsidRDefault="002E7AF0" w:rsidP="002E7AF0">
      <w:pPr>
        <w:spacing w:before="120" w:after="120" w:line="360" w:lineRule="auto"/>
        <w:ind w:left="1416" w:hanging="566"/>
        <w:rPr>
          <w:szCs w:val="24"/>
          <w:lang w:eastAsia="en-US"/>
        </w:rPr>
      </w:pPr>
      <w:r w:rsidRPr="002E7AF0">
        <w:rPr>
          <w:szCs w:val="24"/>
          <w:lang w:eastAsia="en-US"/>
        </w:rPr>
        <w:lastRenderedPageBreak/>
        <w:t>f)</w:t>
      </w:r>
      <w:r w:rsidRPr="002E7AF0">
        <w:rPr>
          <w:szCs w:val="24"/>
          <w:lang w:eastAsia="en-US"/>
        </w:rPr>
        <w:tab/>
        <w:t>det antal dage, som frakendelsen af førerretten pålagt af overtrædelsesmedlemsstaten allerede har været gældende i den pågældende medlemsstat, hvor det er relevant.</w:t>
      </w:r>
    </w:p>
    <w:p w14:paraId="7FD654B8" w14:textId="6F06BB70" w:rsidR="002E7AF0" w:rsidRPr="002E7AF0" w:rsidRDefault="002E7AF0" w:rsidP="002E7AF0">
      <w:pPr>
        <w:spacing w:before="120" w:after="120" w:line="360" w:lineRule="auto"/>
        <w:ind w:left="1416" w:hanging="566"/>
        <w:rPr>
          <w:b/>
          <w:szCs w:val="24"/>
          <w:lang w:eastAsia="en-US"/>
        </w:rPr>
      </w:pPr>
      <w:r w:rsidRPr="002E7AF0">
        <w:rPr>
          <w:b/>
          <w:i/>
          <w:szCs w:val="24"/>
          <w:lang w:eastAsia="en-US"/>
        </w:rPr>
        <w:t>fa)</w:t>
      </w:r>
      <w:r w:rsidRPr="002E7AF0">
        <w:rPr>
          <w:szCs w:val="24"/>
          <w:lang w:eastAsia="en-US"/>
        </w:rPr>
        <w:tab/>
      </w:r>
      <w:r w:rsidRPr="002E7AF0">
        <w:rPr>
          <w:b/>
          <w:i/>
          <w:szCs w:val="24"/>
          <w:lang w:eastAsia="en-US"/>
        </w:rPr>
        <w:t>retten til at appellere afgørelsen til domstolene i henhold til den nationale lovgivning i overtrædelsesmedlemsstaten</w:t>
      </w:r>
      <w:r w:rsidR="00E05383">
        <w:rPr>
          <w:b/>
          <w:szCs w:val="24"/>
          <w:lang w:eastAsia="en-US"/>
        </w:rPr>
        <w:t xml:space="preserve"> [Ændring 18]</w:t>
      </w:r>
    </w:p>
    <w:p w14:paraId="5C7D2608"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3.</w:t>
      </w:r>
      <w:r w:rsidRPr="002E7AF0">
        <w:rPr>
          <w:szCs w:val="24"/>
          <w:lang w:eastAsia="en-US"/>
        </w:rPr>
        <w:tab/>
        <w:t>Udstedelsesmedlemsstaten modtager fra overtrædelsesmedlemsstaten en oversættelse af certifikatet til et officielt sprog i udstedelsesmedlemsstaten eller til et andet sprog, som udstedelsesmedlemsstaten har accepteret i overensstemmelse med stk. 4.</w:t>
      </w:r>
    </w:p>
    <w:p w14:paraId="4828DF3E" w14:textId="4C095A40" w:rsidR="002E7AF0" w:rsidRPr="002E7AF0" w:rsidRDefault="002E7AF0" w:rsidP="002E7AF0">
      <w:pPr>
        <w:spacing w:before="120" w:after="120" w:line="360" w:lineRule="auto"/>
        <w:ind w:left="850" w:hanging="850"/>
        <w:rPr>
          <w:szCs w:val="24"/>
          <w:lang w:eastAsia="en-US"/>
        </w:rPr>
      </w:pPr>
      <w:r w:rsidRPr="002E7AF0">
        <w:rPr>
          <w:szCs w:val="24"/>
          <w:lang w:eastAsia="en-US"/>
        </w:rPr>
        <w:t>4.</w:t>
      </w:r>
      <w:r w:rsidRPr="002E7AF0">
        <w:rPr>
          <w:szCs w:val="24"/>
          <w:lang w:eastAsia="en-US"/>
        </w:rPr>
        <w:tab/>
        <w:t xml:space="preserve">Enhver medlemsstat kan til enhver tid afgive en erklæring til Kommissionen om, at den vil acceptere oversættelser af certifikater på et eller flere af </w:t>
      </w:r>
      <w:r w:rsidR="00C65561">
        <w:rPr>
          <w:szCs w:val="24"/>
          <w:lang w:eastAsia="en-US"/>
        </w:rPr>
        <w:t>Unionens</w:t>
      </w:r>
      <w:r w:rsidRPr="002E7AF0">
        <w:rPr>
          <w:szCs w:val="24"/>
          <w:lang w:eastAsia="en-US"/>
        </w:rPr>
        <w:t xml:space="preserve"> andre officielle sprog end den pågældende medlemsstats officielle sprog. Denne erklæring kan til enhver tid trækkes tilbage. Kommissionen stiller erklæringerne og eventuelle tilbagetrækninger heraf til rådighed for alle medlemsstater.</w:t>
      </w:r>
    </w:p>
    <w:p w14:paraId="4718D7CE" w14:textId="77777777" w:rsidR="005813C0" w:rsidRDefault="005813C0">
      <w:pPr>
        <w:widowControl/>
        <w:rPr>
          <w:szCs w:val="24"/>
          <w:lang w:eastAsia="en-US"/>
        </w:rPr>
      </w:pPr>
      <w:r>
        <w:rPr>
          <w:szCs w:val="24"/>
          <w:lang w:eastAsia="en-US"/>
        </w:rPr>
        <w:br w:type="page"/>
      </w:r>
    </w:p>
    <w:p w14:paraId="63091B4C" w14:textId="633A1A89"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5.</w:t>
      </w:r>
      <w:r w:rsidRPr="002E7AF0">
        <w:rPr>
          <w:szCs w:val="24"/>
          <w:lang w:eastAsia="en-US"/>
        </w:rPr>
        <w:tab/>
        <w:t>Det nationale kontaktpunkt i overtrædelsesmedlemsstaten fremsender certifikatet til det nationale kontaktpunkt i udstedelsesmedlemsstaten via det EU-kørekortnetværk, der er omhandlet i artikel 19, stk. 1, i [NYT DIREKTIV OM KØREKØRT] ("RESPER").</w:t>
      </w:r>
    </w:p>
    <w:p w14:paraId="6F692147" w14:textId="732D840A" w:rsidR="002E7AF0" w:rsidRPr="002E7AF0" w:rsidRDefault="002E7AF0" w:rsidP="002E7AF0">
      <w:pPr>
        <w:spacing w:before="120" w:after="120" w:line="360" w:lineRule="auto"/>
        <w:ind w:left="850" w:hanging="850"/>
        <w:rPr>
          <w:b/>
          <w:szCs w:val="24"/>
          <w:lang w:eastAsia="en-US"/>
        </w:rPr>
      </w:pPr>
      <w:r w:rsidRPr="002E7AF0">
        <w:rPr>
          <w:b/>
          <w:i/>
          <w:szCs w:val="24"/>
          <w:lang w:eastAsia="en-US"/>
        </w:rPr>
        <w:t>5a.</w:t>
      </w:r>
      <w:r w:rsidRPr="002E7AF0">
        <w:rPr>
          <w:szCs w:val="24"/>
          <w:lang w:eastAsia="en-US"/>
        </w:rPr>
        <w:tab/>
      </w:r>
      <w:r w:rsidRPr="002E7AF0">
        <w:rPr>
          <w:b/>
          <w:i/>
          <w:szCs w:val="24"/>
          <w:lang w:eastAsia="en-US"/>
        </w:rPr>
        <w:t>De nationale kontaktpunkter i overtrædelsesmedlemsstaten og udstedelsesmedlemsstaten udveksler de oplysninger, der skal gives i overensstemmelse med artikel 8, 9, 10, 11, 12, 14 og 15 gennem RESPER. Kommissionen sikrer, at RESPER er udstyret med de nødvendige ressourcer til at udføre denne opgave.</w:t>
      </w:r>
      <w:r w:rsidR="00E05383">
        <w:rPr>
          <w:b/>
          <w:szCs w:val="24"/>
          <w:lang w:eastAsia="en-US"/>
        </w:rPr>
        <w:t xml:space="preserve"> [Ændring 19]</w:t>
      </w:r>
    </w:p>
    <w:p w14:paraId="2F2E857F"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6</w:t>
      </w:r>
      <w:r w:rsidRPr="002E7AF0">
        <w:rPr>
          <w:szCs w:val="24"/>
          <w:lang w:eastAsia="en-US"/>
        </w:rPr>
        <w:br/>
        <w:t xml:space="preserve">Sikring af den EU-dækkende virkning af frakendelser af førerretten </w:t>
      </w:r>
    </w:p>
    <w:p w14:paraId="26C437C6"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Ved en meddelelse om frakendelse af førerretten i overensstemmelse med artikel 4, stk. 1, og medmindre der foreligger en grund til undtagelse i henhold til artikel 8, træffer udstedelsesmedlemsstaten passende foranstaltninger til at sikre, at frakendelser af førerretten har EU-dækkende virkning.</w:t>
      </w:r>
    </w:p>
    <w:p w14:paraId="0958083D" w14:textId="77777777" w:rsidR="005813C0" w:rsidRDefault="005813C0">
      <w:pPr>
        <w:widowControl/>
        <w:rPr>
          <w:szCs w:val="24"/>
          <w:lang w:eastAsia="en-US"/>
        </w:rPr>
      </w:pPr>
      <w:r>
        <w:rPr>
          <w:szCs w:val="24"/>
          <w:lang w:eastAsia="en-US"/>
        </w:rPr>
        <w:br w:type="page"/>
      </w:r>
    </w:p>
    <w:p w14:paraId="509C6A37" w14:textId="56FFE997" w:rsidR="002E7AF0" w:rsidRPr="002E7AF0" w:rsidRDefault="002E7AF0" w:rsidP="002E7AF0">
      <w:pPr>
        <w:spacing w:before="120" w:after="120" w:line="360" w:lineRule="auto"/>
        <w:ind w:left="850" w:hanging="850"/>
        <w:rPr>
          <w:b/>
          <w:szCs w:val="24"/>
          <w:lang w:eastAsia="en-US"/>
        </w:rPr>
      </w:pPr>
      <w:r w:rsidRPr="002E7AF0">
        <w:rPr>
          <w:szCs w:val="24"/>
          <w:lang w:eastAsia="en-US"/>
        </w:rPr>
        <w:lastRenderedPageBreak/>
        <w:t>2.</w:t>
      </w:r>
      <w:r w:rsidRPr="002E7AF0">
        <w:rPr>
          <w:szCs w:val="24"/>
          <w:lang w:eastAsia="en-US"/>
        </w:rPr>
        <w:tab/>
        <w:t xml:space="preserve">Hvis frakendelsen af førerretten </w:t>
      </w:r>
      <w:r w:rsidRPr="002E7AF0">
        <w:rPr>
          <w:strike/>
          <w:szCs w:val="24"/>
          <w:lang w:eastAsia="en-US"/>
        </w:rPr>
        <w:t xml:space="preserve">består </w:t>
      </w:r>
      <w:proofErr w:type="spellStart"/>
      <w:r w:rsidRPr="002E7AF0">
        <w:rPr>
          <w:strike/>
          <w:szCs w:val="24"/>
          <w:lang w:eastAsia="en-US"/>
        </w:rPr>
        <w:t>i</w:t>
      </w:r>
      <w:r w:rsidRPr="002E7AF0">
        <w:rPr>
          <w:b/>
          <w:i/>
          <w:szCs w:val="24"/>
          <w:lang w:eastAsia="en-US"/>
        </w:rPr>
        <w:t>medfører</w:t>
      </w:r>
      <w:proofErr w:type="spellEnd"/>
      <w:r w:rsidRPr="002E7AF0">
        <w:rPr>
          <w:szCs w:val="24"/>
          <w:lang w:eastAsia="en-US"/>
        </w:rPr>
        <w:t xml:space="preserve"> en inddragelse, skal de foranstaltninger, der træffes af udstedelsesmedlemsstaten, </w:t>
      </w:r>
      <w:proofErr w:type="spellStart"/>
      <w:r w:rsidRPr="002E7AF0">
        <w:rPr>
          <w:strike/>
          <w:szCs w:val="24"/>
          <w:lang w:eastAsia="en-US"/>
        </w:rPr>
        <w:t>opfylde</w:t>
      </w:r>
      <w:r w:rsidRPr="002E7AF0">
        <w:rPr>
          <w:b/>
          <w:i/>
          <w:szCs w:val="24"/>
          <w:lang w:eastAsia="en-US"/>
        </w:rPr>
        <w:t>være</w:t>
      </w:r>
      <w:proofErr w:type="spellEnd"/>
      <w:r w:rsidRPr="002E7AF0">
        <w:rPr>
          <w:szCs w:val="24"/>
          <w:lang w:eastAsia="en-US"/>
        </w:rPr>
        <w:t xml:space="preserve"> følgende</w:t>
      </w:r>
      <w:r w:rsidRPr="002E7AF0">
        <w:rPr>
          <w:strike/>
          <w:szCs w:val="24"/>
          <w:lang w:eastAsia="en-US"/>
        </w:rPr>
        <w:t xml:space="preserve"> betingelser</w:t>
      </w:r>
      <w:r w:rsidRPr="002E7AF0">
        <w:rPr>
          <w:szCs w:val="24"/>
          <w:lang w:eastAsia="en-US"/>
        </w:rPr>
        <w:t>:</w:t>
      </w:r>
      <w:r w:rsidR="00E05383">
        <w:rPr>
          <w:b/>
          <w:szCs w:val="24"/>
          <w:lang w:eastAsia="en-US"/>
        </w:rPr>
        <w:t xml:space="preserve"> [Ændring 20]</w:t>
      </w:r>
    </w:p>
    <w:p w14:paraId="1BA39E2B"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Udstedelsesmedlemsstaten inddrager den berørte persons kørekort eller førerret.</w:t>
      </w:r>
    </w:p>
    <w:p w14:paraId="6EF79775" w14:textId="1C13584F" w:rsidR="002E7AF0" w:rsidRPr="002E7AF0" w:rsidRDefault="002E7AF0" w:rsidP="002E7AF0">
      <w:pPr>
        <w:spacing w:before="120" w:after="120" w:line="360" w:lineRule="auto"/>
        <w:ind w:left="1416" w:hanging="566"/>
        <w:rPr>
          <w:b/>
          <w:szCs w:val="24"/>
          <w:lang w:eastAsia="en-US"/>
        </w:rPr>
      </w:pPr>
      <w:r w:rsidRPr="002E7AF0">
        <w:rPr>
          <w:strike/>
          <w:szCs w:val="24"/>
          <w:lang w:eastAsia="en-US"/>
        </w:rPr>
        <w:t>b)</w:t>
      </w:r>
      <w:r w:rsidRPr="002E7AF0">
        <w:rPr>
          <w:szCs w:val="24"/>
          <w:lang w:eastAsia="en-US"/>
        </w:rPr>
        <w:tab/>
      </w:r>
      <w:r w:rsidRPr="002E7AF0">
        <w:rPr>
          <w:strike/>
          <w:szCs w:val="24"/>
          <w:lang w:eastAsia="en-US"/>
        </w:rPr>
        <w:t>Den berørte person kan generhverve kørekortet eller førerretten i overensstemmelse med de nationale regler i udstedelsesmedlemsstaten.</w:t>
      </w:r>
      <w:r w:rsidR="00E05383">
        <w:rPr>
          <w:b/>
          <w:szCs w:val="24"/>
          <w:lang w:eastAsia="en-US"/>
        </w:rPr>
        <w:t xml:space="preserve"> [Ændring 21]</w:t>
      </w:r>
    </w:p>
    <w:p w14:paraId="2B7A5A6B"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Udstedelsesmedlemsstaten tager så vidt muligt hensyn til enhver del af de yderligere betingelser, som den berørte person skal opfylde for at generhverve førerretten, der allerede er opfyldt i overtrædelsesmedlemsstaten.</w:t>
      </w:r>
    </w:p>
    <w:p w14:paraId="0FEB788A" w14:textId="6035B779" w:rsidR="002E7AF0" w:rsidRPr="002E7AF0" w:rsidRDefault="002E7AF0" w:rsidP="002E7AF0">
      <w:pPr>
        <w:spacing w:before="120" w:after="120" w:line="360" w:lineRule="auto"/>
        <w:ind w:left="1416" w:hanging="566"/>
        <w:rPr>
          <w:b/>
          <w:szCs w:val="24"/>
          <w:lang w:eastAsia="en-US"/>
        </w:rPr>
      </w:pPr>
      <w:proofErr w:type="spellStart"/>
      <w:r w:rsidRPr="002E7AF0">
        <w:rPr>
          <w:b/>
          <w:i/>
          <w:szCs w:val="24"/>
          <w:lang w:eastAsia="en-US"/>
        </w:rPr>
        <w:t>ca</w:t>
      </w:r>
      <w:proofErr w:type="spellEnd"/>
      <w:r w:rsidRPr="002E7AF0">
        <w:rPr>
          <w:b/>
          <w:i/>
          <w:szCs w:val="24"/>
          <w:lang w:eastAsia="en-US"/>
        </w:rPr>
        <w:t>)</w:t>
      </w:r>
      <w:r w:rsidRPr="002E7AF0">
        <w:rPr>
          <w:szCs w:val="24"/>
          <w:lang w:eastAsia="en-US"/>
        </w:rPr>
        <w:tab/>
      </w:r>
      <w:r w:rsidRPr="002E7AF0">
        <w:rPr>
          <w:b/>
          <w:i/>
          <w:szCs w:val="24"/>
          <w:lang w:eastAsia="en-US"/>
        </w:rPr>
        <w:t>såfremt landet for den "sædvanlige bopæl" som defineret i artikel 12 i direktiv 2006/126/EF, er forskelligt fra udstedelseslandet, skal muligheden for at udveksle kørekort lettes.</w:t>
      </w:r>
      <w:r w:rsidR="00E05383">
        <w:rPr>
          <w:b/>
          <w:szCs w:val="24"/>
          <w:lang w:eastAsia="en-US"/>
        </w:rPr>
        <w:t xml:space="preserve"> [Ændring 22]</w:t>
      </w:r>
    </w:p>
    <w:p w14:paraId="577C0C6A" w14:textId="118CEA6B" w:rsidR="002E7AF0" w:rsidRPr="002E7AF0" w:rsidRDefault="002E7AF0" w:rsidP="002E7AF0">
      <w:pPr>
        <w:spacing w:before="120" w:after="120" w:line="360" w:lineRule="auto"/>
        <w:ind w:left="850"/>
        <w:rPr>
          <w:b/>
          <w:szCs w:val="24"/>
          <w:lang w:eastAsia="en-US"/>
        </w:rPr>
      </w:pPr>
      <w:r w:rsidRPr="002E7AF0">
        <w:rPr>
          <w:b/>
          <w:i/>
          <w:szCs w:val="24"/>
          <w:lang w:eastAsia="en-US"/>
        </w:rPr>
        <w:t>Den berørte person kan generhverve kørekortet eller førerretten i overensstemmelse med udstedelsesmedlemsstatens nationale regler.</w:t>
      </w:r>
      <w:r w:rsidR="00E05383">
        <w:rPr>
          <w:b/>
          <w:szCs w:val="24"/>
          <w:lang w:eastAsia="en-US"/>
        </w:rPr>
        <w:t xml:space="preserve"> [Ændring 23]</w:t>
      </w:r>
    </w:p>
    <w:p w14:paraId="7D6BF1B8" w14:textId="77777777" w:rsidR="005813C0" w:rsidRDefault="005813C0">
      <w:pPr>
        <w:widowControl/>
        <w:rPr>
          <w:szCs w:val="24"/>
          <w:lang w:eastAsia="en-US"/>
        </w:rPr>
      </w:pPr>
      <w:r>
        <w:rPr>
          <w:szCs w:val="24"/>
          <w:lang w:eastAsia="en-US"/>
        </w:rPr>
        <w:br w:type="page"/>
      </w:r>
    </w:p>
    <w:p w14:paraId="4CF526E2" w14:textId="1EBD8513" w:rsidR="002E7AF0" w:rsidRPr="002E7AF0" w:rsidRDefault="002E7AF0" w:rsidP="002E7AF0">
      <w:pPr>
        <w:spacing w:before="120" w:after="120" w:line="360" w:lineRule="auto"/>
        <w:ind w:left="850" w:hanging="850"/>
        <w:rPr>
          <w:b/>
          <w:szCs w:val="24"/>
          <w:lang w:eastAsia="en-US"/>
        </w:rPr>
      </w:pPr>
      <w:r w:rsidRPr="002E7AF0">
        <w:rPr>
          <w:szCs w:val="24"/>
          <w:lang w:eastAsia="en-US"/>
        </w:rPr>
        <w:lastRenderedPageBreak/>
        <w:t>3.</w:t>
      </w:r>
      <w:r w:rsidRPr="002E7AF0">
        <w:rPr>
          <w:szCs w:val="24"/>
          <w:lang w:eastAsia="en-US"/>
        </w:rPr>
        <w:tab/>
        <w:t xml:space="preserve">Hvis frakendelsen af førerretten </w:t>
      </w:r>
      <w:r w:rsidRPr="002E7AF0">
        <w:rPr>
          <w:strike/>
          <w:szCs w:val="24"/>
          <w:lang w:eastAsia="en-US"/>
        </w:rPr>
        <w:t xml:space="preserve">består </w:t>
      </w:r>
      <w:proofErr w:type="spellStart"/>
      <w:r w:rsidRPr="002E7AF0">
        <w:rPr>
          <w:strike/>
          <w:szCs w:val="24"/>
          <w:lang w:eastAsia="en-US"/>
        </w:rPr>
        <w:t>i</w:t>
      </w:r>
      <w:r w:rsidRPr="002E7AF0">
        <w:rPr>
          <w:b/>
          <w:i/>
          <w:szCs w:val="24"/>
          <w:lang w:eastAsia="en-US"/>
        </w:rPr>
        <w:t>medfører</w:t>
      </w:r>
      <w:proofErr w:type="spellEnd"/>
      <w:r w:rsidRPr="002E7AF0">
        <w:rPr>
          <w:szCs w:val="24"/>
          <w:lang w:eastAsia="en-US"/>
        </w:rPr>
        <w:t xml:space="preserve"> en suspension eller en begrænsning, skal de foranstaltninger, der træffes af udstedelsesmedlemsstaten, </w:t>
      </w:r>
      <w:proofErr w:type="spellStart"/>
      <w:r w:rsidRPr="002E7AF0">
        <w:rPr>
          <w:strike/>
          <w:szCs w:val="24"/>
          <w:lang w:eastAsia="en-US"/>
        </w:rPr>
        <w:t>opfylde</w:t>
      </w:r>
      <w:r w:rsidRPr="002E7AF0">
        <w:rPr>
          <w:b/>
          <w:i/>
          <w:szCs w:val="24"/>
          <w:lang w:eastAsia="en-US"/>
        </w:rPr>
        <w:t>være</w:t>
      </w:r>
      <w:proofErr w:type="spellEnd"/>
      <w:r w:rsidRPr="002E7AF0">
        <w:rPr>
          <w:szCs w:val="24"/>
          <w:lang w:eastAsia="en-US"/>
        </w:rPr>
        <w:t xml:space="preserve"> følgende</w:t>
      </w:r>
      <w:r w:rsidRPr="002E7AF0">
        <w:rPr>
          <w:strike/>
          <w:szCs w:val="24"/>
          <w:lang w:eastAsia="en-US"/>
        </w:rPr>
        <w:t xml:space="preserve"> betingelser</w:t>
      </w:r>
      <w:r w:rsidRPr="002E7AF0">
        <w:rPr>
          <w:szCs w:val="24"/>
          <w:lang w:eastAsia="en-US"/>
        </w:rPr>
        <w:t>:</w:t>
      </w:r>
      <w:r w:rsidR="00E05383">
        <w:rPr>
          <w:b/>
          <w:szCs w:val="24"/>
          <w:lang w:eastAsia="en-US"/>
        </w:rPr>
        <w:t xml:space="preserve"> [Ændring 24]</w:t>
      </w:r>
    </w:p>
    <w:p w14:paraId="73E186E9"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Udstedelsesmedlemsstaten suspenderer eller begrænser gyldigheden af den berørte persons kørekort eller førerret indtil den dato, hvor den suspension eller begrænsning, der er pålagt og meddelt af overtrædelsesmedlemsstaten, ophører med at have virkning.</w:t>
      </w:r>
    </w:p>
    <w:p w14:paraId="2E019E8B" w14:textId="3AEAAE04" w:rsidR="002E7AF0" w:rsidRPr="002E7AF0" w:rsidRDefault="002E7AF0" w:rsidP="002E7AF0">
      <w:pPr>
        <w:spacing w:before="120" w:after="120" w:line="360" w:lineRule="auto"/>
        <w:ind w:left="1416" w:hanging="566"/>
        <w:rPr>
          <w:b/>
          <w:szCs w:val="24"/>
          <w:lang w:eastAsia="en-US"/>
        </w:rPr>
      </w:pPr>
      <w:r w:rsidRPr="002E7AF0">
        <w:rPr>
          <w:szCs w:val="24"/>
          <w:lang w:eastAsia="en-US"/>
        </w:rPr>
        <w:t>b)</w:t>
      </w:r>
      <w:r w:rsidRPr="002E7AF0">
        <w:rPr>
          <w:szCs w:val="24"/>
          <w:lang w:eastAsia="en-US"/>
        </w:rPr>
        <w:tab/>
        <w:t xml:space="preserve">Hvis suspensionen eller begrænsningen, der er pålagt og meddelt af overtrædelsesmedlemsstaten, er betinget af både udløbet af </w:t>
      </w:r>
      <w:r w:rsidRPr="002E7AF0">
        <w:rPr>
          <w:strike/>
          <w:szCs w:val="24"/>
          <w:lang w:eastAsia="en-US"/>
        </w:rPr>
        <w:t xml:space="preserve">en specifik </w:t>
      </w:r>
      <w:proofErr w:type="spellStart"/>
      <w:r w:rsidRPr="002E7AF0">
        <w:rPr>
          <w:strike/>
          <w:szCs w:val="24"/>
          <w:lang w:eastAsia="en-US"/>
        </w:rPr>
        <w:t>periode</w:t>
      </w:r>
      <w:r w:rsidRPr="002E7AF0">
        <w:rPr>
          <w:b/>
          <w:i/>
          <w:szCs w:val="24"/>
          <w:lang w:eastAsia="en-US"/>
        </w:rPr>
        <w:t>et</w:t>
      </w:r>
      <w:proofErr w:type="spellEnd"/>
      <w:r w:rsidRPr="002E7AF0">
        <w:rPr>
          <w:b/>
          <w:i/>
          <w:szCs w:val="24"/>
          <w:lang w:eastAsia="en-US"/>
        </w:rPr>
        <w:t xml:space="preserve"> specifikt tidsrum</w:t>
      </w:r>
      <w:r w:rsidRPr="002E7AF0">
        <w:rPr>
          <w:szCs w:val="24"/>
          <w:lang w:eastAsia="en-US"/>
        </w:rPr>
        <w:t xml:space="preserve"> og opfyldelsen af yderligere betingelser, tager udstedelsesmedlemsstaten kun hensyn til den specifikke periode</w:t>
      </w:r>
      <w:r w:rsidRPr="002E7AF0">
        <w:rPr>
          <w:strike/>
          <w:szCs w:val="24"/>
          <w:lang w:eastAsia="en-US"/>
        </w:rPr>
        <w:t>.</w:t>
      </w:r>
      <w:r w:rsidR="00E05383">
        <w:rPr>
          <w:b/>
          <w:szCs w:val="24"/>
          <w:lang w:eastAsia="en-US"/>
        </w:rPr>
        <w:t xml:space="preserve"> [Ændring 25]</w:t>
      </w:r>
    </w:p>
    <w:p w14:paraId="0F2C04C1"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Hvis en begrænsning pålægges og meddeles af overtrædelsesmedlemsstaten, tages denne i betragtning, for så vidt den er forenelig med udstedelsesmedlemsstatens lovgivning med hensyn til art eller varighed.</w:t>
      </w:r>
    </w:p>
    <w:p w14:paraId="75C47B47" w14:textId="77777777" w:rsidR="005813C0" w:rsidRDefault="005813C0">
      <w:pPr>
        <w:widowControl/>
        <w:rPr>
          <w:b/>
          <w:i/>
          <w:szCs w:val="24"/>
          <w:lang w:eastAsia="en-US"/>
        </w:rPr>
      </w:pPr>
      <w:r>
        <w:rPr>
          <w:b/>
          <w:i/>
          <w:szCs w:val="24"/>
          <w:lang w:eastAsia="en-US"/>
        </w:rPr>
        <w:br w:type="page"/>
      </w:r>
    </w:p>
    <w:p w14:paraId="26BF13D1" w14:textId="1708CE2D" w:rsidR="002E7AF0" w:rsidRPr="002E7AF0" w:rsidRDefault="002E7AF0" w:rsidP="002E7AF0">
      <w:pPr>
        <w:spacing w:before="120" w:after="120" w:line="360" w:lineRule="auto"/>
        <w:ind w:left="850" w:hanging="850"/>
        <w:rPr>
          <w:b/>
          <w:szCs w:val="24"/>
          <w:lang w:eastAsia="en-US"/>
        </w:rPr>
      </w:pPr>
      <w:r w:rsidRPr="002E7AF0">
        <w:rPr>
          <w:b/>
          <w:i/>
          <w:szCs w:val="24"/>
          <w:lang w:eastAsia="en-US"/>
        </w:rPr>
        <w:lastRenderedPageBreak/>
        <w:t>3a.</w:t>
      </w:r>
      <w:r w:rsidRPr="002E7AF0">
        <w:rPr>
          <w:szCs w:val="24"/>
          <w:lang w:eastAsia="en-US"/>
        </w:rPr>
        <w:tab/>
      </w:r>
      <w:r w:rsidRPr="002E7AF0">
        <w:rPr>
          <w:b/>
          <w:i/>
          <w:szCs w:val="24"/>
          <w:lang w:eastAsia="en-US"/>
        </w:rPr>
        <w:t>Udstedelsesmedlemsstaten tilstræber inden for de nationale reglers eksisterende lovlige grænser at sikre, at de foranstaltninger, der træffes i henhold til stk. 2 og 3 med hensyn til frakendelse af førerretten, i det videst mulige omfang bringes i overensstemmelse med de tilsvarende foranstaltninger, der er pålagt af overtrædelsesmedlemsstaten.</w:t>
      </w:r>
      <w:r w:rsidR="00C8158B">
        <w:rPr>
          <w:b/>
          <w:szCs w:val="24"/>
          <w:lang w:eastAsia="en-US"/>
        </w:rPr>
        <w:t xml:space="preserve"> [Ændring 26]</w:t>
      </w:r>
    </w:p>
    <w:p w14:paraId="0B67F925"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4.</w:t>
      </w:r>
      <w:r w:rsidRPr="002E7AF0">
        <w:rPr>
          <w:szCs w:val="24"/>
          <w:lang w:eastAsia="en-US"/>
        </w:rPr>
        <w:tab/>
        <w:t>Med forbehold af grunden til undtagelse i artikel 8, stk. 1, litra a), er udstedelsesmedlemsstaten, når den vedtager foranstaltninger i henhold til denne artikel, bundet af og henholder sig til de oplysninger og forhold, der er fremlagt af overtrædelsesmedlemsstaten i overensstemmelse med artikel 5.</w:t>
      </w:r>
    </w:p>
    <w:p w14:paraId="2ECDA71B"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7</w:t>
      </w:r>
      <w:r w:rsidRPr="002E7AF0">
        <w:rPr>
          <w:szCs w:val="24"/>
          <w:lang w:eastAsia="en-US"/>
        </w:rPr>
        <w:br/>
        <w:t>Virkninger af frakendelser af førerretten i overtrædelsesmedlemsstaten</w:t>
      </w:r>
    </w:p>
    <w:p w14:paraId="22908629"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Dette direktiv er ikke til hinder for, at overtrædelsesmedlemsstaten på sit område og i overensstemmelse med sine nationale regler håndhæver frakendelsen af førerretten.</w:t>
      </w:r>
    </w:p>
    <w:p w14:paraId="1D779416"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Hvis udstedelsesmedlemsstaten har fået meddelelse om en frakendelse af førerretten med yderligere betingelser i overensstemmelse med artikel 4, stk. 1, kan overtrædelsesmedlemsstaten fortsat anvende en sådan frakendelse af førerretten på sit område, indtil den berørte person opfylder disse betingelser.</w:t>
      </w:r>
    </w:p>
    <w:p w14:paraId="3D4E9225" w14:textId="77777777" w:rsidR="005813C0" w:rsidRDefault="005813C0">
      <w:pPr>
        <w:widowControl/>
        <w:rPr>
          <w:szCs w:val="24"/>
          <w:lang w:eastAsia="en-US"/>
        </w:rPr>
      </w:pPr>
      <w:r>
        <w:rPr>
          <w:szCs w:val="24"/>
          <w:lang w:eastAsia="en-US"/>
        </w:rPr>
        <w:br w:type="page"/>
      </w:r>
    </w:p>
    <w:p w14:paraId="0F78C485" w14:textId="55B2A1A7" w:rsidR="002E7AF0" w:rsidRPr="002E7AF0" w:rsidRDefault="002E7AF0" w:rsidP="002E7AF0">
      <w:pPr>
        <w:spacing w:before="120" w:after="120" w:line="360" w:lineRule="auto"/>
        <w:ind w:left="850" w:hanging="850"/>
        <w:rPr>
          <w:b/>
          <w:szCs w:val="24"/>
          <w:lang w:eastAsia="en-US"/>
        </w:rPr>
      </w:pPr>
      <w:r w:rsidRPr="002E7AF0">
        <w:rPr>
          <w:szCs w:val="24"/>
          <w:lang w:eastAsia="en-US"/>
        </w:rPr>
        <w:lastRenderedPageBreak/>
        <w:t>3.</w:t>
      </w:r>
      <w:r w:rsidRPr="002E7AF0">
        <w:rPr>
          <w:szCs w:val="24"/>
          <w:lang w:eastAsia="en-US"/>
        </w:rPr>
        <w:tab/>
        <w:t xml:space="preserve">Yderligere betingelser, der er knyttet til en frakendelse af førerretten meddelt i henhold til artikel 4, stk. 1, anses dog for opfyldt af overtrædelsesmedlemsstaten, hvis udstedelsesmedlemsstaten kan bekræfte, at den berørte person </w:t>
      </w:r>
      <w:proofErr w:type="spellStart"/>
      <w:r w:rsidRPr="002E7AF0">
        <w:rPr>
          <w:strike/>
          <w:szCs w:val="24"/>
          <w:lang w:eastAsia="en-US"/>
        </w:rPr>
        <w:t>opfylder</w:t>
      </w:r>
      <w:r w:rsidRPr="002E7AF0">
        <w:rPr>
          <w:b/>
          <w:i/>
          <w:szCs w:val="24"/>
          <w:lang w:eastAsia="en-US"/>
        </w:rPr>
        <w:t>har</w:t>
      </w:r>
      <w:proofErr w:type="spellEnd"/>
      <w:r w:rsidRPr="002E7AF0">
        <w:rPr>
          <w:b/>
          <w:i/>
          <w:szCs w:val="24"/>
          <w:lang w:eastAsia="en-US"/>
        </w:rPr>
        <w:t xml:space="preserve"> opfyldt</w:t>
      </w:r>
      <w:r w:rsidRPr="002E7AF0">
        <w:rPr>
          <w:szCs w:val="24"/>
          <w:lang w:eastAsia="en-US"/>
        </w:rPr>
        <w:t xml:space="preserve"> betingelserne i udstedelsesmedlemsstaten for generhvervelse af førerretten eller kørekortet eller for at kunne ansøge om et nyt.</w:t>
      </w:r>
      <w:r w:rsidRPr="002E7AF0">
        <w:rPr>
          <w:b/>
          <w:i/>
          <w:szCs w:val="24"/>
          <w:lang w:eastAsia="en-US"/>
        </w:rPr>
        <w:t xml:space="preserve"> I så fald er overtrædelsesmedlemsstaten bundet af udstedelsesmedlemsstatens positive vurdering og dens virkninger. Overtrædelsesmedlemsstaten skal derfor ikke længere anvende de supplerende betingelser. Overtrædelsesmedlemsstaten kan dog fortsat anvende frakendelsen af førerretten på sit område indtil udløbet af dens varighed.</w:t>
      </w:r>
      <w:r w:rsidR="00C8158B">
        <w:rPr>
          <w:b/>
          <w:szCs w:val="24"/>
          <w:lang w:eastAsia="en-US"/>
        </w:rPr>
        <w:t xml:space="preserve"> [Ændring 27]</w:t>
      </w:r>
    </w:p>
    <w:p w14:paraId="2717E275"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8</w:t>
      </w:r>
      <w:r w:rsidRPr="002E7AF0">
        <w:rPr>
          <w:szCs w:val="24"/>
          <w:lang w:eastAsia="en-US"/>
        </w:rPr>
        <w:br/>
        <w:t xml:space="preserve">Grunde til undtagelse </w:t>
      </w:r>
    </w:p>
    <w:p w14:paraId="5A576890"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Udstedelsesmedlemsstaten træffer ikke de foranstaltninger, der er omhandlet i artikel 6, stk. 1, hvis:</w:t>
      </w:r>
    </w:p>
    <w:p w14:paraId="66532FC8"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det certifikat, der er omhandlet i artikel 5, er ufuldstændigt eller åbenbart ukorrekt, og de manglende eller korrekte oplysninger ikke er blevet fremlagt i overensstemmelse med nærværende artikels stk. 3</w:t>
      </w:r>
    </w:p>
    <w:p w14:paraId="707EAF78" w14:textId="77777777" w:rsidR="00E05383" w:rsidRDefault="00E05383">
      <w:pPr>
        <w:widowControl/>
        <w:rPr>
          <w:szCs w:val="24"/>
          <w:lang w:eastAsia="en-US"/>
        </w:rPr>
      </w:pPr>
      <w:r>
        <w:rPr>
          <w:szCs w:val="24"/>
          <w:lang w:eastAsia="en-US"/>
        </w:rPr>
        <w:br w:type="page"/>
      </w:r>
    </w:p>
    <w:p w14:paraId="205CF2D6" w14:textId="7EDFF31E" w:rsidR="002E7AF0" w:rsidRPr="002E7AF0" w:rsidRDefault="002E7AF0" w:rsidP="002E7AF0">
      <w:pPr>
        <w:spacing w:before="120" w:after="120" w:line="360" w:lineRule="auto"/>
        <w:ind w:left="1416" w:hanging="566"/>
        <w:rPr>
          <w:szCs w:val="24"/>
          <w:lang w:eastAsia="en-US"/>
        </w:rPr>
      </w:pPr>
      <w:r w:rsidRPr="002E7AF0">
        <w:rPr>
          <w:szCs w:val="24"/>
          <w:lang w:eastAsia="en-US"/>
        </w:rPr>
        <w:lastRenderedPageBreak/>
        <w:t>b)</w:t>
      </w:r>
      <w:r w:rsidRPr="002E7AF0">
        <w:rPr>
          <w:szCs w:val="24"/>
          <w:lang w:eastAsia="en-US"/>
        </w:rPr>
        <w:tab/>
        <w:t>frakendelsen af førerretten allerede er håndhævet fuldt ud i overtrædelsesmedlemsstaten</w:t>
      </w:r>
    </w:p>
    <w:p w14:paraId="28DCB3CA"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frakendelsen af førerretten er forældet i henhold til lovgivningen i udstedelsesmedlemsstaten</w:t>
      </w:r>
    </w:p>
    <w:p w14:paraId="35EA2121" w14:textId="1B43DFF4" w:rsidR="002E7AF0" w:rsidRPr="002E7AF0" w:rsidRDefault="002E7AF0" w:rsidP="002E7AF0">
      <w:pPr>
        <w:spacing w:before="120" w:after="120" w:line="360" w:lineRule="auto"/>
        <w:ind w:left="1416" w:hanging="566"/>
        <w:rPr>
          <w:b/>
          <w:szCs w:val="24"/>
          <w:lang w:eastAsia="en-US"/>
        </w:rPr>
      </w:pPr>
      <w:r w:rsidRPr="002E7AF0">
        <w:rPr>
          <w:strike/>
          <w:szCs w:val="24"/>
          <w:lang w:eastAsia="en-US"/>
        </w:rPr>
        <w:t>d)</w:t>
      </w:r>
      <w:r w:rsidRPr="002E7AF0">
        <w:rPr>
          <w:szCs w:val="24"/>
          <w:lang w:eastAsia="en-US"/>
        </w:rPr>
        <w:tab/>
      </w:r>
      <w:r w:rsidRPr="002E7AF0">
        <w:rPr>
          <w:strike/>
          <w:szCs w:val="24"/>
          <w:lang w:eastAsia="en-US"/>
        </w:rPr>
        <w:t>der er tilkendt et privilegium eller en immunitet i henhold til udstedelsesmedlemsstatens lovgivning, som forhindrer håndhævelsen af frakendelsen af førerretten</w:t>
      </w:r>
      <w:r w:rsidR="00C8158B">
        <w:rPr>
          <w:b/>
          <w:szCs w:val="24"/>
          <w:lang w:eastAsia="en-US"/>
        </w:rPr>
        <w:t xml:space="preserve"> [Ændring 28]</w:t>
      </w:r>
    </w:p>
    <w:p w14:paraId="7205B32C"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e)</w:t>
      </w:r>
      <w:r w:rsidRPr="002E7AF0">
        <w:rPr>
          <w:szCs w:val="24"/>
          <w:lang w:eastAsia="en-US"/>
        </w:rPr>
        <w:tab/>
        <w:t>den resterende varighed af den suspension eller begrænsning, der gælder i henhold til frakendelsen af førerretten, på tidspunktet for vedtagelsen af de foranstaltninger, der er omhandlet i artikel 6, stk. 3, er mindre end en måned</w:t>
      </w:r>
    </w:p>
    <w:p w14:paraId="5FB78410"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f)</w:t>
      </w:r>
      <w:r w:rsidRPr="002E7AF0">
        <w:rPr>
          <w:szCs w:val="24"/>
          <w:lang w:eastAsia="en-US"/>
        </w:rPr>
        <w:tab/>
        <w:t>retssagen har fundet sted, og den berørte person ifølge certifikatet ikke selv var til stede under den retssag, der førte til vedtagelsen af frakendelsen af førerretten, medmindre det fremgår af certifikatet, at en af følgende omstændigheder er indtrådt i overensstemmelse med yderligere proceduremæssige krav, der er fastsat i overtrædelsesmedlemsstatens lovgivning, dvs. hvis:</w:t>
      </w:r>
    </w:p>
    <w:p w14:paraId="79F73E40" w14:textId="77777777" w:rsidR="00E05383" w:rsidRDefault="00E05383">
      <w:pPr>
        <w:widowControl/>
        <w:rPr>
          <w:szCs w:val="24"/>
          <w:lang w:eastAsia="en-US"/>
        </w:rPr>
      </w:pPr>
      <w:r>
        <w:rPr>
          <w:szCs w:val="24"/>
          <w:lang w:eastAsia="en-US"/>
        </w:rPr>
        <w:br w:type="page"/>
      </w:r>
    </w:p>
    <w:p w14:paraId="1E523501" w14:textId="471E8C40" w:rsidR="002E7AF0" w:rsidRPr="002E7AF0" w:rsidRDefault="002E7AF0" w:rsidP="002E7AF0">
      <w:pPr>
        <w:spacing w:before="120" w:after="120" w:line="360" w:lineRule="auto"/>
        <w:ind w:left="1982" w:hanging="566"/>
        <w:rPr>
          <w:szCs w:val="24"/>
          <w:lang w:eastAsia="en-US"/>
        </w:rPr>
      </w:pPr>
      <w:r w:rsidRPr="002E7AF0">
        <w:rPr>
          <w:szCs w:val="24"/>
          <w:lang w:eastAsia="en-US"/>
        </w:rPr>
        <w:lastRenderedPageBreak/>
        <w:t>i)</w:t>
      </w:r>
      <w:r w:rsidRPr="002E7AF0">
        <w:rPr>
          <w:szCs w:val="24"/>
          <w:lang w:eastAsia="en-US"/>
        </w:rPr>
        <w:tab/>
        <w:t>den berørte person blev rettidigt indkaldt personligt og derved underrettet om den berammede dato og det berammede sted for den retssag, der førte til frakendelsen af førerretten, eller rent faktisk ad anden vej modtog officielle oplysninger om den berammede dato og det berammede sted for retssagen, på en sådan måde at det entydigt kunne fastslås, at den pågældende var bekendt med den berammede retssag og rettidigt blev underrettet om, at der kunne træffes en sådan afgørelse om frakendelse af førerretten, hvis den pågældende ikke mødte op ved retssagen</w:t>
      </w:r>
    </w:p>
    <w:p w14:paraId="52C81D03" w14:textId="77777777" w:rsidR="002E7AF0" w:rsidRPr="002E7AF0" w:rsidRDefault="002E7AF0" w:rsidP="002E7AF0">
      <w:pPr>
        <w:spacing w:before="120" w:after="120" w:line="360" w:lineRule="auto"/>
        <w:ind w:left="1982" w:hanging="566"/>
        <w:rPr>
          <w:szCs w:val="24"/>
          <w:lang w:eastAsia="en-US"/>
        </w:rPr>
      </w:pPr>
      <w:r w:rsidRPr="002E7AF0">
        <w:rPr>
          <w:szCs w:val="24"/>
          <w:lang w:eastAsia="en-US"/>
        </w:rPr>
        <w:t>ii)</w:t>
      </w:r>
      <w:r w:rsidRPr="002E7AF0">
        <w:rPr>
          <w:szCs w:val="24"/>
          <w:lang w:eastAsia="en-US"/>
        </w:rPr>
        <w:tab/>
        <w:t>den berørte person var klar over, at en retssag var berammet, havde givet mandat til en advokat, som enten af den pågældende selv eller af staten var udpeget til at repræsentere den pågældende person under retssagen, og denne advokat rent faktisk forestod dennes forsvar, eller</w:t>
      </w:r>
    </w:p>
    <w:p w14:paraId="599D2894" w14:textId="77777777" w:rsidR="00E05383" w:rsidRDefault="00E05383">
      <w:pPr>
        <w:widowControl/>
        <w:rPr>
          <w:szCs w:val="24"/>
          <w:lang w:eastAsia="en-US"/>
        </w:rPr>
      </w:pPr>
      <w:r>
        <w:rPr>
          <w:szCs w:val="24"/>
          <w:lang w:eastAsia="en-US"/>
        </w:rPr>
        <w:br w:type="page"/>
      </w:r>
    </w:p>
    <w:p w14:paraId="620DD806" w14:textId="1D1C16A3" w:rsidR="002E7AF0" w:rsidRPr="002E7AF0" w:rsidRDefault="002E7AF0" w:rsidP="002E7AF0">
      <w:pPr>
        <w:spacing w:before="120" w:after="120" w:line="360" w:lineRule="auto"/>
        <w:ind w:left="1982" w:hanging="566"/>
        <w:rPr>
          <w:szCs w:val="24"/>
          <w:lang w:eastAsia="en-US"/>
        </w:rPr>
      </w:pPr>
      <w:r w:rsidRPr="002E7AF0">
        <w:rPr>
          <w:szCs w:val="24"/>
          <w:lang w:eastAsia="en-US"/>
        </w:rPr>
        <w:lastRenderedPageBreak/>
        <w:t>iii)</w:t>
      </w:r>
      <w:r w:rsidRPr="002E7AF0">
        <w:rPr>
          <w:szCs w:val="24"/>
          <w:lang w:eastAsia="en-US"/>
        </w:rPr>
        <w:tab/>
        <w:t>den berørte person efter at have fået afgørelsen om frakendelsen af førerretten forkyndt og udtrykkeligt være blevet underrettet om retten til fornyet prøvelse eller anke, hvor den berørte person ville have ret til at deltage, og som ville give mulighed for, at sagens realiteter, herunder nyt bevismateriale, blev taget op igen, og som kunne føre til, at den oprindelige afgørelse om frakendelse af førerretten blev ændret, udtrykkeligt har erklæret, at vedkommende ikke anfægtede afgørelsen om frakendelse eller ikke har anmodet om fornyet prøvelse eller anke inden for den gældende tidsfrist</w:t>
      </w:r>
    </w:p>
    <w:p w14:paraId="48255983"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g)</w:t>
      </w:r>
      <w:r w:rsidRPr="002E7AF0">
        <w:rPr>
          <w:szCs w:val="24"/>
          <w:lang w:eastAsia="en-US"/>
        </w:rPr>
        <w:tab/>
        <w:t>der i ekstraordinære situationer er vægtige grunde til på grundlag af specifikke og objektive beviser at formode, at gennemførelsen af frakendelsen af førerretten under sagens særlige omstændigheder medfører en overtrædelse af en grundlæggende rettighed som indeholdt i chartret.</w:t>
      </w:r>
    </w:p>
    <w:p w14:paraId="5BE7CFAE"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Udstedelsesmedlemsstaten kan beslutte også at anvende følgende grunde til undtagelse:</w:t>
      </w:r>
    </w:p>
    <w:p w14:paraId="67171EED"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Frakendelsen af førerretten vedrører en alvorlig trafiksikkerhedsrelateret færdselslovsovertrædelse, som på grundlag af de oplysninger, der er meddelt i henhold til artikel 4, stk. 1, ikke ville blive sanktioneret med en frakendelse af førerretten i henhold til udstedelsesmedlemsstatens lovgivning.</w:t>
      </w:r>
    </w:p>
    <w:p w14:paraId="6937EC69" w14:textId="77777777" w:rsidR="00E05383" w:rsidRDefault="00E05383">
      <w:pPr>
        <w:widowControl/>
        <w:rPr>
          <w:szCs w:val="24"/>
          <w:lang w:eastAsia="en-US"/>
        </w:rPr>
      </w:pPr>
      <w:r>
        <w:rPr>
          <w:szCs w:val="24"/>
          <w:lang w:eastAsia="en-US"/>
        </w:rPr>
        <w:br w:type="page"/>
      </w:r>
    </w:p>
    <w:p w14:paraId="7D0A4655" w14:textId="19C1AAC4" w:rsidR="002E7AF0" w:rsidRPr="002E7AF0" w:rsidRDefault="002E7AF0" w:rsidP="002E7AF0">
      <w:pPr>
        <w:spacing w:before="120" w:after="120" w:line="360" w:lineRule="auto"/>
        <w:ind w:left="1416" w:hanging="566"/>
        <w:rPr>
          <w:b/>
          <w:szCs w:val="24"/>
          <w:lang w:eastAsia="en-US"/>
        </w:rPr>
      </w:pPr>
      <w:r w:rsidRPr="002E7AF0">
        <w:rPr>
          <w:szCs w:val="24"/>
          <w:lang w:eastAsia="en-US"/>
        </w:rPr>
        <w:lastRenderedPageBreak/>
        <w:t>b)</w:t>
      </w:r>
      <w:r w:rsidRPr="002E7AF0">
        <w:rPr>
          <w:szCs w:val="24"/>
          <w:lang w:eastAsia="en-US"/>
        </w:rPr>
        <w:tab/>
        <w:t>Frakendelsen af førerretten blev kun pålagt på grund af hastighedsoverskridelser, og de gældende hastighedsgrænser i overtrædelsesmedlemsstaten</w:t>
      </w:r>
      <w:r w:rsidRPr="002E7AF0">
        <w:rPr>
          <w:b/>
          <w:i/>
          <w:szCs w:val="24"/>
          <w:lang w:eastAsia="en-US"/>
        </w:rPr>
        <w:t>, forudsat at hastighedsgrænsen på den vej, hvor hastighedsoverskridelsen fandt sted, var klart afgrænset, for så vidt angår veje til beboelse,</w:t>
      </w:r>
      <w:r w:rsidRPr="002E7AF0">
        <w:rPr>
          <w:szCs w:val="24"/>
          <w:lang w:eastAsia="en-US"/>
        </w:rPr>
        <w:t xml:space="preserve"> blev overskredet med mindre end </w:t>
      </w:r>
      <w:r w:rsidRPr="002E7AF0">
        <w:rPr>
          <w:b/>
          <w:i/>
          <w:szCs w:val="24"/>
          <w:lang w:eastAsia="en-US"/>
        </w:rPr>
        <w:t>30 km/h og for veje, der ikke er beboelsesområder, med mindre end 50 km/h</w:t>
      </w:r>
      <w:r w:rsidRPr="002E7AF0">
        <w:rPr>
          <w:strike/>
          <w:szCs w:val="24"/>
          <w:lang w:eastAsia="en-US"/>
        </w:rPr>
        <w:t>50 km/t.</w:t>
      </w:r>
      <w:r w:rsidR="00C8158B">
        <w:rPr>
          <w:b/>
          <w:szCs w:val="24"/>
          <w:lang w:eastAsia="en-US"/>
        </w:rPr>
        <w:t xml:space="preserve"> [Ændring 29]</w:t>
      </w:r>
    </w:p>
    <w:p w14:paraId="0E391BB9"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I henhold til udstedelsesmedlemsstatens lovgivning kan den berørte person på grund af sin alder ikke holdes ansvarlig for den alvorlige trafiksikkerhedsrelaterede færdselslovsovertrædelse, der er omfattet af en afgørelse om frakendelse af førerretten.</w:t>
      </w:r>
    </w:p>
    <w:p w14:paraId="3FE950F6" w14:textId="772B2268" w:rsidR="002E7AF0" w:rsidRPr="002E7AF0" w:rsidRDefault="002E7AF0" w:rsidP="002E7AF0">
      <w:pPr>
        <w:spacing w:before="120" w:after="120" w:line="360" w:lineRule="auto"/>
        <w:ind w:left="850" w:hanging="850"/>
        <w:rPr>
          <w:b/>
          <w:szCs w:val="24"/>
          <w:lang w:eastAsia="en-US"/>
        </w:rPr>
      </w:pPr>
      <w:r w:rsidRPr="002E7AF0">
        <w:rPr>
          <w:szCs w:val="24"/>
          <w:lang w:eastAsia="en-US"/>
        </w:rPr>
        <w:t>3.</w:t>
      </w:r>
      <w:r w:rsidRPr="002E7AF0">
        <w:rPr>
          <w:szCs w:val="24"/>
          <w:lang w:eastAsia="en-US"/>
        </w:rPr>
        <w:tab/>
        <w:t xml:space="preserve">Når udstedelsesmedlemsstaten i et konkret tilfælde har til hensigt at anvende en grund til undtagelse i henhold til stk. 1 eller 2, underretter den </w:t>
      </w:r>
      <w:proofErr w:type="spellStart"/>
      <w:r w:rsidRPr="002E7AF0">
        <w:rPr>
          <w:strike/>
          <w:szCs w:val="24"/>
          <w:lang w:eastAsia="en-US"/>
        </w:rPr>
        <w:t>straks</w:t>
      </w:r>
      <w:r w:rsidRPr="002E7AF0">
        <w:rPr>
          <w:b/>
          <w:i/>
          <w:szCs w:val="24"/>
          <w:lang w:eastAsia="en-US"/>
        </w:rPr>
        <w:t>inden</w:t>
      </w:r>
      <w:proofErr w:type="spellEnd"/>
      <w:r w:rsidRPr="002E7AF0">
        <w:rPr>
          <w:b/>
          <w:i/>
          <w:szCs w:val="24"/>
          <w:lang w:eastAsia="en-US"/>
        </w:rPr>
        <w:t xml:space="preserve"> for højst ti arbejdsdage efter afgørelsen om at anvende en undtagelse</w:t>
      </w:r>
      <w:r w:rsidRPr="002E7AF0">
        <w:rPr>
          <w:szCs w:val="24"/>
          <w:lang w:eastAsia="en-US"/>
        </w:rPr>
        <w:t xml:space="preserve"> overtrædelsesmedlemsstaten og anmoder, hvis det er relevant, om alle nødvendige oplysninger med henblik på at undersøge, om en af de omhandlede grunde til undtagelse finder anvendelse. Overtrædelsesmedlemsstaten fremlægger </w:t>
      </w:r>
      <w:proofErr w:type="spellStart"/>
      <w:r w:rsidRPr="002E7AF0">
        <w:rPr>
          <w:strike/>
          <w:szCs w:val="24"/>
          <w:lang w:eastAsia="en-US"/>
        </w:rPr>
        <w:t>straks</w:t>
      </w:r>
      <w:r w:rsidRPr="002E7AF0">
        <w:rPr>
          <w:b/>
          <w:i/>
          <w:szCs w:val="24"/>
          <w:lang w:eastAsia="en-US"/>
        </w:rPr>
        <w:t>senest</w:t>
      </w:r>
      <w:proofErr w:type="spellEnd"/>
      <w:r w:rsidRPr="002E7AF0">
        <w:rPr>
          <w:b/>
          <w:i/>
          <w:szCs w:val="24"/>
          <w:lang w:eastAsia="en-US"/>
        </w:rPr>
        <w:t xml:space="preserve"> ti arbejdsdage efter anmodningen</w:t>
      </w:r>
      <w:r w:rsidRPr="002E7AF0">
        <w:rPr>
          <w:szCs w:val="24"/>
          <w:lang w:eastAsia="en-US"/>
        </w:rPr>
        <w:t xml:space="preserve"> de ønskede oplysninger og kan fremlægge eventuelle yderligere oplysninger eller bemærkninger, som den finder relevante.</w:t>
      </w:r>
      <w:r w:rsidR="00C8158B">
        <w:rPr>
          <w:b/>
          <w:szCs w:val="24"/>
          <w:lang w:eastAsia="en-US"/>
        </w:rPr>
        <w:t xml:space="preserve"> [Ændring 30]</w:t>
      </w:r>
    </w:p>
    <w:p w14:paraId="328580C8" w14:textId="77777777" w:rsidR="00E05383" w:rsidRDefault="00E05383">
      <w:pPr>
        <w:widowControl/>
        <w:rPr>
          <w:szCs w:val="24"/>
          <w:lang w:eastAsia="en-US"/>
        </w:rPr>
      </w:pPr>
      <w:r>
        <w:rPr>
          <w:szCs w:val="24"/>
          <w:lang w:eastAsia="en-US"/>
        </w:rPr>
        <w:br w:type="page"/>
      </w:r>
    </w:p>
    <w:p w14:paraId="74D3D584" w14:textId="217577E6" w:rsidR="002E7AF0" w:rsidRPr="002E7AF0" w:rsidRDefault="002E7AF0" w:rsidP="002E7AF0">
      <w:pPr>
        <w:spacing w:before="120" w:after="120" w:line="360" w:lineRule="auto"/>
        <w:ind w:left="850"/>
        <w:rPr>
          <w:szCs w:val="24"/>
          <w:lang w:eastAsia="en-US"/>
        </w:rPr>
      </w:pPr>
      <w:r w:rsidRPr="002E7AF0">
        <w:rPr>
          <w:szCs w:val="24"/>
          <w:lang w:eastAsia="en-US"/>
        </w:rPr>
        <w:lastRenderedPageBreak/>
        <w:t>Oplysninger, der gives i henhold til dette stykke, må ikke omfatte andre personoplysninger end dem, der er strengt nødvendige for anvendelsen af stk. 1 og 2, og må kun anvendes med henblik på anvendelsen af disse stykker.</w:t>
      </w:r>
    </w:p>
    <w:p w14:paraId="7DB31539"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9</w:t>
      </w:r>
      <w:r w:rsidRPr="002E7AF0">
        <w:rPr>
          <w:szCs w:val="24"/>
          <w:lang w:eastAsia="en-US"/>
        </w:rPr>
        <w:br/>
        <w:t xml:space="preserve">Frister </w:t>
      </w:r>
    </w:p>
    <w:p w14:paraId="5A4217AD" w14:textId="305111E0" w:rsidR="002E7AF0" w:rsidRPr="002E7AF0" w:rsidRDefault="002E7AF0" w:rsidP="002E7AF0">
      <w:pPr>
        <w:spacing w:before="120" w:after="120" w:line="360" w:lineRule="auto"/>
        <w:ind w:left="850" w:hanging="850"/>
        <w:rPr>
          <w:b/>
          <w:szCs w:val="24"/>
          <w:lang w:eastAsia="en-US"/>
        </w:rPr>
      </w:pPr>
      <w:r w:rsidRPr="002E7AF0">
        <w:rPr>
          <w:szCs w:val="24"/>
          <w:lang w:eastAsia="en-US"/>
        </w:rPr>
        <w:t>1.</w:t>
      </w:r>
      <w:r w:rsidRPr="002E7AF0">
        <w:rPr>
          <w:szCs w:val="24"/>
          <w:lang w:eastAsia="en-US"/>
        </w:rPr>
        <w:tab/>
        <w:t xml:space="preserve">Udstedelsesmedlemsstaten træffer de foranstaltninger, der er omhandlet i artikel 6, stk. 1, eller vedtager en afgørelse om, at en grund til undtagelse i henhold til artikel 8 finder anvendelse straks, og senest 15 </w:t>
      </w:r>
      <w:proofErr w:type="spellStart"/>
      <w:r w:rsidRPr="002E7AF0">
        <w:rPr>
          <w:strike/>
          <w:szCs w:val="24"/>
          <w:lang w:eastAsia="en-US"/>
        </w:rPr>
        <w:t>dage</w:t>
      </w:r>
      <w:r w:rsidRPr="002E7AF0">
        <w:rPr>
          <w:b/>
          <w:i/>
          <w:szCs w:val="24"/>
          <w:lang w:eastAsia="en-US"/>
        </w:rPr>
        <w:t>arbejdsdage</w:t>
      </w:r>
      <w:proofErr w:type="spellEnd"/>
      <w:r w:rsidRPr="002E7AF0">
        <w:rPr>
          <w:szCs w:val="24"/>
          <w:lang w:eastAsia="en-US"/>
        </w:rPr>
        <w:t xml:space="preserve"> efter at den har modtaget certifikatet i overensstemmelse med artikel 5, stk. 1, jf. dog stk. 3.</w:t>
      </w:r>
      <w:r w:rsidR="00C8158B">
        <w:rPr>
          <w:b/>
          <w:szCs w:val="24"/>
          <w:lang w:eastAsia="en-US"/>
        </w:rPr>
        <w:t xml:space="preserve"> [Ændring 31]</w:t>
      </w:r>
    </w:p>
    <w:p w14:paraId="34933E4F" w14:textId="55F12D81" w:rsidR="002E7AF0" w:rsidRPr="002E7AF0" w:rsidRDefault="002E7AF0" w:rsidP="002E7AF0">
      <w:pPr>
        <w:spacing w:before="120" w:after="120" w:line="360" w:lineRule="auto"/>
        <w:ind w:left="850" w:hanging="850"/>
        <w:rPr>
          <w:b/>
          <w:szCs w:val="24"/>
          <w:lang w:eastAsia="en-US"/>
        </w:rPr>
      </w:pPr>
      <w:r w:rsidRPr="002E7AF0">
        <w:rPr>
          <w:szCs w:val="24"/>
          <w:lang w:eastAsia="en-US"/>
        </w:rPr>
        <w:t>2.</w:t>
      </w:r>
      <w:r w:rsidRPr="002E7AF0">
        <w:rPr>
          <w:szCs w:val="24"/>
          <w:lang w:eastAsia="en-US"/>
        </w:rPr>
        <w:tab/>
        <w:t xml:space="preserve">Det nationale kontaktpunkt i udstedelsesmedlemsstaten underretter </w:t>
      </w:r>
      <w:proofErr w:type="spellStart"/>
      <w:r w:rsidRPr="002E7AF0">
        <w:rPr>
          <w:strike/>
          <w:szCs w:val="24"/>
          <w:lang w:eastAsia="en-US"/>
        </w:rPr>
        <w:t>straks</w:t>
      </w:r>
      <w:r w:rsidRPr="002E7AF0">
        <w:rPr>
          <w:b/>
          <w:i/>
          <w:szCs w:val="24"/>
          <w:lang w:eastAsia="en-US"/>
        </w:rPr>
        <w:t>senest</w:t>
      </w:r>
      <w:proofErr w:type="spellEnd"/>
      <w:r w:rsidRPr="002E7AF0">
        <w:rPr>
          <w:b/>
          <w:i/>
          <w:szCs w:val="24"/>
          <w:lang w:eastAsia="en-US"/>
        </w:rPr>
        <w:t xml:space="preserve"> ti arbejdsdage efter deres vedtagelse</w:t>
      </w:r>
      <w:r w:rsidRPr="002E7AF0">
        <w:rPr>
          <w:szCs w:val="24"/>
          <w:lang w:eastAsia="en-US"/>
        </w:rPr>
        <w:t xml:space="preserve"> via RESPER det nationale kontaktpunkt i overtrædelsesmedlemsstaten om de foranstaltninger, der er truffet i henhold til artikel 6, stk. 1, eller afgørelsen om, at en grund til undtagelse finder anvendelse i henhold til artikel 8.</w:t>
      </w:r>
      <w:r w:rsidR="00C8158B">
        <w:rPr>
          <w:b/>
          <w:szCs w:val="24"/>
          <w:lang w:eastAsia="en-US"/>
        </w:rPr>
        <w:t xml:space="preserve"> [Ændring 32]</w:t>
      </w:r>
    </w:p>
    <w:p w14:paraId="0D0F3C20" w14:textId="77777777" w:rsidR="00E05383" w:rsidRDefault="00E05383">
      <w:pPr>
        <w:widowControl/>
        <w:rPr>
          <w:szCs w:val="24"/>
          <w:lang w:eastAsia="en-US"/>
        </w:rPr>
      </w:pPr>
      <w:r>
        <w:rPr>
          <w:szCs w:val="24"/>
          <w:lang w:eastAsia="en-US"/>
        </w:rPr>
        <w:br w:type="page"/>
      </w:r>
    </w:p>
    <w:p w14:paraId="0FCA3D36" w14:textId="46AA4469"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3.</w:t>
      </w:r>
      <w:r w:rsidRPr="002E7AF0">
        <w:rPr>
          <w:szCs w:val="24"/>
          <w:lang w:eastAsia="en-US"/>
        </w:rPr>
        <w:tab/>
        <w:t xml:space="preserve">Hvis det i særlige tilfælde ikke er muligt at overholde den frist, der er fastsat i stk. 1, underretter det nationale kontaktpunkt i udstedelsesmedlemsstaten </w:t>
      </w:r>
      <w:proofErr w:type="spellStart"/>
      <w:r w:rsidRPr="002E7AF0">
        <w:rPr>
          <w:strike/>
          <w:szCs w:val="24"/>
          <w:lang w:eastAsia="en-US"/>
        </w:rPr>
        <w:t>straks</w:t>
      </w:r>
      <w:r w:rsidRPr="002E7AF0">
        <w:rPr>
          <w:b/>
          <w:i/>
          <w:szCs w:val="24"/>
          <w:lang w:eastAsia="en-US"/>
        </w:rPr>
        <w:t>via</w:t>
      </w:r>
      <w:proofErr w:type="spellEnd"/>
      <w:r w:rsidRPr="002E7AF0">
        <w:rPr>
          <w:b/>
          <w:i/>
          <w:szCs w:val="24"/>
          <w:lang w:eastAsia="en-US"/>
        </w:rPr>
        <w:t xml:space="preserve"> </w:t>
      </w:r>
      <w:proofErr w:type="spellStart"/>
      <w:r w:rsidRPr="002E7AF0">
        <w:rPr>
          <w:b/>
          <w:i/>
          <w:szCs w:val="24"/>
          <w:lang w:eastAsia="en-US"/>
        </w:rPr>
        <w:t>RESPER</w:t>
      </w:r>
      <w:proofErr w:type="spellEnd"/>
      <w:r w:rsidRPr="002E7AF0">
        <w:rPr>
          <w:b/>
          <w:i/>
          <w:szCs w:val="24"/>
          <w:lang w:eastAsia="en-US"/>
        </w:rPr>
        <w:t xml:space="preserve"> senest ti arbejdsdage efter udløbet af denne frist</w:t>
      </w:r>
      <w:r w:rsidRPr="002E7AF0">
        <w:rPr>
          <w:szCs w:val="24"/>
          <w:lang w:eastAsia="en-US"/>
        </w:rPr>
        <w:t xml:space="preserve"> det nationale kontaktpunkt i overtrædelsesmedlemsstaten</w:t>
      </w:r>
      <w:r w:rsidRPr="002E7AF0">
        <w:rPr>
          <w:strike/>
          <w:szCs w:val="24"/>
          <w:lang w:eastAsia="en-US"/>
        </w:rPr>
        <w:t xml:space="preserve"> på en hvilken som helst måde</w:t>
      </w:r>
      <w:r w:rsidRPr="002E7AF0">
        <w:rPr>
          <w:szCs w:val="24"/>
          <w:lang w:eastAsia="en-US"/>
        </w:rPr>
        <w:t xml:space="preserve"> og angiver årsagerne til, at det ikke har været muligt at overholde denne frist.</w:t>
      </w:r>
    </w:p>
    <w:p w14:paraId="5C9AF24B" w14:textId="5ABDB389" w:rsidR="002E7AF0" w:rsidRPr="002E7AF0" w:rsidRDefault="002E7AF0" w:rsidP="002E7AF0">
      <w:pPr>
        <w:spacing w:before="120" w:after="120" w:line="360" w:lineRule="auto"/>
        <w:ind w:left="850"/>
        <w:rPr>
          <w:b/>
          <w:szCs w:val="24"/>
          <w:lang w:eastAsia="en-US"/>
        </w:rPr>
      </w:pPr>
      <w:r w:rsidRPr="002E7AF0">
        <w:rPr>
          <w:szCs w:val="24"/>
          <w:lang w:eastAsia="en-US"/>
        </w:rPr>
        <w:t>Udløbet af den frist, der er fastsat i stk. 1, fritager ikke udstedelsesmedlemsstaten for forpligtelsen til straks at træffe de foranstaltninger, der er omhandlet i artikel 6, stk. 1.</w:t>
      </w:r>
      <w:r w:rsidR="00C8158B">
        <w:rPr>
          <w:b/>
          <w:szCs w:val="24"/>
          <w:lang w:eastAsia="en-US"/>
        </w:rPr>
        <w:t xml:space="preserve"> [Ændring 33]</w:t>
      </w:r>
    </w:p>
    <w:p w14:paraId="3F4E117F"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10</w:t>
      </w:r>
      <w:r w:rsidRPr="002E7AF0">
        <w:rPr>
          <w:szCs w:val="24"/>
          <w:lang w:eastAsia="en-US"/>
        </w:rPr>
        <w:br/>
        <w:t>Rådføring mellem medlemsstaterne</w:t>
      </w:r>
    </w:p>
    <w:p w14:paraId="3101FE58" w14:textId="705CE5D5" w:rsidR="002E7AF0" w:rsidRPr="002E7AF0" w:rsidRDefault="002E7AF0" w:rsidP="002E7AF0">
      <w:pPr>
        <w:spacing w:before="120" w:after="120" w:line="360" w:lineRule="auto"/>
        <w:rPr>
          <w:b/>
          <w:szCs w:val="24"/>
          <w:lang w:eastAsia="en-US"/>
        </w:rPr>
      </w:pPr>
      <w:r w:rsidRPr="002E7AF0">
        <w:rPr>
          <w:szCs w:val="24"/>
          <w:lang w:eastAsia="en-US"/>
        </w:rPr>
        <w:t xml:space="preserve">Om nødvendigt rådfører medlemsstaterne sig </w:t>
      </w:r>
      <w:proofErr w:type="spellStart"/>
      <w:r w:rsidRPr="002E7AF0">
        <w:rPr>
          <w:strike/>
          <w:szCs w:val="24"/>
          <w:lang w:eastAsia="en-US"/>
        </w:rPr>
        <w:t>straks</w:t>
      </w:r>
      <w:r w:rsidRPr="002E7AF0">
        <w:rPr>
          <w:b/>
          <w:i/>
          <w:szCs w:val="24"/>
          <w:lang w:eastAsia="en-US"/>
        </w:rPr>
        <w:t>rettidigt</w:t>
      </w:r>
      <w:proofErr w:type="spellEnd"/>
      <w:r w:rsidRPr="002E7AF0">
        <w:rPr>
          <w:szCs w:val="24"/>
          <w:lang w:eastAsia="en-US"/>
        </w:rPr>
        <w:t xml:space="preserve"> med hinanden</w:t>
      </w:r>
      <w:r w:rsidRPr="002E7AF0">
        <w:rPr>
          <w:strike/>
          <w:szCs w:val="24"/>
          <w:lang w:eastAsia="en-US"/>
        </w:rPr>
        <w:t xml:space="preserve"> på passende vis</w:t>
      </w:r>
      <w:r w:rsidRPr="002E7AF0">
        <w:rPr>
          <w:szCs w:val="24"/>
          <w:lang w:eastAsia="en-US"/>
        </w:rPr>
        <w:t xml:space="preserve"> for at sikre en effektiv anvendelse af dette direktiv.</w:t>
      </w:r>
      <w:r w:rsidR="00C8158B">
        <w:rPr>
          <w:b/>
          <w:szCs w:val="24"/>
          <w:lang w:eastAsia="en-US"/>
        </w:rPr>
        <w:t xml:space="preserve"> [Ændring 34]</w:t>
      </w:r>
    </w:p>
    <w:p w14:paraId="4E9629F6" w14:textId="77777777" w:rsidR="00E05383" w:rsidRDefault="00E05383">
      <w:pPr>
        <w:widowControl/>
        <w:rPr>
          <w:szCs w:val="24"/>
          <w:lang w:eastAsia="en-US"/>
        </w:rPr>
      </w:pPr>
      <w:r>
        <w:rPr>
          <w:szCs w:val="24"/>
          <w:lang w:eastAsia="en-US"/>
        </w:rPr>
        <w:br w:type="page"/>
      </w:r>
    </w:p>
    <w:p w14:paraId="34873B34" w14:textId="1C825226"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11</w:t>
      </w:r>
      <w:r w:rsidRPr="002E7AF0">
        <w:rPr>
          <w:szCs w:val="24"/>
          <w:lang w:eastAsia="en-US"/>
        </w:rPr>
        <w:br/>
        <w:t>Oplysninger fra udstedelsesmedlemsstaten</w:t>
      </w:r>
    </w:p>
    <w:p w14:paraId="42F70D70" w14:textId="4ECF02A6" w:rsidR="002E7AF0" w:rsidRPr="002E7AF0" w:rsidRDefault="002E7AF0" w:rsidP="002E7AF0">
      <w:pPr>
        <w:spacing w:before="120" w:after="120" w:line="360" w:lineRule="auto"/>
        <w:rPr>
          <w:b/>
          <w:szCs w:val="24"/>
          <w:lang w:eastAsia="en-US"/>
        </w:rPr>
      </w:pPr>
      <w:r w:rsidRPr="002E7AF0">
        <w:rPr>
          <w:szCs w:val="24"/>
          <w:lang w:eastAsia="en-US"/>
        </w:rPr>
        <w:t xml:space="preserve">Det nationale kontaktpunkt i udstedelsesmedlemsstaten underretter </w:t>
      </w:r>
      <w:proofErr w:type="spellStart"/>
      <w:r w:rsidRPr="002E7AF0">
        <w:rPr>
          <w:strike/>
          <w:szCs w:val="24"/>
          <w:lang w:eastAsia="en-US"/>
        </w:rPr>
        <w:t>straks</w:t>
      </w:r>
      <w:r w:rsidRPr="002E7AF0">
        <w:rPr>
          <w:b/>
          <w:i/>
          <w:szCs w:val="24"/>
          <w:lang w:eastAsia="en-US"/>
        </w:rPr>
        <w:t>senest</w:t>
      </w:r>
      <w:proofErr w:type="spellEnd"/>
      <w:r w:rsidRPr="002E7AF0">
        <w:rPr>
          <w:b/>
          <w:i/>
          <w:szCs w:val="24"/>
          <w:lang w:eastAsia="en-US"/>
        </w:rPr>
        <w:t xml:space="preserve"> ti arbejdsdage efter vedtagelsen</w:t>
      </w:r>
      <w:r w:rsidRPr="002E7AF0">
        <w:rPr>
          <w:szCs w:val="24"/>
          <w:lang w:eastAsia="en-US"/>
        </w:rPr>
        <w:t xml:space="preserve"> det nationale kontaktpunkt i overtrædelsesmedlemsstaten:</w:t>
      </w:r>
      <w:r w:rsidR="00C8158B">
        <w:rPr>
          <w:b/>
          <w:szCs w:val="24"/>
          <w:lang w:eastAsia="en-US"/>
        </w:rPr>
        <w:t xml:space="preserve"> [Ændring 35]</w:t>
      </w:r>
    </w:p>
    <w:p w14:paraId="1ACB4979"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a)</w:t>
      </w:r>
      <w:r w:rsidRPr="002E7AF0">
        <w:rPr>
          <w:szCs w:val="24"/>
          <w:lang w:eastAsia="en-US"/>
        </w:rPr>
        <w:tab/>
        <w:t>om modtagelsen af meddelelsen om frakendelse af førerretten i overensstemmelse med artikel 4, stk. 1</w:t>
      </w:r>
    </w:p>
    <w:p w14:paraId="03CE5AE3"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b)</w:t>
      </w:r>
      <w:r w:rsidRPr="002E7AF0">
        <w:rPr>
          <w:szCs w:val="24"/>
          <w:lang w:eastAsia="en-US"/>
        </w:rPr>
        <w:tab/>
        <w:t>om de foranstaltninger, der er truffet i henhold til artikel 6, når de er blevet juridisk bindende</w:t>
      </w:r>
    </w:p>
    <w:p w14:paraId="1E816539"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c)</w:t>
      </w:r>
      <w:r w:rsidRPr="002E7AF0">
        <w:rPr>
          <w:szCs w:val="24"/>
          <w:lang w:eastAsia="en-US"/>
        </w:rPr>
        <w:tab/>
        <w:t>om enhver beslutning om, at en grund til undtagelse i henhold til artikel 8 finder anvendelse, sammen med begrundelsen for beslutningen</w:t>
      </w:r>
    </w:p>
    <w:p w14:paraId="6514FC5E"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d)</w:t>
      </w:r>
      <w:r w:rsidRPr="002E7AF0">
        <w:rPr>
          <w:szCs w:val="24"/>
          <w:lang w:eastAsia="en-US"/>
        </w:rPr>
        <w:tab/>
        <w:t>om enhver foranstaltning, der suspenderer eller ophæver den EU-dækkende virkning af frakendelsen af førerretten og de underliggende årsager, herunder på grund af den berørte persons vellykkede anfægtelse.</w:t>
      </w:r>
    </w:p>
    <w:p w14:paraId="03D8762C" w14:textId="77777777" w:rsidR="00E05383" w:rsidRDefault="00E05383">
      <w:pPr>
        <w:widowControl/>
        <w:rPr>
          <w:szCs w:val="24"/>
          <w:lang w:eastAsia="en-US"/>
        </w:rPr>
      </w:pPr>
      <w:r>
        <w:rPr>
          <w:szCs w:val="24"/>
          <w:lang w:eastAsia="en-US"/>
        </w:rPr>
        <w:br w:type="page"/>
      </w:r>
    </w:p>
    <w:p w14:paraId="712298FB" w14:textId="71D49802"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12</w:t>
      </w:r>
      <w:r w:rsidRPr="002E7AF0">
        <w:rPr>
          <w:szCs w:val="24"/>
          <w:lang w:eastAsia="en-US"/>
        </w:rPr>
        <w:br/>
        <w:t>Oplysninger fra overtrædelsesmedlemsstaten</w:t>
      </w:r>
    </w:p>
    <w:p w14:paraId="5753D888" w14:textId="611C4770" w:rsidR="002E7AF0" w:rsidRPr="002E7AF0" w:rsidRDefault="002E7AF0" w:rsidP="002E7AF0">
      <w:pPr>
        <w:spacing w:before="120" w:after="120" w:line="360" w:lineRule="auto"/>
        <w:rPr>
          <w:b/>
          <w:szCs w:val="24"/>
          <w:lang w:eastAsia="en-US"/>
        </w:rPr>
      </w:pPr>
      <w:r w:rsidRPr="002E7AF0">
        <w:rPr>
          <w:szCs w:val="24"/>
          <w:lang w:eastAsia="en-US"/>
        </w:rPr>
        <w:t xml:space="preserve">Det nationale kontaktpunkt i overtrædelsesmedlemsstaten underretter </w:t>
      </w:r>
      <w:proofErr w:type="spellStart"/>
      <w:r w:rsidRPr="002E7AF0">
        <w:rPr>
          <w:strike/>
          <w:szCs w:val="24"/>
          <w:lang w:eastAsia="en-US"/>
        </w:rPr>
        <w:t>straks</w:t>
      </w:r>
      <w:r w:rsidRPr="002E7AF0">
        <w:rPr>
          <w:b/>
          <w:i/>
          <w:szCs w:val="24"/>
          <w:lang w:eastAsia="en-US"/>
        </w:rPr>
        <w:t>senest</w:t>
      </w:r>
      <w:proofErr w:type="spellEnd"/>
      <w:r w:rsidRPr="002E7AF0">
        <w:rPr>
          <w:b/>
          <w:i/>
          <w:szCs w:val="24"/>
          <w:lang w:eastAsia="en-US"/>
        </w:rPr>
        <w:t xml:space="preserve"> ti arbejdsdage efter vedtagelsen</w:t>
      </w:r>
      <w:r w:rsidRPr="002E7AF0">
        <w:rPr>
          <w:szCs w:val="24"/>
          <w:lang w:eastAsia="en-US"/>
        </w:rPr>
        <w:t xml:space="preserve"> det nationale kontaktpunkt i udstedelsesmedlemsstaten:</w:t>
      </w:r>
      <w:r w:rsidR="00C8158B">
        <w:rPr>
          <w:b/>
          <w:szCs w:val="24"/>
          <w:lang w:eastAsia="en-US"/>
        </w:rPr>
        <w:t xml:space="preserve"> [Ændring 36]</w:t>
      </w:r>
    </w:p>
    <w:p w14:paraId="46A6C348" w14:textId="3D84C582" w:rsidR="002E7AF0" w:rsidRPr="002E7AF0" w:rsidRDefault="002E7AF0" w:rsidP="002E7AF0">
      <w:pPr>
        <w:spacing w:before="120" w:after="120" w:line="360" w:lineRule="auto"/>
        <w:ind w:left="850" w:hanging="850"/>
        <w:rPr>
          <w:b/>
          <w:szCs w:val="24"/>
          <w:lang w:eastAsia="en-US"/>
        </w:rPr>
      </w:pPr>
      <w:r w:rsidRPr="002E7AF0">
        <w:rPr>
          <w:szCs w:val="24"/>
          <w:lang w:eastAsia="en-US"/>
        </w:rPr>
        <w:t>a)</w:t>
      </w:r>
      <w:r w:rsidRPr="002E7AF0">
        <w:rPr>
          <w:szCs w:val="24"/>
          <w:lang w:eastAsia="en-US"/>
        </w:rPr>
        <w:tab/>
        <w:t>om enhver omstændighed, der påvirker afgørelsen om frakendelsen af førerretten</w:t>
      </w:r>
      <w:r w:rsidRPr="002E7AF0">
        <w:rPr>
          <w:b/>
          <w:i/>
          <w:szCs w:val="24"/>
          <w:lang w:eastAsia="en-US"/>
        </w:rPr>
        <w:t>, herunder alle relevante oplysninger om enhver opfyldelse, der allerede har fundet sted i overtrædelsesmedlemsstaten, af eventuelle yderligere betingelser, der er pålagt i forbindelse med en frakendelse af førerretten</w:t>
      </w:r>
      <w:r w:rsidR="00C8158B">
        <w:rPr>
          <w:b/>
          <w:szCs w:val="24"/>
          <w:lang w:eastAsia="en-US"/>
        </w:rPr>
        <w:t xml:space="preserve"> [Ændring 37]</w:t>
      </w:r>
    </w:p>
    <w:p w14:paraId="069E6DE3"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b)</w:t>
      </w:r>
      <w:r w:rsidRPr="002E7AF0">
        <w:rPr>
          <w:szCs w:val="24"/>
          <w:lang w:eastAsia="en-US"/>
        </w:rPr>
        <w:tab/>
        <w:t>om håndhævelsen af frakendelsen af førerretten i overtrædelsesmedlemsstaten.</w:t>
      </w:r>
    </w:p>
    <w:p w14:paraId="2C60E506" w14:textId="77777777" w:rsidR="00E05383" w:rsidRDefault="00E05383">
      <w:pPr>
        <w:widowControl/>
        <w:rPr>
          <w:szCs w:val="24"/>
          <w:lang w:eastAsia="en-US"/>
        </w:rPr>
      </w:pPr>
      <w:r>
        <w:rPr>
          <w:szCs w:val="24"/>
          <w:lang w:eastAsia="en-US"/>
        </w:rPr>
        <w:br w:type="page"/>
      </w:r>
    </w:p>
    <w:p w14:paraId="06EA50F2" w14:textId="223A29C3"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13</w:t>
      </w:r>
      <w:r w:rsidRPr="002E7AF0">
        <w:rPr>
          <w:szCs w:val="24"/>
          <w:lang w:eastAsia="en-US"/>
        </w:rPr>
        <w:br/>
        <w:t>Forpligtelse til at underrette den berørte person</w:t>
      </w:r>
    </w:p>
    <w:p w14:paraId="662FFF38" w14:textId="45A0F277" w:rsidR="002E7AF0" w:rsidRPr="002E7AF0" w:rsidRDefault="002E7AF0" w:rsidP="002E7AF0">
      <w:pPr>
        <w:spacing w:before="120" w:after="120" w:line="360" w:lineRule="auto"/>
        <w:ind w:left="850" w:hanging="850"/>
        <w:rPr>
          <w:b/>
          <w:szCs w:val="24"/>
          <w:lang w:eastAsia="en-US"/>
        </w:rPr>
      </w:pPr>
      <w:r w:rsidRPr="002E7AF0">
        <w:rPr>
          <w:szCs w:val="24"/>
          <w:lang w:eastAsia="en-US"/>
        </w:rPr>
        <w:t>1.</w:t>
      </w:r>
      <w:r w:rsidRPr="002E7AF0">
        <w:rPr>
          <w:szCs w:val="24"/>
          <w:lang w:eastAsia="en-US"/>
        </w:rPr>
        <w:tab/>
        <w:t xml:space="preserve">Efter både modtagelsen af underretningen i henhold til artikel 4, stk. 1, og vedtagelsen af foranstaltninger i henhold til artikel 6, stk. 1, underretter udstedelsesmedlemsstaten </w:t>
      </w:r>
      <w:proofErr w:type="spellStart"/>
      <w:r w:rsidRPr="002E7AF0">
        <w:rPr>
          <w:strike/>
          <w:szCs w:val="24"/>
          <w:lang w:eastAsia="en-US"/>
        </w:rPr>
        <w:t>straks</w:t>
      </w:r>
      <w:r w:rsidRPr="002E7AF0">
        <w:rPr>
          <w:b/>
          <w:i/>
          <w:szCs w:val="24"/>
          <w:lang w:eastAsia="en-US"/>
        </w:rPr>
        <w:t>senest</w:t>
      </w:r>
      <w:proofErr w:type="spellEnd"/>
      <w:r w:rsidRPr="002E7AF0">
        <w:rPr>
          <w:b/>
          <w:i/>
          <w:szCs w:val="24"/>
          <w:lang w:eastAsia="en-US"/>
        </w:rPr>
        <w:t xml:space="preserve"> syv arbejdsdage efter modtagelsen af underretningen i henhold til artikel 4, stk. 1, eller vedtagelsen af foranstaltninger i henhold til artikel 6, stk. 1,</w:t>
      </w:r>
      <w:r w:rsidRPr="002E7AF0">
        <w:rPr>
          <w:szCs w:val="24"/>
          <w:lang w:eastAsia="en-US"/>
        </w:rPr>
        <w:t xml:space="preserve"> den berørte person i overensstemmelse med procedurerne i dens nationale lovgivning.</w:t>
      </w:r>
      <w:r w:rsidR="00C8158B">
        <w:rPr>
          <w:b/>
          <w:szCs w:val="24"/>
          <w:lang w:eastAsia="en-US"/>
        </w:rPr>
        <w:t xml:space="preserve"> [Ændring 38]</w:t>
      </w:r>
    </w:p>
    <w:p w14:paraId="5A5F0718"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De oplysninger, der skal gives i henhold til stk. 1, skal som minimum præcisere:</w:t>
      </w:r>
    </w:p>
    <w:p w14:paraId="0AA01850"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ved underretning efter modtagelse af meddelelsen i henhold til artikel 4, stk. 1:</w:t>
      </w:r>
    </w:p>
    <w:p w14:paraId="3AD15A74" w14:textId="3CE4DEDF" w:rsidR="002E7AF0" w:rsidRPr="002E7AF0" w:rsidRDefault="002E7AF0" w:rsidP="002E7AF0">
      <w:pPr>
        <w:spacing w:before="120" w:after="120" w:line="360" w:lineRule="auto"/>
        <w:ind w:left="1982" w:hanging="566"/>
        <w:rPr>
          <w:b/>
          <w:szCs w:val="24"/>
          <w:lang w:eastAsia="en-US"/>
        </w:rPr>
      </w:pPr>
      <w:r w:rsidRPr="002E7AF0">
        <w:rPr>
          <w:szCs w:val="24"/>
          <w:lang w:eastAsia="en-US"/>
        </w:rPr>
        <w:t>i)</w:t>
      </w:r>
      <w:r w:rsidRPr="002E7AF0">
        <w:rPr>
          <w:szCs w:val="24"/>
          <w:lang w:eastAsia="en-US"/>
        </w:rPr>
        <w:tab/>
        <w:t>navnet</w:t>
      </w:r>
      <w:r w:rsidRPr="002E7AF0">
        <w:rPr>
          <w:b/>
          <w:i/>
          <w:szCs w:val="24"/>
          <w:lang w:eastAsia="en-US"/>
        </w:rPr>
        <w:t>, postadresse, telefonnummer, tilstedeværelse på internettet og e-mailkontaktoplysninger</w:t>
      </w:r>
      <w:r w:rsidRPr="002E7AF0">
        <w:rPr>
          <w:szCs w:val="24"/>
          <w:lang w:eastAsia="en-US"/>
        </w:rPr>
        <w:t xml:space="preserve"> på de myndigheder, der er kompetente til at håndhæve frakendelsen af førerretten i både udstedelsesmedlemsstaten og overtrædelsesmedlemsstaten</w:t>
      </w:r>
      <w:r w:rsidRPr="002E7AF0">
        <w:rPr>
          <w:b/>
          <w:i/>
          <w:szCs w:val="24"/>
          <w:lang w:eastAsia="en-US"/>
        </w:rPr>
        <w:t>, samt</w:t>
      </w:r>
      <w:r w:rsidR="00C8158B">
        <w:rPr>
          <w:b/>
          <w:szCs w:val="24"/>
          <w:lang w:eastAsia="en-US"/>
        </w:rPr>
        <w:t xml:space="preserve"> [Ændring 39]</w:t>
      </w:r>
    </w:p>
    <w:p w14:paraId="33277BB8" w14:textId="77777777" w:rsidR="00E05383" w:rsidRDefault="00E05383">
      <w:pPr>
        <w:widowControl/>
        <w:rPr>
          <w:szCs w:val="24"/>
          <w:lang w:eastAsia="en-US"/>
        </w:rPr>
      </w:pPr>
      <w:r>
        <w:rPr>
          <w:szCs w:val="24"/>
          <w:lang w:eastAsia="en-US"/>
        </w:rPr>
        <w:br w:type="page"/>
      </w:r>
    </w:p>
    <w:p w14:paraId="0C87E01F" w14:textId="1C3EE016" w:rsidR="002E7AF0" w:rsidRPr="002E7AF0" w:rsidRDefault="002E7AF0" w:rsidP="002E7AF0">
      <w:pPr>
        <w:spacing w:before="120" w:after="120" w:line="360" w:lineRule="auto"/>
        <w:ind w:left="1982" w:hanging="566"/>
        <w:rPr>
          <w:szCs w:val="24"/>
          <w:lang w:eastAsia="en-US"/>
        </w:rPr>
      </w:pPr>
      <w:r w:rsidRPr="002E7AF0">
        <w:rPr>
          <w:szCs w:val="24"/>
          <w:lang w:eastAsia="en-US"/>
        </w:rPr>
        <w:lastRenderedPageBreak/>
        <w:t>ii)</w:t>
      </w:r>
      <w:r w:rsidRPr="002E7AF0">
        <w:rPr>
          <w:szCs w:val="24"/>
          <w:lang w:eastAsia="en-US"/>
        </w:rPr>
        <w:tab/>
        <w:t xml:space="preserve">de </w:t>
      </w:r>
      <w:proofErr w:type="spellStart"/>
      <w:r w:rsidRPr="002E7AF0">
        <w:rPr>
          <w:szCs w:val="24"/>
          <w:lang w:eastAsia="en-US"/>
        </w:rPr>
        <w:t>retsmidler</w:t>
      </w:r>
      <w:proofErr w:type="spellEnd"/>
      <w:r w:rsidRPr="002E7AF0">
        <w:rPr>
          <w:szCs w:val="24"/>
          <w:lang w:eastAsia="en-US"/>
        </w:rPr>
        <w:t>, der er til rådighed i henhold til lovgivningen i udstedelsesmedlemsstaten, herunder retten til at blive hørt</w:t>
      </w:r>
    </w:p>
    <w:p w14:paraId="53ADBFC8"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b)</w:t>
      </w:r>
      <w:r w:rsidRPr="002E7AF0">
        <w:rPr>
          <w:szCs w:val="24"/>
          <w:lang w:eastAsia="en-US"/>
        </w:rPr>
        <w:tab/>
        <w:t>ved underretning efter vedtagelse af foranstaltninger i henhold til artikel 6, stk. 1:</w:t>
      </w:r>
    </w:p>
    <w:p w14:paraId="4BA3302D" w14:textId="77777777" w:rsidR="002E7AF0" w:rsidRPr="002E7AF0" w:rsidRDefault="002E7AF0" w:rsidP="002E7AF0">
      <w:pPr>
        <w:spacing w:before="120" w:after="120" w:line="360" w:lineRule="auto"/>
        <w:ind w:left="1982" w:hanging="566"/>
        <w:rPr>
          <w:szCs w:val="24"/>
          <w:lang w:eastAsia="en-US"/>
        </w:rPr>
      </w:pPr>
      <w:r w:rsidRPr="002E7AF0">
        <w:rPr>
          <w:szCs w:val="24"/>
          <w:lang w:eastAsia="en-US"/>
        </w:rPr>
        <w:t>i)</w:t>
      </w:r>
      <w:r w:rsidRPr="002E7AF0">
        <w:rPr>
          <w:szCs w:val="24"/>
          <w:lang w:eastAsia="en-US"/>
        </w:rPr>
        <w:tab/>
        <w:t>nærmere oplysninger om de foranstaltninger, der er truffet af udstedelsesmedlemsstaten</w:t>
      </w:r>
    </w:p>
    <w:p w14:paraId="4E7C03FD" w14:textId="77777777" w:rsidR="002E7AF0" w:rsidRPr="002E7AF0" w:rsidRDefault="002E7AF0" w:rsidP="002E7AF0">
      <w:pPr>
        <w:spacing w:before="120" w:after="120" w:line="360" w:lineRule="auto"/>
        <w:ind w:left="1982" w:hanging="566"/>
        <w:rPr>
          <w:szCs w:val="24"/>
          <w:lang w:eastAsia="en-US"/>
        </w:rPr>
      </w:pPr>
      <w:r w:rsidRPr="002E7AF0">
        <w:rPr>
          <w:szCs w:val="24"/>
          <w:lang w:eastAsia="en-US"/>
        </w:rPr>
        <w:t>ii)</w:t>
      </w:r>
      <w:r w:rsidRPr="002E7AF0">
        <w:rPr>
          <w:szCs w:val="24"/>
          <w:lang w:eastAsia="en-US"/>
        </w:rPr>
        <w:tab/>
        <w:t xml:space="preserve">de </w:t>
      </w:r>
      <w:proofErr w:type="spellStart"/>
      <w:r w:rsidRPr="002E7AF0">
        <w:rPr>
          <w:szCs w:val="24"/>
          <w:lang w:eastAsia="en-US"/>
        </w:rPr>
        <w:t>retsmidler</w:t>
      </w:r>
      <w:proofErr w:type="spellEnd"/>
      <w:r w:rsidRPr="002E7AF0">
        <w:rPr>
          <w:szCs w:val="24"/>
          <w:lang w:eastAsia="en-US"/>
        </w:rPr>
        <w:t>, der er til rådighed i henhold til lovgivningen i udstedelsesmedlemsstaten, til anfægtelse af de trufne foranstaltninger.</w:t>
      </w:r>
    </w:p>
    <w:p w14:paraId="06B1F25B"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14</w:t>
      </w:r>
      <w:r w:rsidRPr="002E7AF0">
        <w:rPr>
          <w:szCs w:val="24"/>
          <w:lang w:eastAsia="en-US"/>
        </w:rPr>
        <w:br/>
      </w:r>
      <w:proofErr w:type="spellStart"/>
      <w:r w:rsidRPr="002E7AF0">
        <w:rPr>
          <w:szCs w:val="24"/>
          <w:lang w:eastAsia="en-US"/>
        </w:rPr>
        <w:t>Retsmidler</w:t>
      </w:r>
      <w:proofErr w:type="spellEnd"/>
      <w:r w:rsidRPr="002E7AF0">
        <w:rPr>
          <w:szCs w:val="24"/>
          <w:lang w:eastAsia="en-US"/>
        </w:rPr>
        <w:t xml:space="preserve"> </w:t>
      </w:r>
    </w:p>
    <w:p w14:paraId="73AB40AE"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 xml:space="preserve">Medlemsstaterne sikrer passende </w:t>
      </w:r>
      <w:proofErr w:type="spellStart"/>
      <w:r w:rsidRPr="002E7AF0">
        <w:rPr>
          <w:szCs w:val="24"/>
          <w:lang w:eastAsia="en-US"/>
        </w:rPr>
        <w:t>retsmidler</w:t>
      </w:r>
      <w:proofErr w:type="spellEnd"/>
      <w:r w:rsidRPr="002E7AF0">
        <w:rPr>
          <w:szCs w:val="24"/>
          <w:lang w:eastAsia="en-US"/>
        </w:rPr>
        <w:t xml:space="preserve"> mod afgørelser eller foranstaltninger, der træffes i medfør af dette direktiv, svarende til dem, der findes i lignende nationale sager. De træffer passende foranstaltninger til at sikre, at der gives oplysninger om sådanne </w:t>
      </w:r>
      <w:proofErr w:type="spellStart"/>
      <w:r w:rsidRPr="002E7AF0">
        <w:rPr>
          <w:szCs w:val="24"/>
          <w:lang w:eastAsia="en-US"/>
        </w:rPr>
        <w:t>retsmidler</w:t>
      </w:r>
      <w:proofErr w:type="spellEnd"/>
      <w:r w:rsidRPr="002E7AF0">
        <w:rPr>
          <w:szCs w:val="24"/>
          <w:lang w:eastAsia="en-US"/>
        </w:rPr>
        <w:t xml:space="preserve"> i god tid for at sikre, at de kan udøves effektivt.</w:t>
      </w:r>
    </w:p>
    <w:p w14:paraId="0BDD5930"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En frakendelse af førerretten, der er meddelt i henhold til artikel 4, stk. 1, kan kun anfægtes ved et søgsmål anlagt i overtrædelsesmedlemsstaten.</w:t>
      </w:r>
    </w:p>
    <w:p w14:paraId="09740AE0" w14:textId="77777777" w:rsidR="00E05383" w:rsidRDefault="00E05383">
      <w:pPr>
        <w:widowControl/>
        <w:rPr>
          <w:szCs w:val="24"/>
          <w:lang w:eastAsia="en-US"/>
        </w:rPr>
      </w:pPr>
      <w:r>
        <w:rPr>
          <w:szCs w:val="24"/>
          <w:lang w:eastAsia="en-US"/>
        </w:rPr>
        <w:br w:type="page"/>
      </w:r>
    </w:p>
    <w:p w14:paraId="45B33139" w14:textId="0CC1FF83"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3.</w:t>
      </w:r>
      <w:r w:rsidRPr="002E7AF0">
        <w:rPr>
          <w:szCs w:val="24"/>
          <w:lang w:eastAsia="en-US"/>
        </w:rPr>
        <w:tab/>
        <w:t xml:space="preserve">Overtrædelsesmedlemsstaten og udstedelsesmedlemsstaten underretter hinanden om de </w:t>
      </w:r>
      <w:proofErr w:type="spellStart"/>
      <w:r w:rsidRPr="002E7AF0">
        <w:rPr>
          <w:szCs w:val="24"/>
          <w:lang w:eastAsia="en-US"/>
        </w:rPr>
        <w:t>retsmidler</w:t>
      </w:r>
      <w:proofErr w:type="spellEnd"/>
      <w:r w:rsidRPr="002E7AF0">
        <w:rPr>
          <w:szCs w:val="24"/>
          <w:lang w:eastAsia="en-US"/>
        </w:rPr>
        <w:t>, der gøres gældende mod afgørelser eller foranstaltninger, der er truffet i henhold til dette direktiv.</w:t>
      </w:r>
    </w:p>
    <w:p w14:paraId="067426AF" w14:textId="77777777" w:rsidR="002E7AF0" w:rsidRPr="002E7AF0" w:rsidRDefault="002E7AF0" w:rsidP="002E7AF0">
      <w:pPr>
        <w:spacing w:before="120" w:after="120" w:line="360" w:lineRule="auto"/>
        <w:jc w:val="center"/>
        <w:rPr>
          <w:szCs w:val="24"/>
          <w:lang w:eastAsia="en-US"/>
        </w:rPr>
      </w:pPr>
      <w:r w:rsidRPr="002E7AF0">
        <w:rPr>
          <w:szCs w:val="24"/>
          <w:lang w:eastAsia="en-US"/>
        </w:rPr>
        <w:t>Artikel 15</w:t>
      </w:r>
      <w:r w:rsidRPr="002E7AF0">
        <w:rPr>
          <w:szCs w:val="24"/>
          <w:lang w:eastAsia="en-US"/>
        </w:rPr>
        <w:br/>
        <w:t xml:space="preserve"> Nationale kontaktpunkter </w:t>
      </w:r>
    </w:p>
    <w:p w14:paraId="30FCCC49" w14:textId="1AD41F79"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 xml:space="preserve">Senest den </w:t>
      </w:r>
      <w:r w:rsidR="00AB5AA4">
        <w:rPr>
          <w:szCs w:val="24"/>
          <w:lang w:eastAsia="en-US"/>
        </w:rPr>
        <w:t xml:space="preserve">... </w:t>
      </w:r>
      <w:r w:rsidRPr="002E7AF0">
        <w:rPr>
          <w:szCs w:val="24"/>
          <w:lang w:eastAsia="en-US"/>
        </w:rPr>
        <w:t>[datoen for gennemførelsen af dette direktiv] udpeger hver medlemsstat et nationalt kontaktpunkt med henblik på dette direktiv.</w:t>
      </w:r>
    </w:p>
    <w:p w14:paraId="6D35D5A6" w14:textId="03569A82" w:rsidR="002E7AF0" w:rsidRPr="002E7AF0" w:rsidRDefault="002E7AF0" w:rsidP="002E7AF0">
      <w:pPr>
        <w:spacing w:before="120" w:after="120" w:line="360" w:lineRule="auto"/>
        <w:ind w:left="850" w:hanging="850"/>
        <w:rPr>
          <w:b/>
          <w:szCs w:val="24"/>
          <w:lang w:eastAsia="en-US"/>
        </w:rPr>
      </w:pPr>
      <w:r w:rsidRPr="002E7AF0">
        <w:rPr>
          <w:szCs w:val="24"/>
          <w:lang w:eastAsia="en-US"/>
        </w:rPr>
        <w:t>2.</w:t>
      </w:r>
      <w:r w:rsidRPr="002E7AF0">
        <w:rPr>
          <w:szCs w:val="24"/>
          <w:lang w:eastAsia="en-US"/>
        </w:rPr>
        <w:tab/>
        <w:t xml:space="preserve">Medlemsstaterne sikrer, at deres respektive nationale kontaktpunkter samarbejder med de myndigheder, der har kompetence til at håndhæve frakendelser af førerretten som følge af alvorlige trafiksikkerhedsrelaterede færdselslovsovertrædelser, navnlig for at sikre, at alle nødvendige oplysninger udveksles rettidigt, og at fristerne i </w:t>
      </w:r>
      <w:r w:rsidRPr="002E7AF0">
        <w:rPr>
          <w:strike/>
          <w:szCs w:val="24"/>
          <w:lang w:eastAsia="en-US"/>
        </w:rPr>
        <w:t>artikel 9</w:t>
      </w:r>
      <w:r w:rsidRPr="002E7AF0">
        <w:rPr>
          <w:b/>
          <w:i/>
          <w:szCs w:val="24"/>
          <w:lang w:eastAsia="en-US"/>
        </w:rPr>
        <w:t>dette direktiv</w:t>
      </w:r>
      <w:r w:rsidRPr="002E7AF0">
        <w:rPr>
          <w:szCs w:val="24"/>
          <w:lang w:eastAsia="en-US"/>
        </w:rPr>
        <w:t xml:space="preserve"> overholdes.</w:t>
      </w:r>
      <w:r w:rsidR="00C8158B">
        <w:rPr>
          <w:b/>
          <w:szCs w:val="24"/>
          <w:lang w:eastAsia="en-US"/>
        </w:rPr>
        <w:t xml:space="preserve"> [Ændring 40]</w:t>
      </w:r>
    </w:p>
    <w:p w14:paraId="455225EF" w14:textId="3C834F48" w:rsidR="002E7AF0" w:rsidRPr="002E7AF0" w:rsidRDefault="002E7AF0" w:rsidP="002E7AF0">
      <w:pPr>
        <w:spacing w:before="120" w:after="120" w:line="360" w:lineRule="auto"/>
        <w:ind w:left="850" w:hanging="850"/>
        <w:rPr>
          <w:b/>
          <w:szCs w:val="24"/>
          <w:lang w:eastAsia="en-US"/>
        </w:rPr>
      </w:pPr>
      <w:r w:rsidRPr="002E7AF0">
        <w:rPr>
          <w:szCs w:val="24"/>
          <w:lang w:eastAsia="en-US"/>
        </w:rPr>
        <w:t>3.</w:t>
      </w:r>
      <w:r w:rsidRPr="002E7AF0">
        <w:rPr>
          <w:szCs w:val="24"/>
          <w:lang w:eastAsia="en-US"/>
        </w:rPr>
        <w:tab/>
        <w:t xml:space="preserve">Medlemsstaterne underretter Kommissionen om de nationale kontaktpunkter, der er udpeget med henblik på dette direktiv. Kommissionen stiller de i henhold til denne artikel modtagne oplysninger til rådighed for alle medlemsstaterne </w:t>
      </w:r>
      <w:r w:rsidRPr="002E7AF0">
        <w:rPr>
          <w:b/>
          <w:i/>
          <w:szCs w:val="24"/>
          <w:lang w:eastAsia="en-US"/>
        </w:rPr>
        <w:t xml:space="preserve">via RESPER og på CBE-portalen, når den bliver operationel. Indtil da offentliggør Kommissionen disse oplysninger </w:t>
      </w:r>
      <w:r w:rsidRPr="002E7AF0">
        <w:rPr>
          <w:szCs w:val="24"/>
          <w:lang w:eastAsia="en-US"/>
        </w:rPr>
        <w:t>på sit websted.</w:t>
      </w:r>
      <w:r w:rsidR="00C8158B">
        <w:rPr>
          <w:b/>
          <w:szCs w:val="24"/>
          <w:lang w:eastAsia="en-US"/>
        </w:rPr>
        <w:t xml:space="preserve"> [Ændring 41]</w:t>
      </w:r>
    </w:p>
    <w:p w14:paraId="68BFB1C7" w14:textId="77777777" w:rsidR="00E05383" w:rsidRDefault="00E05383">
      <w:pPr>
        <w:widowControl/>
        <w:rPr>
          <w:szCs w:val="24"/>
          <w:lang w:eastAsia="en-US"/>
        </w:rPr>
      </w:pPr>
      <w:r>
        <w:rPr>
          <w:szCs w:val="24"/>
          <w:lang w:eastAsia="en-US"/>
        </w:rPr>
        <w:br w:type="page"/>
      </w:r>
    </w:p>
    <w:p w14:paraId="7B861990" w14:textId="43D1F563"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16</w:t>
      </w:r>
      <w:r w:rsidRPr="002E7AF0">
        <w:rPr>
          <w:szCs w:val="24"/>
          <w:lang w:eastAsia="en-US"/>
        </w:rPr>
        <w:br/>
        <w:t>Statistik</w:t>
      </w:r>
    </w:p>
    <w:p w14:paraId="628F9E0D" w14:textId="77777777" w:rsidR="002E7AF0" w:rsidRPr="002E7AF0" w:rsidRDefault="002E7AF0" w:rsidP="002E7AF0">
      <w:pPr>
        <w:spacing w:before="120" w:after="120" w:line="360" w:lineRule="auto"/>
        <w:rPr>
          <w:szCs w:val="24"/>
          <w:lang w:eastAsia="en-US"/>
        </w:rPr>
      </w:pPr>
      <w:r w:rsidRPr="002E7AF0">
        <w:rPr>
          <w:szCs w:val="24"/>
          <w:lang w:eastAsia="en-US"/>
        </w:rPr>
        <w:t>Medlemsstaterne indsamler regelmæssigt omfattende statistikker om anvendelsen af dette direktiv og sender dem hvert år til Kommissionen. Statistikkerne skal indeholde oplysninger om:</w:t>
      </w:r>
    </w:p>
    <w:p w14:paraId="3AAF3290"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a)</w:t>
      </w:r>
      <w:r w:rsidRPr="002E7AF0">
        <w:rPr>
          <w:szCs w:val="24"/>
          <w:lang w:eastAsia="en-US"/>
        </w:rPr>
        <w:tab/>
        <w:t>antallet af meddelelser i henhold til artikel 4, stk. 1, opdelt efter den medlemsstat, som meddelelsen fremsendes til</w:t>
      </w:r>
    </w:p>
    <w:p w14:paraId="6E338FFB" w14:textId="5CC75B3E" w:rsidR="002E7AF0" w:rsidRPr="002E7AF0" w:rsidRDefault="002E7AF0" w:rsidP="002E7AF0">
      <w:pPr>
        <w:spacing w:before="120" w:after="120" w:line="360" w:lineRule="auto"/>
        <w:ind w:left="850" w:hanging="850"/>
        <w:rPr>
          <w:b/>
          <w:szCs w:val="24"/>
          <w:lang w:eastAsia="en-US"/>
        </w:rPr>
      </w:pPr>
      <w:proofErr w:type="spellStart"/>
      <w:r w:rsidRPr="002E7AF0">
        <w:rPr>
          <w:b/>
          <w:i/>
          <w:szCs w:val="24"/>
          <w:lang w:eastAsia="en-US"/>
        </w:rPr>
        <w:t>aa</w:t>
      </w:r>
      <w:proofErr w:type="spellEnd"/>
      <w:r w:rsidRPr="002E7AF0">
        <w:rPr>
          <w:b/>
          <w:i/>
          <w:szCs w:val="24"/>
          <w:lang w:eastAsia="en-US"/>
        </w:rPr>
        <w:t>)</w:t>
      </w:r>
      <w:r w:rsidRPr="002E7AF0">
        <w:rPr>
          <w:szCs w:val="24"/>
          <w:lang w:eastAsia="en-US"/>
        </w:rPr>
        <w:tab/>
      </w:r>
      <w:r w:rsidRPr="002E7AF0">
        <w:rPr>
          <w:b/>
          <w:i/>
          <w:szCs w:val="24"/>
          <w:lang w:eastAsia="en-US"/>
        </w:rPr>
        <w:t>antallet af meddelelser, der er sendt til de berørte personer</w:t>
      </w:r>
      <w:r w:rsidR="00C8158B">
        <w:rPr>
          <w:b/>
          <w:szCs w:val="24"/>
          <w:lang w:eastAsia="en-US"/>
        </w:rPr>
        <w:t xml:space="preserve"> [Ændring 42]</w:t>
      </w:r>
    </w:p>
    <w:p w14:paraId="4B278FF0"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b)</w:t>
      </w:r>
      <w:r w:rsidRPr="002E7AF0">
        <w:rPr>
          <w:szCs w:val="24"/>
          <w:lang w:eastAsia="en-US"/>
        </w:rPr>
        <w:tab/>
        <w:t>det antal gange, en grund til undtagelse blev påberåbt, herunder de anvendte grunde til undtagelse, opdelt efter meddelende medlemsstat</w:t>
      </w:r>
    </w:p>
    <w:p w14:paraId="47C9B87D" w14:textId="43A18A8E" w:rsidR="002E7AF0" w:rsidRPr="002E7AF0" w:rsidRDefault="002E7AF0" w:rsidP="002E7AF0">
      <w:pPr>
        <w:spacing w:before="120" w:after="120" w:line="360" w:lineRule="auto"/>
        <w:ind w:left="850" w:hanging="850"/>
        <w:rPr>
          <w:b/>
          <w:szCs w:val="24"/>
          <w:lang w:eastAsia="en-US"/>
        </w:rPr>
      </w:pPr>
      <w:r w:rsidRPr="002E7AF0">
        <w:rPr>
          <w:szCs w:val="24"/>
          <w:lang w:eastAsia="en-US"/>
        </w:rPr>
        <w:t>c)</w:t>
      </w:r>
      <w:r w:rsidRPr="002E7AF0">
        <w:rPr>
          <w:szCs w:val="24"/>
          <w:lang w:eastAsia="en-US"/>
        </w:rPr>
        <w:tab/>
        <w:t xml:space="preserve">den tid, det har taget at fremsende oplysninger om </w:t>
      </w:r>
      <w:proofErr w:type="spellStart"/>
      <w:r w:rsidRPr="002E7AF0">
        <w:rPr>
          <w:strike/>
          <w:szCs w:val="24"/>
          <w:lang w:eastAsia="en-US"/>
        </w:rPr>
        <w:t>afgørelsen</w:t>
      </w:r>
      <w:r w:rsidRPr="002E7AF0">
        <w:rPr>
          <w:b/>
          <w:i/>
          <w:szCs w:val="24"/>
          <w:lang w:eastAsia="en-US"/>
        </w:rPr>
        <w:t>hver</w:t>
      </w:r>
      <w:proofErr w:type="spellEnd"/>
      <w:r w:rsidRPr="002E7AF0">
        <w:rPr>
          <w:b/>
          <w:i/>
          <w:szCs w:val="24"/>
          <w:lang w:eastAsia="en-US"/>
        </w:rPr>
        <w:t xml:space="preserve"> afgørelse, der er truffet</w:t>
      </w:r>
      <w:r w:rsidRPr="002E7AF0">
        <w:rPr>
          <w:szCs w:val="24"/>
          <w:lang w:eastAsia="en-US"/>
        </w:rPr>
        <w:t xml:space="preserve"> om en grund til undtagelse</w:t>
      </w:r>
      <w:r w:rsidR="00C8158B">
        <w:rPr>
          <w:b/>
          <w:szCs w:val="24"/>
          <w:lang w:eastAsia="en-US"/>
        </w:rPr>
        <w:t xml:space="preserve"> [Ændring 43]</w:t>
      </w:r>
    </w:p>
    <w:p w14:paraId="20B76622" w14:textId="7947C1B4" w:rsidR="002E7AF0" w:rsidRPr="002E7AF0" w:rsidRDefault="002E7AF0" w:rsidP="002E7AF0">
      <w:pPr>
        <w:spacing w:before="120" w:after="120" w:line="360" w:lineRule="auto"/>
        <w:ind w:left="850" w:hanging="850"/>
        <w:rPr>
          <w:b/>
          <w:szCs w:val="24"/>
          <w:lang w:eastAsia="en-US"/>
        </w:rPr>
      </w:pPr>
      <w:proofErr w:type="spellStart"/>
      <w:r w:rsidRPr="002E7AF0">
        <w:rPr>
          <w:b/>
          <w:i/>
          <w:szCs w:val="24"/>
          <w:lang w:eastAsia="en-US"/>
        </w:rPr>
        <w:t>ca</w:t>
      </w:r>
      <w:proofErr w:type="spellEnd"/>
      <w:r w:rsidRPr="002E7AF0">
        <w:rPr>
          <w:b/>
          <w:i/>
          <w:szCs w:val="24"/>
          <w:lang w:eastAsia="en-US"/>
        </w:rPr>
        <w:t>)</w:t>
      </w:r>
      <w:r w:rsidRPr="002E7AF0">
        <w:rPr>
          <w:szCs w:val="24"/>
          <w:lang w:eastAsia="en-US"/>
        </w:rPr>
        <w:tab/>
      </w:r>
      <w:r w:rsidRPr="002E7AF0">
        <w:rPr>
          <w:b/>
          <w:i/>
          <w:szCs w:val="24"/>
          <w:lang w:eastAsia="en-US"/>
        </w:rPr>
        <w:t>antallet af gange, en forsinkelse skulle begrundes</w:t>
      </w:r>
      <w:r w:rsidR="00C8158B">
        <w:rPr>
          <w:b/>
          <w:szCs w:val="24"/>
          <w:lang w:eastAsia="en-US"/>
        </w:rPr>
        <w:t xml:space="preserve"> [Ændring 44]</w:t>
      </w:r>
    </w:p>
    <w:p w14:paraId="2323D532" w14:textId="77777777" w:rsidR="00E05383" w:rsidRDefault="00E05383">
      <w:pPr>
        <w:widowControl/>
        <w:rPr>
          <w:szCs w:val="24"/>
          <w:lang w:eastAsia="en-US"/>
        </w:rPr>
      </w:pPr>
      <w:r>
        <w:rPr>
          <w:szCs w:val="24"/>
          <w:lang w:eastAsia="en-US"/>
        </w:rPr>
        <w:br w:type="page"/>
      </w:r>
    </w:p>
    <w:p w14:paraId="36D5EE35" w14:textId="1D13FED4" w:rsidR="002E7AF0" w:rsidRPr="002E7AF0" w:rsidRDefault="002E7AF0" w:rsidP="002E7AF0">
      <w:pPr>
        <w:spacing w:before="120" w:after="120" w:line="360" w:lineRule="auto"/>
        <w:ind w:left="850" w:hanging="850"/>
        <w:rPr>
          <w:szCs w:val="24"/>
          <w:lang w:eastAsia="en-US"/>
        </w:rPr>
      </w:pPr>
      <w:r w:rsidRPr="002E7AF0">
        <w:rPr>
          <w:szCs w:val="24"/>
          <w:lang w:eastAsia="en-US"/>
        </w:rPr>
        <w:lastRenderedPageBreak/>
        <w:t>d)</w:t>
      </w:r>
      <w:r w:rsidRPr="002E7AF0">
        <w:rPr>
          <w:szCs w:val="24"/>
          <w:lang w:eastAsia="en-US"/>
        </w:rPr>
        <w:tab/>
        <w:t xml:space="preserve">antallet af </w:t>
      </w:r>
      <w:proofErr w:type="spellStart"/>
      <w:r w:rsidRPr="002E7AF0">
        <w:rPr>
          <w:szCs w:val="24"/>
          <w:lang w:eastAsia="en-US"/>
        </w:rPr>
        <w:t>retsmidler</w:t>
      </w:r>
      <w:proofErr w:type="spellEnd"/>
      <w:r w:rsidRPr="002E7AF0">
        <w:rPr>
          <w:szCs w:val="24"/>
          <w:lang w:eastAsia="en-US"/>
        </w:rPr>
        <w:t>, der er blevet gjort gældende mod foranstaltninger truffet i henhold til artikel 6, stk. 1.</w:t>
      </w:r>
    </w:p>
    <w:p w14:paraId="48204883" w14:textId="48C6FD51" w:rsidR="002E7AF0" w:rsidRPr="002E7AF0" w:rsidRDefault="002E7AF0" w:rsidP="002E7AF0">
      <w:pPr>
        <w:spacing w:before="120" w:after="120" w:line="360" w:lineRule="auto"/>
        <w:rPr>
          <w:b/>
          <w:szCs w:val="24"/>
          <w:lang w:eastAsia="en-US"/>
        </w:rPr>
      </w:pPr>
      <w:r w:rsidRPr="002E7AF0">
        <w:rPr>
          <w:b/>
          <w:i/>
          <w:szCs w:val="24"/>
          <w:lang w:eastAsia="en-US"/>
        </w:rPr>
        <w:t>Senest den ... [et år efter dette direktivs ikrafttræden] meddeler medlemsstaterne Kommissionen ajourførte oplysninger om de gældende regler for de sanktioner, der kan pålægges i henhold til deres retssystem for alvorlige trafiksikkerhedsrelaterede færdselslovsovertrædelser. Medlemsstaterne underretter inden for tre måneder Kommissionen om enhver større ændring af disse sanktioner ved at fremsende en ajourføring af de oplysninger, de tidligere har fremsendt. Senest den ... [18 måneder efter datoen for dette direktivs ikrafttræden] offentliggør Kommissionen en oversigt over de oplysninger, der er modtaget i henhold til dette stykke, på portalen for grænseoverskridende udveksling af oplysninger om trafiksikkerhedsrelaterede færdselslovsovertrædelser ("CBE-portalen"), der er oprettet i henhold til artikel 8 i direktiv (EU) 2015/413, på alle Den Europæiske Unions officielle sprog. I tilfælde af en større ændring af det system, der er indført i en medlemsstat, ajourfører Kommissionen oversigten senest tre måneder efter modtagelsen af underretningen.</w:t>
      </w:r>
      <w:r w:rsidR="00C8158B">
        <w:rPr>
          <w:b/>
          <w:szCs w:val="24"/>
          <w:lang w:eastAsia="en-US"/>
        </w:rPr>
        <w:t xml:space="preserve"> [Ændring 45]</w:t>
      </w:r>
    </w:p>
    <w:p w14:paraId="6BE178AC" w14:textId="77777777" w:rsidR="00E05383" w:rsidRDefault="00E05383">
      <w:pPr>
        <w:widowControl/>
        <w:rPr>
          <w:szCs w:val="24"/>
          <w:lang w:eastAsia="en-US"/>
        </w:rPr>
      </w:pPr>
      <w:r>
        <w:rPr>
          <w:szCs w:val="24"/>
          <w:lang w:eastAsia="en-US"/>
        </w:rPr>
        <w:br w:type="page"/>
      </w:r>
    </w:p>
    <w:p w14:paraId="198A9A97" w14:textId="1DD81C33"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17</w:t>
      </w:r>
      <w:r w:rsidRPr="002E7AF0">
        <w:rPr>
          <w:szCs w:val="24"/>
          <w:lang w:eastAsia="en-US"/>
        </w:rPr>
        <w:br/>
        <w:t>Udvalgsprocedure</w:t>
      </w:r>
    </w:p>
    <w:p w14:paraId="755953E4"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Kommissionen bistås af kørekortudvalget nedsat ved artikel 22 i [NYT DIREKTIV OM KØREKORT]. Dette udvalg er et udvalg som omhandlet i forordning (EU) nr. 182/2011.</w:t>
      </w:r>
    </w:p>
    <w:p w14:paraId="7EF44524"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Når der henvises til dette stykke, anvendes artikel 5 i forordning (EU) nr. 182/2011.</w:t>
      </w:r>
    </w:p>
    <w:p w14:paraId="7C0D64E5" w14:textId="77777777" w:rsidR="002E7AF0" w:rsidRPr="002E7AF0" w:rsidRDefault="002E7AF0" w:rsidP="002E7AF0">
      <w:pPr>
        <w:spacing w:before="120" w:after="120" w:line="360" w:lineRule="auto"/>
        <w:ind w:left="850"/>
        <w:rPr>
          <w:szCs w:val="24"/>
          <w:lang w:eastAsia="en-US"/>
        </w:rPr>
      </w:pPr>
      <w:r w:rsidRPr="002E7AF0">
        <w:rPr>
          <w:szCs w:val="24"/>
          <w:lang w:eastAsia="en-US"/>
        </w:rPr>
        <w:t>Når udvalgets udtalelse indhentes efter en skriftlig procedure, afsluttes proceduren uden noget resultat, hvis formanden for udvalget træffer beslutning herom, eller et simpelt flertal af udvalgsmedlemmerne anmoder herom inden for tidsfristen for afgivelse af udtalelsen.</w:t>
      </w:r>
    </w:p>
    <w:p w14:paraId="28E497E9" w14:textId="77777777" w:rsidR="002E7AF0" w:rsidRPr="002E7AF0" w:rsidRDefault="002E7AF0" w:rsidP="002E7AF0">
      <w:pPr>
        <w:spacing w:before="120" w:after="120" w:line="360" w:lineRule="auto"/>
        <w:ind w:left="850"/>
        <w:rPr>
          <w:szCs w:val="24"/>
          <w:lang w:eastAsia="en-US"/>
        </w:rPr>
      </w:pPr>
      <w:r w:rsidRPr="002E7AF0">
        <w:rPr>
          <w:szCs w:val="24"/>
          <w:lang w:eastAsia="en-US"/>
        </w:rPr>
        <w:t>Afgiver udvalget ikke nogen udtalelse, vedtager Kommissionen ikke gennemførelsesretsakten, og artikel 5, stk. 4, tredje afsnit, i forordning (EU) nr. 182/2011 finder anvendelse.</w:t>
      </w:r>
    </w:p>
    <w:p w14:paraId="69466E72" w14:textId="77777777" w:rsidR="00E05383" w:rsidRDefault="00E05383">
      <w:pPr>
        <w:widowControl/>
        <w:rPr>
          <w:szCs w:val="24"/>
          <w:lang w:eastAsia="en-US"/>
        </w:rPr>
      </w:pPr>
      <w:r>
        <w:rPr>
          <w:szCs w:val="24"/>
          <w:lang w:eastAsia="en-US"/>
        </w:rPr>
        <w:br w:type="page"/>
      </w:r>
    </w:p>
    <w:p w14:paraId="64A47CB7" w14:textId="43DF5180"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18</w:t>
      </w:r>
      <w:r w:rsidRPr="002E7AF0">
        <w:rPr>
          <w:szCs w:val="24"/>
          <w:lang w:eastAsia="en-US"/>
        </w:rPr>
        <w:br/>
        <w:t>Sammenhæng med andre retsakter</w:t>
      </w:r>
    </w:p>
    <w:p w14:paraId="155165BB" w14:textId="77777777" w:rsidR="002E7AF0" w:rsidRPr="002E7AF0" w:rsidRDefault="002E7AF0" w:rsidP="002E7AF0">
      <w:pPr>
        <w:spacing w:before="120" w:after="120" w:line="360" w:lineRule="auto"/>
        <w:ind w:left="850" w:hanging="850"/>
        <w:rPr>
          <w:szCs w:val="24"/>
          <w:lang w:eastAsia="en-US"/>
        </w:rPr>
      </w:pPr>
      <w:r w:rsidRPr="002E7AF0">
        <w:rPr>
          <w:szCs w:val="24"/>
          <w:lang w:eastAsia="en-US"/>
        </w:rPr>
        <w:t>1.</w:t>
      </w:r>
      <w:r w:rsidRPr="002E7AF0">
        <w:rPr>
          <w:szCs w:val="24"/>
          <w:lang w:eastAsia="en-US"/>
        </w:rPr>
        <w:tab/>
        <w:t>Dette direktiv berører ikke de rettigheder og forpligtelser, der følger af følgende retsakter:</w:t>
      </w:r>
    </w:p>
    <w:p w14:paraId="6EB863F7"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a)</w:t>
      </w:r>
      <w:r w:rsidRPr="002E7AF0">
        <w:rPr>
          <w:szCs w:val="24"/>
          <w:lang w:eastAsia="en-US"/>
        </w:rPr>
        <w:tab/>
        <w:t>Rådets rammeafgørelse 2008/947/RIA</w:t>
      </w:r>
    </w:p>
    <w:p w14:paraId="32DFDAF1"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b)</w:t>
      </w:r>
      <w:r w:rsidRPr="002E7AF0">
        <w:rPr>
          <w:szCs w:val="24"/>
          <w:lang w:eastAsia="en-US"/>
        </w:rPr>
        <w:tab/>
        <w:t>Rådets rammeafgørelse 2005/214/RIA</w:t>
      </w:r>
    </w:p>
    <w:p w14:paraId="50DF0BB8" w14:textId="77777777" w:rsidR="002E7AF0" w:rsidRPr="002E7AF0" w:rsidRDefault="002E7AF0" w:rsidP="002E7AF0">
      <w:pPr>
        <w:spacing w:before="120" w:after="120" w:line="360" w:lineRule="auto"/>
        <w:ind w:left="1416" w:hanging="566"/>
        <w:rPr>
          <w:szCs w:val="24"/>
          <w:lang w:eastAsia="en-US"/>
        </w:rPr>
      </w:pPr>
      <w:r w:rsidRPr="002E7AF0">
        <w:rPr>
          <w:szCs w:val="24"/>
          <w:lang w:eastAsia="en-US"/>
        </w:rPr>
        <w:t>c)</w:t>
      </w:r>
      <w:r w:rsidRPr="002E7AF0">
        <w:rPr>
          <w:szCs w:val="24"/>
          <w:lang w:eastAsia="en-US"/>
        </w:rPr>
        <w:tab/>
        <w:t>mistænktes og tiltaltes rettigheder som fastsat i direktiv 2010/64/EU, direktiv 2012/13/EU, direktiv 2013/48/EU, direktiv (EU) 2016/343, direktiv (EU) 2016/800 og Europa-Parlamentets og Rådets direktiv (EU) 2016/1919.</w:t>
      </w:r>
    </w:p>
    <w:p w14:paraId="17D16637" w14:textId="1B184569" w:rsidR="002E7AF0" w:rsidRPr="002E7AF0" w:rsidRDefault="002E7AF0" w:rsidP="002E7AF0">
      <w:pPr>
        <w:spacing w:before="120" w:after="120" w:line="360" w:lineRule="auto"/>
        <w:ind w:left="850" w:hanging="850"/>
        <w:rPr>
          <w:szCs w:val="24"/>
          <w:lang w:eastAsia="en-US"/>
        </w:rPr>
      </w:pPr>
      <w:r w:rsidRPr="002E7AF0">
        <w:rPr>
          <w:szCs w:val="24"/>
          <w:lang w:eastAsia="en-US"/>
        </w:rPr>
        <w:t>2.</w:t>
      </w:r>
      <w:r w:rsidRPr="002E7AF0">
        <w:rPr>
          <w:szCs w:val="24"/>
          <w:lang w:eastAsia="en-US"/>
        </w:rPr>
        <w:tab/>
        <w:t xml:space="preserve">Medlemsstaterne kan indgå bilaterale eller multilaterale aftaler eller ordninger med andre medlemsstater efter den </w:t>
      </w:r>
      <w:r w:rsidR="00AB5AA4">
        <w:rPr>
          <w:szCs w:val="24"/>
          <w:lang w:eastAsia="en-US"/>
        </w:rPr>
        <w:t xml:space="preserve">... </w:t>
      </w:r>
      <w:r w:rsidRPr="002E7AF0">
        <w:rPr>
          <w:szCs w:val="24"/>
          <w:lang w:eastAsia="en-US"/>
        </w:rPr>
        <w:t>[DD/MM/ÅÅÅÅ], for så vidt sådanne aftaler eller ordninger giver mulighed for at udvide bestemmelserne i dette direktiv og bidrager til yderligere at forenkle eller lette procedurerne for håndhævelse af frakendelser af førerretten, der er pålagt i en anden medlemsstat end den, der har udstedt den berørte persons kørekort.</w:t>
      </w:r>
    </w:p>
    <w:p w14:paraId="2062DB3E" w14:textId="77777777" w:rsidR="00E05383" w:rsidRDefault="00E05383">
      <w:pPr>
        <w:widowControl/>
        <w:rPr>
          <w:szCs w:val="24"/>
          <w:lang w:eastAsia="en-US"/>
        </w:rPr>
      </w:pPr>
      <w:r>
        <w:rPr>
          <w:szCs w:val="24"/>
          <w:lang w:eastAsia="en-US"/>
        </w:rPr>
        <w:br w:type="page"/>
      </w:r>
    </w:p>
    <w:p w14:paraId="574B13B0" w14:textId="4E07E82D"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19</w:t>
      </w:r>
      <w:r w:rsidRPr="002E7AF0">
        <w:rPr>
          <w:szCs w:val="24"/>
          <w:lang w:eastAsia="en-US"/>
        </w:rPr>
        <w:br/>
        <w:t>Gennemførelse</w:t>
      </w:r>
    </w:p>
    <w:p w14:paraId="763F1A41" w14:textId="1AFF3DD8" w:rsidR="002E7AF0" w:rsidRPr="002E7AF0" w:rsidRDefault="002E7AF0" w:rsidP="002E7AF0">
      <w:pPr>
        <w:spacing w:before="120" w:after="120" w:line="360" w:lineRule="auto"/>
        <w:ind w:left="850" w:hanging="850"/>
        <w:rPr>
          <w:b/>
          <w:szCs w:val="24"/>
          <w:lang w:eastAsia="en-US"/>
        </w:rPr>
      </w:pPr>
      <w:r w:rsidRPr="002E7AF0">
        <w:rPr>
          <w:szCs w:val="24"/>
          <w:lang w:eastAsia="en-US"/>
        </w:rPr>
        <w:t>1.</w:t>
      </w:r>
      <w:r w:rsidRPr="002E7AF0">
        <w:rPr>
          <w:szCs w:val="24"/>
          <w:lang w:eastAsia="en-US"/>
        </w:rPr>
        <w:tab/>
        <w:t xml:space="preserve">Medlemsstaterne sætter de nødvendige love og administrative bestemmelser i kraft for at efterkomme dette direktiv senest den </w:t>
      </w:r>
      <w:r w:rsidRPr="002E7AF0">
        <w:rPr>
          <w:b/>
          <w:i/>
          <w:szCs w:val="24"/>
          <w:lang w:eastAsia="en-US"/>
        </w:rPr>
        <w:t xml:space="preserve">... </w:t>
      </w:r>
      <w:r w:rsidRPr="002E7AF0">
        <w:rPr>
          <w:szCs w:val="24"/>
          <w:lang w:eastAsia="en-US"/>
        </w:rPr>
        <w:t>[</w:t>
      </w:r>
      <w:proofErr w:type="spellStart"/>
      <w:r w:rsidRPr="002E7AF0">
        <w:rPr>
          <w:strike/>
          <w:szCs w:val="24"/>
          <w:lang w:eastAsia="en-US"/>
        </w:rPr>
        <w:t>DD</w:t>
      </w:r>
      <w:proofErr w:type="spellEnd"/>
      <w:r w:rsidRPr="002E7AF0">
        <w:rPr>
          <w:strike/>
          <w:szCs w:val="24"/>
          <w:lang w:eastAsia="en-US"/>
        </w:rPr>
        <w:t>/MM/</w:t>
      </w:r>
      <w:proofErr w:type="spellStart"/>
      <w:r w:rsidRPr="002E7AF0">
        <w:rPr>
          <w:strike/>
          <w:szCs w:val="24"/>
          <w:lang w:eastAsia="en-US"/>
        </w:rPr>
        <w:t>ÅÅÅÅ</w:t>
      </w:r>
      <w:r w:rsidRPr="002E7AF0">
        <w:rPr>
          <w:b/>
          <w:i/>
          <w:szCs w:val="24"/>
          <w:lang w:eastAsia="en-US"/>
        </w:rPr>
        <w:t>ét</w:t>
      </w:r>
      <w:proofErr w:type="spellEnd"/>
      <w:r w:rsidRPr="002E7AF0">
        <w:rPr>
          <w:b/>
          <w:i/>
          <w:szCs w:val="24"/>
          <w:lang w:eastAsia="en-US"/>
        </w:rPr>
        <w:t xml:space="preserve"> år efter datoen for dette direktivs ikrafttræden</w:t>
      </w:r>
      <w:r w:rsidRPr="002E7AF0">
        <w:rPr>
          <w:szCs w:val="24"/>
          <w:lang w:eastAsia="en-US"/>
        </w:rPr>
        <w:t>]. De meddeler straks Kommissionen disse love og bestemmelser.</w:t>
      </w:r>
      <w:r w:rsidR="00C8158B">
        <w:rPr>
          <w:b/>
          <w:szCs w:val="24"/>
          <w:lang w:eastAsia="en-US"/>
        </w:rPr>
        <w:t xml:space="preserve"> [Ændring 46]</w:t>
      </w:r>
    </w:p>
    <w:p w14:paraId="6DDF2F37" w14:textId="77777777" w:rsidR="002E7AF0" w:rsidRPr="002E7AF0" w:rsidRDefault="002E7AF0" w:rsidP="002E7AF0">
      <w:pPr>
        <w:spacing w:before="120" w:after="120" w:line="360" w:lineRule="auto"/>
        <w:ind w:left="850"/>
        <w:rPr>
          <w:szCs w:val="24"/>
          <w:lang w:eastAsia="en-US"/>
        </w:rPr>
      </w:pPr>
      <w:r w:rsidRPr="002E7AF0">
        <w:rPr>
          <w:szCs w:val="24"/>
          <w:lang w:eastAsia="en-US"/>
        </w:rPr>
        <w:t>Disse love og bestemmelser skal ved vedtagelsen indeholde en henvisning til dette direktiv eller skal ved offentliggørelsen ledsages af en sådan henvisning. Medlemsstaterne fastsætter de nærmere regler for henvisningen.</w:t>
      </w:r>
    </w:p>
    <w:p w14:paraId="262337B6" w14:textId="103E5948" w:rsidR="002E7AF0" w:rsidRPr="002E7AF0" w:rsidRDefault="002E7AF0" w:rsidP="002E7AF0">
      <w:pPr>
        <w:spacing w:before="120" w:after="120" w:line="360" w:lineRule="auto"/>
        <w:ind w:left="850" w:hanging="850"/>
        <w:rPr>
          <w:b/>
          <w:szCs w:val="24"/>
          <w:lang w:eastAsia="en-US"/>
        </w:rPr>
      </w:pPr>
      <w:r w:rsidRPr="002E7AF0">
        <w:rPr>
          <w:szCs w:val="24"/>
          <w:lang w:eastAsia="en-US"/>
        </w:rPr>
        <w:t>2.</w:t>
      </w:r>
      <w:r w:rsidRPr="002E7AF0">
        <w:rPr>
          <w:szCs w:val="24"/>
          <w:lang w:eastAsia="en-US"/>
        </w:rPr>
        <w:tab/>
        <w:t xml:space="preserve">Medlemsstaterne meddeler senest den </w:t>
      </w:r>
      <w:r w:rsidRPr="002E7AF0">
        <w:rPr>
          <w:b/>
          <w:i/>
          <w:szCs w:val="24"/>
          <w:lang w:eastAsia="en-US"/>
        </w:rPr>
        <w:t xml:space="preserve">... </w:t>
      </w:r>
      <w:r w:rsidRPr="002E7AF0">
        <w:rPr>
          <w:szCs w:val="24"/>
          <w:lang w:eastAsia="en-US"/>
        </w:rPr>
        <w:t>[</w:t>
      </w:r>
      <w:r w:rsidRPr="002E7AF0">
        <w:rPr>
          <w:strike/>
          <w:szCs w:val="24"/>
          <w:lang w:eastAsia="en-US"/>
        </w:rPr>
        <w:t>DD/MM/ÅÅÅÅ</w:t>
      </w:r>
      <w:r w:rsidRPr="002E7AF0">
        <w:rPr>
          <w:b/>
          <w:i/>
          <w:szCs w:val="24"/>
          <w:lang w:eastAsia="en-US"/>
        </w:rPr>
        <w:t>15 måneder efter datoen for dette direktivs ikrafttræden</w:t>
      </w:r>
      <w:r w:rsidRPr="002E7AF0">
        <w:rPr>
          <w:szCs w:val="24"/>
          <w:lang w:eastAsia="en-US"/>
        </w:rPr>
        <w:t>] Kommissionen teksten til de vigtigste nationale retsforskrifter, som de udsteder på det område, der er omfattet af dette direktiv.</w:t>
      </w:r>
      <w:r w:rsidR="00C8158B">
        <w:rPr>
          <w:b/>
          <w:szCs w:val="24"/>
          <w:lang w:eastAsia="en-US"/>
        </w:rPr>
        <w:t xml:space="preserve"> [Ændring 47]</w:t>
      </w:r>
    </w:p>
    <w:p w14:paraId="08A2B5C8" w14:textId="77777777" w:rsidR="00E05383" w:rsidRDefault="00E05383">
      <w:pPr>
        <w:widowControl/>
        <w:rPr>
          <w:szCs w:val="24"/>
          <w:lang w:eastAsia="en-US"/>
        </w:rPr>
      </w:pPr>
      <w:r>
        <w:rPr>
          <w:szCs w:val="24"/>
          <w:lang w:eastAsia="en-US"/>
        </w:rPr>
        <w:br w:type="page"/>
      </w:r>
    </w:p>
    <w:p w14:paraId="301CF5CB" w14:textId="3A74BC7D" w:rsidR="002E7AF0" w:rsidRPr="002E7AF0" w:rsidRDefault="002E7AF0" w:rsidP="002E7AF0">
      <w:pPr>
        <w:spacing w:before="120" w:after="120" w:line="360" w:lineRule="auto"/>
        <w:jc w:val="center"/>
        <w:rPr>
          <w:b/>
          <w:szCs w:val="24"/>
          <w:lang w:eastAsia="en-US"/>
        </w:rPr>
      </w:pPr>
      <w:r w:rsidRPr="002E7AF0">
        <w:rPr>
          <w:szCs w:val="24"/>
          <w:lang w:eastAsia="en-US"/>
        </w:rPr>
        <w:lastRenderedPageBreak/>
        <w:t>Artikel 20</w:t>
      </w:r>
      <w:r w:rsidRPr="002E7AF0">
        <w:rPr>
          <w:szCs w:val="24"/>
          <w:lang w:eastAsia="en-US"/>
        </w:rPr>
        <w:br/>
      </w:r>
      <w:r w:rsidRPr="002E7AF0">
        <w:rPr>
          <w:strike/>
          <w:szCs w:val="24"/>
          <w:lang w:eastAsia="en-US"/>
        </w:rPr>
        <w:t xml:space="preserve">Rapport om </w:t>
      </w:r>
      <w:proofErr w:type="spellStart"/>
      <w:r w:rsidRPr="002E7AF0">
        <w:rPr>
          <w:strike/>
          <w:szCs w:val="24"/>
          <w:lang w:eastAsia="en-US"/>
        </w:rPr>
        <w:t>anvendelsen</w:t>
      </w:r>
      <w:r w:rsidRPr="002E7AF0">
        <w:rPr>
          <w:b/>
          <w:i/>
          <w:szCs w:val="24"/>
          <w:lang w:eastAsia="en-US"/>
        </w:rPr>
        <w:t>Revision</w:t>
      </w:r>
      <w:proofErr w:type="spellEnd"/>
      <w:r w:rsidR="00C8158B">
        <w:rPr>
          <w:b/>
          <w:szCs w:val="24"/>
          <w:lang w:eastAsia="en-US"/>
        </w:rPr>
        <w:t xml:space="preserve"> [Ændring 48]</w:t>
      </w:r>
    </w:p>
    <w:p w14:paraId="620E3AD2" w14:textId="7732BBD9" w:rsidR="002E7AF0" w:rsidRPr="002E7AF0" w:rsidRDefault="002E7AF0" w:rsidP="002E7AF0">
      <w:pPr>
        <w:spacing w:before="120" w:after="120" w:line="360" w:lineRule="auto"/>
        <w:rPr>
          <w:b/>
          <w:szCs w:val="24"/>
          <w:lang w:eastAsia="en-US"/>
        </w:rPr>
      </w:pPr>
      <w:r w:rsidRPr="002E7AF0">
        <w:rPr>
          <w:szCs w:val="24"/>
          <w:lang w:eastAsia="en-US"/>
        </w:rPr>
        <w:t xml:space="preserve">Senest den </w:t>
      </w:r>
      <w:r w:rsidRPr="002E7AF0">
        <w:rPr>
          <w:b/>
          <w:i/>
          <w:szCs w:val="24"/>
          <w:lang w:eastAsia="en-US"/>
        </w:rPr>
        <w:t xml:space="preserve">... </w:t>
      </w:r>
      <w:r w:rsidRPr="002E7AF0">
        <w:rPr>
          <w:szCs w:val="24"/>
          <w:lang w:eastAsia="en-US"/>
        </w:rPr>
        <w:t>[</w:t>
      </w:r>
      <w:r w:rsidRPr="002E7AF0">
        <w:rPr>
          <w:b/>
          <w:i/>
          <w:szCs w:val="24"/>
          <w:lang w:eastAsia="en-US"/>
        </w:rPr>
        <w:t xml:space="preserve">fem år efter datoen for dette direktivs </w:t>
      </w:r>
      <w:r w:rsidRPr="002E7AF0">
        <w:rPr>
          <w:szCs w:val="24"/>
          <w:lang w:eastAsia="en-US"/>
        </w:rPr>
        <w:t>ikrafttræden</w:t>
      </w:r>
      <w:r w:rsidRPr="002E7AF0">
        <w:rPr>
          <w:strike/>
          <w:szCs w:val="24"/>
          <w:lang w:eastAsia="en-US"/>
        </w:rPr>
        <w:t xml:space="preserve"> + 5 år</w:t>
      </w:r>
      <w:r w:rsidRPr="002E7AF0">
        <w:rPr>
          <w:szCs w:val="24"/>
          <w:lang w:eastAsia="en-US"/>
        </w:rPr>
        <w:t xml:space="preserve">] og derefter hvert femte år forelægger Kommissionen en rapport for Europa-Parlamentet og Rådet om gennemførelsen af dette direktiv, herunder dets indvirkning på trafiksikkerheden. Rapporten </w:t>
      </w:r>
      <w:r w:rsidRPr="002E7AF0">
        <w:rPr>
          <w:b/>
          <w:i/>
          <w:szCs w:val="24"/>
          <w:lang w:eastAsia="en-US"/>
        </w:rPr>
        <w:t xml:space="preserve">skal indeholde statistikker fra medlemsstaterne om anvendelsen af den mekanisme, der er fastsat i dette direktiv, samt flaskehalse og områder, hvor der kan ske forbedringer. Rapporten </w:t>
      </w:r>
      <w:r w:rsidRPr="002E7AF0">
        <w:rPr>
          <w:szCs w:val="24"/>
          <w:lang w:eastAsia="en-US"/>
        </w:rPr>
        <w:t xml:space="preserve">ledsages om nødvendigt af </w:t>
      </w:r>
      <w:r w:rsidRPr="002E7AF0">
        <w:rPr>
          <w:strike/>
          <w:szCs w:val="24"/>
          <w:lang w:eastAsia="en-US"/>
        </w:rPr>
        <w:t xml:space="preserve">forslag til </w:t>
      </w:r>
      <w:proofErr w:type="spellStart"/>
      <w:r w:rsidRPr="002E7AF0">
        <w:rPr>
          <w:strike/>
          <w:szCs w:val="24"/>
          <w:lang w:eastAsia="en-US"/>
        </w:rPr>
        <w:t>ændringer</w:t>
      </w:r>
      <w:r w:rsidRPr="002E7AF0">
        <w:rPr>
          <w:b/>
          <w:i/>
          <w:szCs w:val="24"/>
          <w:lang w:eastAsia="en-US"/>
        </w:rPr>
        <w:t>et</w:t>
      </w:r>
      <w:proofErr w:type="spellEnd"/>
      <w:r w:rsidRPr="002E7AF0">
        <w:rPr>
          <w:b/>
          <w:i/>
          <w:szCs w:val="24"/>
          <w:lang w:eastAsia="en-US"/>
        </w:rPr>
        <w:t xml:space="preserve"> lovgivningsforslag om ændring</w:t>
      </w:r>
      <w:r w:rsidRPr="002E7AF0">
        <w:rPr>
          <w:szCs w:val="24"/>
          <w:lang w:eastAsia="en-US"/>
        </w:rPr>
        <w:t xml:space="preserve"> af dette direktiv.</w:t>
      </w:r>
      <w:r w:rsidR="00C8158B">
        <w:rPr>
          <w:b/>
          <w:szCs w:val="24"/>
          <w:lang w:eastAsia="en-US"/>
        </w:rPr>
        <w:t xml:space="preserve"> [Ændring 49]</w:t>
      </w:r>
    </w:p>
    <w:p w14:paraId="56F36E78" w14:textId="76B2F620" w:rsidR="002E7AF0" w:rsidRPr="002E7AF0" w:rsidRDefault="002E7AF0" w:rsidP="002E7AF0">
      <w:pPr>
        <w:spacing w:before="120" w:after="120" w:line="360" w:lineRule="auto"/>
        <w:jc w:val="center"/>
        <w:rPr>
          <w:b/>
          <w:szCs w:val="24"/>
          <w:lang w:eastAsia="en-US"/>
        </w:rPr>
      </w:pPr>
      <w:r w:rsidRPr="002E7AF0">
        <w:rPr>
          <w:szCs w:val="24"/>
          <w:lang w:eastAsia="en-US"/>
        </w:rPr>
        <w:t>Artikel 21</w:t>
      </w:r>
      <w:r w:rsidRPr="002E7AF0">
        <w:rPr>
          <w:szCs w:val="24"/>
          <w:lang w:eastAsia="en-US"/>
        </w:rPr>
        <w:br/>
        <w:t>Ikrafttræden</w:t>
      </w:r>
      <w:r w:rsidRPr="002E7AF0">
        <w:rPr>
          <w:strike/>
          <w:szCs w:val="24"/>
          <w:lang w:eastAsia="en-US"/>
        </w:rPr>
        <w:t xml:space="preserve"> og anvendelsesdato</w:t>
      </w:r>
      <w:r w:rsidR="00C8158B">
        <w:rPr>
          <w:b/>
          <w:szCs w:val="24"/>
          <w:lang w:eastAsia="en-US"/>
        </w:rPr>
        <w:t xml:space="preserve"> [Ændring 50]</w:t>
      </w:r>
    </w:p>
    <w:p w14:paraId="53E1C5D0" w14:textId="77777777" w:rsidR="002E7AF0" w:rsidRPr="002E7AF0" w:rsidRDefault="002E7AF0" w:rsidP="002E7AF0">
      <w:pPr>
        <w:spacing w:before="120" w:after="120" w:line="360" w:lineRule="auto"/>
        <w:rPr>
          <w:szCs w:val="24"/>
          <w:lang w:eastAsia="en-US"/>
        </w:rPr>
      </w:pPr>
      <w:r w:rsidRPr="002E7AF0">
        <w:rPr>
          <w:szCs w:val="24"/>
          <w:lang w:eastAsia="en-US"/>
        </w:rPr>
        <w:t xml:space="preserve">Dette direktiv træder i kraft på tyvendedagen efter offentliggørelsen i </w:t>
      </w:r>
      <w:r w:rsidRPr="0017616C">
        <w:rPr>
          <w:i/>
          <w:szCs w:val="24"/>
          <w:lang w:eastAsia="en-US"/>
        </w:rPr>
        <w:t>Den Europæiske Unions Tidende</w:t>
      </w:r>
      <w:r w:rsidRPr="002E7AF0">
        <w:rPr>
          <w:szCs w:val="24"/>
          <w:lang w:eastAsia="en-US"/>
        </w:rPr>
        <w:t>.</w:t>
      </w:r>
    </w:p>
    <w:p w14:paraId="41C91F88" w14:textId="77777777" w:rsidR="00E05383" w:rsidRDefault="00E05383">
      <w:pPr>
        <w:widowControl/>
        <w:rPr>
          <w:szCs w:val="24"/>
          <w:lang w:eastAsia="en-US"/>
        </w:rPr>
      </w:pPr>
      <w:r>
        <w:rPr>
          <w:szCs w:val="24"/>
          <w:lang w:eastAsia="en-US"/>
        </w:rPr>
        <w:br w:type="page"/>
      </w:r>
    </w:p>
    <w:p w14:paraId="176E9CB3" w14:textId="65246F27" w:rsidR="002E7AF0" w:rsidRPr="002E7AF0" w:rsidRDefault="002E7AF0" w:rsidP="002E7AF0">
      <w:pPr>
        <w:spacing w:before="120" w:after="120" w:line="360" w:lineRule="auto"/>
        <w:jc w:val="center"/>
        <w:rPr>
          <w:szCs w:val="24"/>
          <w:lang w:eastAsia="en-US"/>
        </w:rPr>
      </w:pPr>
      <w:r w:rsidRPr="002E7AF0">
        <w:rPr>
          <w:szCs w:val="24"/>
          <w:lang w:eastAsia="en-US"/>
        </w:rPr>
        <w:lastRenderedPageBreak/>
        <w:t>Artikel 22</w:t>
      </w:r>
      <w:r w:rsidRPr="002E7AF0">
        <w:rPr>
          <w:szCs w:val="24"/>
          <w:lang w:eastAsia="en-US"/>
        </w:rPr>
        <w:br/>
        <w:t>Adressater</w:t>
      </w:r>
    </w:p>
    <w:p w14:paraId="097E343B" w14:textId="77777777" w:rsidR="002E7AF0" w:rsidRPr="002E7AF0" w:rsidRDefault="002E7AF0" w:rsidP="002E7AF0">
      <w:pPr>
        <w:spacing w:before="120" w:after="120" w:line="360" w:lineRule="auto"/>
        <w:rPr>
          <w:szCs w:val="24"/>
          <w:lang w:eastAsia="en-US"/>
        </w:rPr>
      </w:pPr>
      <w:r w:rsidRPr="002E7AF0">
        <w:rPr>
          <w:szCs w:val="24"/>
          <w:lang w:eastAsia="en-US"/>
        </w:rPr>
        <w:t>Dette direktiv er rettet til medlemsstaterne.</w:t>
      </w:r>
    </w:p>
    <w:p w14:paraId="49A66D8F" w14:textId="06BE86EE" w:rsidR="002E7AF0" w:rsidRPr="002E7AF0" w:rsidRDefault="002E7AF0" w:rsidP="002E7AF0">
      <w:pPr>
        <w:keepNext/>
        <w:widowControl/>
        <w:spacing w:before="120" w:line="360" w:lineRule="auto"/>
        <w:rPr>
          <w:szCs w:val="24"/>
          <w:lang w:eastAsia="en-US"/>
        </w:rPr>
      </w:pPr>
      <w:r w:rsidRPr="002E7AF0">
        <w:rPr>
          <w:szCs w:val="24"/>
          <w:lang w:eastAsia="en-US"/>
        </w:rPr>
        <w:t xml:space="preserve">Udfærdiget i </w:t>
      </w:r>
      <w:r w:rsidR="00C8158B">
        <w:rPr>
          <w:szCs w:val="24"/>
          <w:lang w:eastAsia="en-US"/>
        </w:rPr>
        <w:t>...</w:t>
      </w:r>
      <w:r w:rsidRPr="002E7AF0">
        <w:rPr>
          <w:szCs w:val="24"/>
          <w:lang w:eastAsia="en-US"/>
        </w:rPr>
        <w:t>, den […].</w:t>
      </w:r>
    </w:p>
    <w:p w14:paraId="10C5F4A6" w14:textId="77777777" w:rsidR="002E7AF0" w:rsidRPr="002E7AF0" w:rsidRDefault="002E7AF0" w:rsidP="002E7AF0">
      <w:pPr>
        <w:keepNext/>
        <w:widowControl/>
        <w:tabs>
          <w:tab w:val="left" w:pos="4252"/>
        </w:tabs>
        <w:spacing w:before="720" w:after="100" w:line="360" w:lineRule="auto"/>
        <w:jc w:val="both"/>
        <w:rPr>
          <w:i/>
          <w:szCs w:val="24"/>
          <w:lang w:eastAsia="en-US"/>
        </w:rPr>
      </w:pPr>
      <w:r w:rsidRPr="002E7AF0">
        <w:rPr>
          <w:i/>
          <w:szCs w:val="24"/>
          <w:lang w:eastAsia="en-US"/>
        </w:rPr>
        <w:t>På Europa-Parlamentets vegne</w:t>
      </w:r>
      <w:r w:rsidRPr="002E7AF0">
        <w:rPr>
          <w:i/>
          <w:szCs w:val="24"/>
          <w:lang w:eastAsia="en-US"/>
        </w:rPr>
        <w:tab/>
        <w:t>På Rådets vegne</w:t>
      </w:r>
    </w:p>
    <w:p w14:paraId="12CD8DED" w14:textId="1C8DB16B" w:rsidR="00AC3C1D" w:rsidRPr="0017616C" w:rsidRDefault="002E7AF0" w:rsidP="002E7AF0">
      <w:pPr>
        <w:widowControl/>
        <w:tabs>
          <w:tab w:val="left" w:pos="4252"/>
        </w:tabs>
        <w:spacing w:line="360" w:lineRule="auto"/>
      </w:pPr>
      <w:r w:rsidRPr="0017616C">
        <w:rPr>
          <w:i/>
          <w:szCs w:val="24"/>
          <w:lang w:eastAsia="en-US"/>
        </w:rPr>
        <w:t>Formanden</w:t>
      </w:r>
      <w:r w:rsidRPr="0017616C">
        <w:rPr>
          <w:i/>
          <w:szCs w:val="24"/>
          <w:lang w:eastAsia="en-US"/>
        </w:rPr>
        <w:tab/>
      </w:r>
      <w:proofErr w:type="spellStart"/>
      <w:r w:rsidRPr="0017616C">
        <w:rPr>
          <w:i/>
          <w:szCs w:val="24"/>
          <w:lang w:eastAsia="en-US"/>
        </w:rPr>
        <w:t>Formanden</w:t>
      </w:r>
      <w:bookmarkStart w:id="7" w:name="_GoBack"/>
      <w:bookmarkEnd w:id="7"/>
      <w:proofErr w:type="spellEnd"/>
    </w:p>
    <w:sectPr w:rsidR="00AC3C1D" w:rsidRPr="0017616C" w:rsidSect="00DB5E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98C79" w14:textId="77777777" w:rsidR="00B24C18" w:rsidRPr="00DB5EF8" w:rsidRDefault="00B24C18">
      <w:r w:rsidRPr="00DB5EF8">
        <w:separator/>
      </w:r>
    </w:p>
  </w:endnote>
  <w:endnote w:type="continuationSeparator" w:id="0">
    <w:p w14:paraId="57AC5893" w14:textId="77777777" w:rsidR="00B24C18" w:rsidRPr="00DB5EF8" w:rsidRDefault="00B24C18">
      <w:r w:rsidRPr="00DB5E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0A72C" w14:textId="77777777" w:rsidR="00B24C18" w:rsidRPr="00DB5EF8" w:rsidRDefault="00B24C18">
      <w:r w:rsidRPr="00DB5EF8">
        <w:separator/>
      </w:r>
    </w:p>
  </w:footnote>
  <w:footnote w:type="continuationSeparator" w:id="0">
    <w:p w14:paraId="241E2407" w14:textId="77777777" w:rsidR="00B24C18" w:rsidRPr="00DB5EF8" w:rsidRDefault="00B24C18">
      <w:r w:rsidRPr="00DB5EF8">
        <w:continuationSeparator/>
      </w:r>
    </w:p>
  </w:footnote>
  <w:footnote w:id="1">
    <w:p w14:paraId="7DC94160" w14:textId="77777777" w:rsidR="00B24C18" w:rsidRPr="00DB5EF8" w:rsidRDefault="00B24C18" w:rsidP="00DB5EF8">
      <w:pPr>
        <w:pStyle w:val="FootnoteText"/>
        <w:ind w:left="567" w:hanging="567"/>
        <w:rPr>
          <w:sz w:val="24"/>
          <w:lang w:val="da-DK"/>
        </w:rPr>
      </w:pPr>
      <w:r w:rsidRPr="00DB5EF8">
        <w:rPr>
          <w:rStyle w:val="FootnoteReference"/>
          <w:sz w:val="24"/>
          <w:lang w:val="da-DK"/>
        </w:rPr>
        <w:footnoteRef/>
      </w:r>
      <w:r w:rsidRPr="00DB5EF8">
        <w:rPr>
          <w:sz w:val="24"/>
          <w:lang w:val="da-DK"/>
        </w:rPr>
        <w:t xml:space="preserve"> </w:t>
      </w:r>
      <w:r w:rsidRPr="00DB5EF8">
        <w:rPr>
          <w:sz w:val="24"/>
          <w:lang w:val="da-DK"/>
        </w:rPr>
        <w:tab/>
        <w:t>EUT C 293 af 18.8.2023, s. 133.</w:t>
      </w:r>
    </w:p>
  </w:footnote>
  <w:footnote w:id="2">
    <w:p w14:paraId="67C0CA80" w14:textId="564B06FE" w:rsidR="002E7AF0" w:rsidRPr="002E7AF0" w:rsidRDefault="002E7AF0" w:rsidP="002E7AF0">
      <w:pPr>
        <w:pStyle w:val="FootnoteTextForceStyle"/>
        <w:rPr>
          <w:lang w:val="da-DK"/>
        </w:rPr>
      </w:pPr>
      <w:r>
        <w:rPr>
          <w:vertAlign w:val="superscript"/>
        </w:rPr>
        <w:footnoteRef/>
      </w:r>
      <w:r w:rsidRPr="002E7AF0">
        <w:rPr>
          <w:lang w:val="da-DK"/>
        </w:rPr>
        <w:tab/>
        <w:t xml:space="preserve">EUT C </w:t>
      </w:r>
      <w:r w:rsidR="00B50577">
        <w:rPr>
          <w:lang w:val="da-DK"/>
        </w:rPr>
        <w:t>293 af 18.8.2023, s. 133</w:t>
      </w:r>
      <w:r w:rsidRPr="002E7AF0">
        <w:rPr>
          <w:lang w:val="da-DK"/>
        </w:rPr>
        <w:t>.</w:t>
      </w:r>
    </w:p>
  </w:footnote>
  <w:footnote w:id="3">
    <w:p w14:paraId="3A110A65" w14:textId="2879CF88" w:rsidR="002E7AF0" w:rsidRPr="002E7AF0" w:rsidRDefault="002E7AF0" w:rsidP="002E7AF0">
      <w:pPr>
        <w:pStyle w:val="FootnoteTextForceStyle"/>
        <w:rPr>
          <w:lang w:val="da-DK"/>
        </w:rPr>
      </w:pPr>
      <w:r>
        <w:rPr>
          <w:vertAlign w:val="superscript"/>
        </w:rPr>
        <w:footnoteRef/>
      </w:r>
      <w:r w:rsidRPr="002E7AF0">
        <w:rPr>
          <w:lang w:val="da-DK"/>
        </w:rPr>
        <w:tab/>
      </w:r>
      <w:proofErr w:type="gramStart"/>
      <w:r w:rsidRPr="002E7AF0">
        <w:rPr>
          <w:lang w:val="da-DK"/>
        </w:rPr>
        <w:t>SWD(</w:t>
      </w:r>
      <w:proofErr w:type="gramEnd"/>
      <w:r w:rsidRPr="002E7AF0">
        <w:rPr>
          <w:lang w:val="da-DK"/>
        </w:rPr>
        <w:t>2019)</w:t>
      </w:r>
      <w:r w:rsidR="00314FC8">
        <w:rPr>
          <w:lang w:val="da-DK"/>
        </w:rPr>
        <w:t>0</w:t>
      </w:r>
      <w:r w:rsidRPr="002E7AF0">
        <w:rPr>
          <w:lang w:val="da-DK"/>
        </w:rPr>
        <w:t>283.</w:t>
      </w:r>
    </w:p>
  </w:footnote>
  <w:footnote w:id="4">
    <w:p w14:paraId="3AC8AA38" w14:textId="77777777" w:rsidR="002E7AF0" w:rsidRPr="002E7AF0" w:rsidRDefault="002E7AF0" w:rsidP="002E7AF0">
      <w:pPr>
        <w:pStyle w:val="FootnoteTextForceStyle"/>
        <w:rPr>
          <w:lang w:val="da-DK"/>
        </w:rPr>
      </w:pPr>
      <w:r>
        <w:rPr>
          <w:vertAlign w:val="superscript"/>
        </w:rPr>
        <w:footnoteRef/>
      </w:r>
      <w:r w:rsidRPr="002E7AF0">
        <w:rPr>
          <w:lang w:val="da-DK"/>
        </w:rPr>
        <w:tab/>
        <w:t>EUT C 202 af 7.6.2016.</w:t>
      </w:r>
    </w:p>
  </w:footnote>
  <w:footnote w:id="5">
    <w:p w14:paraId="3F3704E7" w14:textId="77777777" w:rsidR="002E7AF0" w:rsidRPr="002E7AF0" w:rsidRDefault="002E7AF0" w:rsidP="002E7AF0">
      <w:pPr>
        <w:pStyle w:val="FootnoteTextForceStyle"/>
        <w:rPr>
          <w:lang w:val="da-DK"/>
        </w:rPr>
      </w:pPr>
      <w:r>
        <w:rPr>
          <w:vertAlign w:val="superscript"/>
        </w:rPr>
        <w:footnoteRef/>
      </w:r>
      <w:r w:rsidRPr="002E7AF0">
        <w:rPr>
          <w:lang w:val="da-DK"/>
        </w:rPr>
        <w:tab/>
        <w:t>Domstolens dom (Store afdeling) af 6. maj 2014, Kommissionen mod Europa-Parlamentet og Rådet, C-43/12, EU:C:2014:298, præmis 43.</w:t>
      </w:r>
    </w:p>
  </w:footnote>
  <w:footnote w:id="6">
    <w:p w14:paraId="3CC3F499" w14:textId="77777777" w:rsidR="002E7AF0" w:rsidRPr="002E7AF0" w:rsidRDefault="002E7AF0" w:rsidP="002E7AF0">
      <w:pPr>
        <w:pStyle w:val="FootnoteTextForceStyle"/>
        <w:rPr>
          <w:lang w:val="da-DK"/>
        </w:rPr>
      </w:pPr>
      <w:r>
        <w:rPr>
          <w:vertAlign w:val="superscript"/>
        </w:rPr>
        <w:footnoteRef/>
      </w:r>
      <w:r w:rsidRPr="002E7AF0">
        <w:rPr>
          <w:lang w:val="da-DK"/>
        </w:rPr>
        <w:tab/>
        <w:t>EUT C 202 af 7.6.2016, s. 391.</w:t>
      </w:r>
    </w:p>
  </w:footnote>
  <w:footnote w:id="7">
    <w:p w14:paraId="448B73E3"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8">
    <w:p w14:paraId="34E9B14B"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(EU) 2016/680 af 27. april 2016 om beskyttelse af fysiske personer i forbindelse med kompetente myndigheders behandling af personoplysninger med henblik på at forebygge, efterforske, afsløre eller retsforfølge strafbare handlinger eller fuldbyrde strafferetlige sanktioner og om fri udveksling af sådanne oplysninger og om ophævelse af Rådets rammeafgørelse 2008/977/RIA (EUT L 119 af 4.5.2016, s. 89).</w:t>
      </w:r>
    </w:p>
  </w:footnote>
  <w:footnote w:id="9">
    <w:p w14:paraId="04435E52" w14:textId="77777777" w:rsidR="002E7AF0" w:rsidRPr="002E7AF0" w:rsidRDefault="002E7AF0" w:rsidP="002E7AF0">
      <w:pPr>
        <w:pStyle w:val="FootnoteTextForceStyle"/>
        <w:rPr>
          <w:lang w:val="da-DK"/>
        </w:rPr>
      </w:pPr>
      <w:r>
        <w:rPr>
          <w:vertAlign w:val="superscript"/>
        </w:rPr>
        <w:footnoteRef/>
      </w:r>
      <w:r w:rsidRPr="002E7AF0">
        <w:rPr>
          <w:lang w:val="da-DK"/>
        </w:rPr>
        <w:tab/>
        <w:t>Rådets rammeafgørelse 2008/947/RIA af 27. november 2008 om anvendelse af princippet om gensidig anerkendelse på domme og afgørelser om prøvetid med tilsyn med henblik på tilsyn med tilsynsforanstaltninger og alternative sanktioner (EUT L 337 af 16.12.2008, s. 102).</w:t>
      </w:r>
    </w:p>
  </w:footnote>
  <w:footnote w:id="10">
    <w:p w14:paraId="27861BA0" w14:textId="77777777" w:rsidR="002E7AF0" w:rsidRPr="002E7AF0" w:rsidRDefault="002E7AF0" w:rsidP="002E7AF0">
      <w:pPr>
        <w:pStyle w:val="FootnoteTextForceStyle"/>
        <w:rPr>
          <w:lang w:val="da-DK"/>
        </w:rPr>
      </w:pPr>
      <w:r>
        <w:rPr>
          <w:vertAlign w:val="superscript"/>
        </w:rPr>
        <w:footnoteRef/>
      </w:r>
      <w:r w:rsidRPr="002E7AF0">
        <w:rPr>
          <w:lang w:val="da-DK"/>
        </w:rPr>
        <w:tab/>
        <w:t>Rådets rammeafgørelse 2005/214/RIA af 24. februar 2005 om anvendelse af princippet om gensidig anerkendelse på bødestraffe (EUT L 76 af 22.3.2005, s. 16).</w:t>
      </w:r>
    </w:p>
  </w:footnote>
  <w:footnote w:id="11">
    <w:p w14:paraId="5EDE8691"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2010/64/EU af 20. oktober 2010 om retten til tolke- og oversætterbistand i straffesager (EUT L 280 af 26.10.2010, s. 1).</w:t>
      </w:r>
    </w:p>
  </w:footnote>
  <w:footnote w:id="12">
    <w:p w14:paraId="19DD406B"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2012/13/EU af 22. maj 2012 om ret til information under straffesager (EUT L 142 af 1.6.2012, s. 1).</w:t>
      </w:r>
    </w:p>
  </w:footnote>
  <w:footnote w:id="13">
    <w:p w14:paraId="57FD173F"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2013/48/EU af 22. oktober 2013 om ret til adgang til advokatbistand i straffesager og i sager angående europæiske arrestordrer og om ret til at få en tredjemand underrettet ved frihedsberøvelse og til at kommunikere med tredjemand og med konsulære myndigheder under frihedsberøvelsen (EUT L 294 af 6.11.2013, s. 1).</w:t>
      </w:r>
    </w:p>
  </w:footnote>
  <w:footnote w:id="14">
    <w:p w14:paraId="2371A594"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(EU) 2016/343 af 9. marts 2016 om styrkelse af visse aspekter af uskyldsformodningen og retten til at være til stede under retssagen i straffesager (EUT L 65 af 11.3.2016, s. 1).</w:t>
      </w:r>
    </w:p>
  </w:footnote>
  <w:footnote w:id="15">
    <w:p w14:paraId="59E9E280"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(EU) 2016/800 af 11. maj 2016 om retssikkerhedsgarantier for børn, der er mistænkte eller tiltalte i straffesager (EUT L 132 af 21.5.2016, s. 1).</w:t>
      </w:r>
    </w:p>
  </w:footnote>
  <w:footnote w:id="16">
    <w:p w14:paraId="7CA32A21"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(EU) 2016/1919 af 26. oktober 2016 om retshjælp til mistænkte og tiltalte i straffesager og til eftersøgte i sager angående europæiske arrestordrer (EUT L 297 af 4.11.2016, s. 1).</w:t>
      </w:r>
    </w:p>
  </w:footnote>
  <w:footnote w:id="17">
    <w:p w14:paraId="1A9427D4" w14:textId="4D8C50EF" w:rsidR="002E7AF0" w:rsidRPr="002E7AF0" w:rsidRDefault="002E7AF0" w:rsidP="002E7AF0">
      <w:pPr>
        <w:pStyle w:val="FootnoteTextForceStyle"/>
        <w:rPr>
          <w:lang w:val="da-DK"/>
        </w:rPr>
      </w:pPr>
      <w:r>
        <w:rPr>
          <w:vertAlign w:val="superscript"/>
        </w:rPr>
        <w:footnoteRef/>
      </w:r>
      <w:r w:rsidRPr="002E7AF0">
        <w:rPr>
          <w:lang w:val="da-DK"/>
        </w:rPr>
        <w:tab/>
        <w:t>Europa-Parlamentets og Rådets forordning (EU) nr. 182/2011 af 16. februar 2011 om de generelle regler og principper for, medlemsstaterne skal kontrollere Kommissionens udøvelse af gennemførelsesbeføjelser (EUT L 55 af 28.2.2011, s. 13).</w:t>
      </w:r>
    </w:p>
  </w:footnote>
  <w:footnote w:id="18">
    <w:p w14:paraId="40C8C2F6" w14:textId="6286197A" w:rsidR="002E7AF0" w:rsidRPr="002E7AF0" w:rsidRDefault="002E7AF0" w:rsidP="002E7AF0">
      <w:pPr>
        <w:pStyle w:val="FootnoteTextForceStyle"/>
        <w:rPr>
          <w:lang w:val="da-DK"/>
        </w:rPr>
      </w:pPr>
      <w:r>
        <w:rPr>
          <w:vertAlign w:val="superscript"/>
        </w:rPr>
        <w:footnoteRef/>
      </w:r>
      <w:r w:rsidRPr="002E7AF0">
        <w:rPr>
          <w:lang w:val="da-DK"/>
        </w:rPr>
        <w:tab/>
        <w:t>EUT C 202 af 7.6.2016, s. 13.</w:t>
      </w:r>
    </w:p>
  </w:footnote>
  <w:footnote w:id="19">
    <w:p w14:paraId="70EC3420" w14:textId="77777777" w:rsidR="002E7AF0" w:rsidRPr="002E7AF0" w:rsidRDefault="002E7AF0" w:rsidP="002E7AF0">
      <w:pPr>
        <w:pStyle w:val="FootnoteTextForceStyle"/>
        <w:rPr>
          <w:lang w:val="da-DK"/>
        </w:rPr>
      </w:pPr>
      <w:r>
        <w:rPr>
          <w:vertAlign w:val="superscript"/>
        </w:rPr>
        <w:footnoteRef/>
      </w:r>
      <w:r w:rsidRPr="002E7AF0">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20">
    <w:p w14:paraId="3098AAE2" w14:textId="641B49E7" w:rsidR="002E7AF0" w:rsidRPr="002E7AF0" w:rsidRDefault="002E7AF0" w:rsidP="002E7AF0">
      <w:pPr>
        <w:pStyle w:val="FootnoteTextForceStyle"/>
        <w:rPr>
          <w:lang w:val="da-DK"/>
        </w:rPr>
      </w:pPr>
      <w:r>
        <w:rPr>
          <w:vertAlign w:val="superscript"/>
        </w:rPr>
        <w:footnoteRef/>
      </w:r>
      <w:r w:rsidRPr="002E7AF0">
        <w:rPr>
          <w:lang w:val="da-DK"/>
        </w:rPr>
        <w:tab/>
        <w:t>Europa-Parlamentets og Rådets direktiv (EU) 2015/413 af 11. marts 2015 om fremme af grænseoverskridende udveksling af oplysninger om trafiksikkerhedsrelaterede færdselslovovertrædelser (EUT L 68 af 13.3.2015, s.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DA"/>
    <w:docVar w:name="dvnumam" w:val="0"/>
    <w:docVar w:name="dvpe" w:val="751.805"/>
    <w:docVar w:name="dvrapporteur" w:val="Ordfører: "/>
    <w:docVar w:name="dvstar" w:val="***I"/>
    <w:docVar w:name="dvtitre" w:val="Europa-Parlamentets lovgivningsmæssige beslutning af xx.xx 2024 om forslag til Europa-Parlamentets og Rådets direktiv om den EU-dækkende virkning af visse frakendelser af førerretten(COM(2023)0128 – C9-0036/2023 – 2023/0055(COD))"/>
  </w:docVars>
  <w:rsids>
    <w:rsidRoot w:val="00524BFB"/>
    <w:rsid w:val="00002272"/>
    <w:rsid w:val="00010B8D"/>
    <w:rsid w:val="00064002"/>
    <w:rsid w:val="000677B9"/>
    <w:rsid w:val="000831BA"/>
    <w:rsid w:val="000A42CC"/>
    <w:rsid w:val="000A752C"/>
    <w:rsid w:val="000E7DD9"/>
    <w:rsid w:val="0010095E"/>
    <w:rsid w:val="00125B37"/>
    <w:rsid w:val="0015095A"/>
    <w:rsid w:val="0017616C"/>
    <w:rsid w:val="00187494"/>
    <w:rsid w:val="001F32AE"/>
    <w:rsid w:val="002045CD"/>
    <w:rsid w:val="002767FF"/>
    <w:rsid w:val="002B18FE"/>
    <w:rsid w:val="002B5493"/>
    <w:rsid w:val="002E7AF0"/>
    <w:rsid w:val="00314F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BFB"/>
    <w:rsid w:val="00545827"/>
    <w:rsid w:val="00560270"/>
    <w:rsid w:val="00576D75"/>
    <w:rsid w:val="005813C0"/>
    <w:rsid w:val="005A285B"/>
    <w:rsid w:val="005A6530"/>
    <w:rsid w:val="005C2568"/>
    <w:rsid w:val="006037C0"/>
    <w:rsid w:val="006631B6"/>
    <w:rsid w:val="00680577"/>
    <w:rsid w:val="006F74FA"/>
    <w:rsid w:val="00701DBC"/>
    <w:rsid w:val="00725CDD"/>
    <w:rsid w:val="00731ADD"/>
    <w:rsid w:val="00734777"/>
    <w:rsid w:val="00747932"/>
    <w:rsid w:val="00751A4A"/>
    <w:rsid w:val="00756632"/>
    <w:rsid w:val="00762C74"/>
    <w:rsid w:val="00786EC0"/>
    <w:rsid w:val="007D1690"/>
    <w:rsid w:val="007E22AD"/>
    <w:rsid w:val="00817416"/>
    <w:rsid w:val="00842779"/>
    <w:rsid w:val="00865F67"/>
    <w:rsid w:val="008761F7"/>
    <w:rsid w:val="00881A7B"/>
    <w:rsid w:val="008840E5"/>
    <w:rsid w:val="00887B3E"/>
    <w:rsid w:val="008A4472"/>
    <w:rsid w:val="008C2AC6"/>
    <w:rsid w:val="00930C23"/>
    <w:rsid w:val="0093193B"/>
    <w:rsid w:val="009509D8"/>
    <w:rsid w:val="00950B64"/>
    <w:rsid w:val="00981893"/>
    <w:rsid w:val="00A1687D"/>
    <w:rsid w:val="00A43E52"/>
    <w:rsid w:val="00A4678D"/>
    <w:rsid w:val="00A778C7"/>
    <w:rsid w:val="00AB441E"/>
    <w:rsid w:val="00AB5AA4"/>
    <w:rsid w:val="00AB6293"/>
    <w:rsid w:val="00AC3C1D"/>
    <w:rsid w:val="00AE0928"/>
    <w:rsid w:val="00AF3B82"/>
    <w:rsid w:val="00B12E95"/>
    <w:rsid w:val="00B22876"/>
    <w:rsid w:val="00B24C18"/>
    <w:rsid w:val="00B50577"/>
    <w:rsid w:val="00B50A7B"/>
    <w:rsid w:val="00B558F0"/>
    <w:rsid w:val="00B91715"/>
    <w:rsid w:val="00BD48FE"/>
    <w:rsid w:val="00BD7BD8"/>
    <w:rsid w:val="00BE6ADC"/>
    <w:rsid w:val="00C05BFE"/>
    <w:rsid w:val="00C23CD4"/>
    <w:rsid w:val="00C61C0C"/>
    <w:rsid w:val="00C65561"/>
    <w:rsid w:val="00C8158B"/>
    <w:rsid w:val="00C941CB"/>
    <w:rsid w:val="00CC2357"/>
    <w:rsid w:val="00CD5DE9"/>
    <w:rsid w:val="00CF071A"/>
    <w:rsid w:val="00D058B8"/>
    <w:rsid w:val="00D56C11"/>
    <w:rsid w:val="00D61AE0"/>
    <w:rsid w:val="00D71782"/>
    <w:rsid w:val="00D834A0"/>
    <w:rsid w:val="00D85F36"/>
    <w:rsid w:val="00D872DF"/>
    <w:rsid w:val="00D91E21"/>
    <w:rsid w:val="00DA7FCD"/>
    <w:rsid w:val="00DB42B3"/>
    <w:rsid w:val="00DB5EF8"/>
    <w:rsid w:val="00E05383"/>
    <w:rsid w:val="00E365E1"/>
    <w:rsid w:val="00E43D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21E3A"/>
  <w15:chartTrackingRefBased/>
  <w15:docId w15:val="{D4098477-FE14-4DD3-8FA0-8E1D9AA0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1DBC"/>
    <w:pPr>
      <w:spacing w:before="480" w:after="240"/>
    </w:pPr>
    <w:rPr>
      <w:snapToGrid w:val="0"/>
      <w:lang w:val="en-GB" w:eastAsia="en-US"/>
    </w:rPr>
  </w:style>
  <w:style w:type="paragraph" w:customStyle="1" w:styleId="NormalBold">
    <w:name w:val="NormalBold"/>
    <w:basedOn w:val="Normal"/>
    <w:rsid w:val="00701DBC"/>
    <w:rPr>
      <w:b/>
      <w:snapToGrid w:val="0"/>
      <w:lang w:val="en-GB" w:eastAsia="en-US"/>
    </w:rPr>
  </w:style>
  <w:style w:type="paragraph" w:customStyle="1" w:styleId="NormalHanging12a">
    <w:name w:val="NormalHanging12a"/>
    <w:basedOn w:val="Normal"/>
    <w:rsid w:val="00701DBC"/>
    <w:pPr>
      <w:widowControl/>
      <w:spacing w:after="240"/>
      <w:ind w:left="567" w:hanging="567"/>
    </w:pPr>
    <w:rPr>
      <w:snapToGrid w:val="0"/>
      <w:lang w:val="en-GB" w:eastAsia="en-US"/>
    </w:rPr>
  </w:style>
  <w:style w:type="paragraph" w:customStyle="1" w:styleId="AmColumnHeading">
    <w:name w:val="AmColumnHeading"/>
    <w:basedOn w:val="Normal"/>
    <w:rsid w:val="00701DBC"/>
    <w:pPr>
      <w:spacing w:after="240"/>
      <w:jc w:val="center"/>
    </w:pPr>
    <w:rPr>
      <w:i/>
      <w:lang w:val="en-GB"/>
    </w:rPr>
  </w:style>
  <w:style w:type="paragraph" w:customStyle="1" w:styleId="AmJustText">
    <w:name w:val="AmJustText"/>
    <w:basedOn w:val="Normal"/>
    <w:rsid w:val="00701DBC"/>
    <w:pPr>
      <w:spacing w:after="240"/>
    </w:pPr>
    <w:rPr>
      <w:i/>
      <w:lang w:val="en-GB"/>
    </w:rPr>
  </w:style>
  <w:style w:type="paragraph" w:customStyle="1" w:styleId="AmJustTitle">
    <w:name w:val="AmJustTitle"/>
    <w:basedOn w:val="Normal"/>
    <w:next w:val="AmJustText"/>
    <w:rsid w:val="00701DBC"/>
    <w:pPr>
      <w:keepNext/>
      <w:spacing w:before="240" w:after="240"/>
      <w:jc w:val="center"/>
    </w:pPr>
    <w:rPr>
      <w:i/>
      <w:lang w:val="en-GB"/>
    </w:rPr>
  </w:style>
  <w:style w:type="paragraph" w:customStyle="1" w:styleId="AmNumberTabs">
    <w:name w:val="AmNumberTabs"/>
    <w:basedOn w:val="Normal"/>
    <w:rsid w:val="00701D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701DBC"/>
    <w:pPr>
      <w:spacing w:after="240"/>
    </w:pPr>
    <w:rPr>
      <w:b/>
      <w:lang w:val="en-GB"/>
    </w:rPr>
  </w:style>
  <w:style w:type="paragraph" w:customStyle="1" w:styleId="Normal6a">
    <w:name w:val="Normal6a"/>
    <w:basedOn w:val="Normal"/>
    <w:rsid w:val="00701DBC"/>
    <w:pPr>
      <w:spacing w:after="120"/>
    </w:pPr>
    <w:rPr>
      <w:lang w:val="en-GB"/>
    </w:rPr>
  </w:style>
  <w:style w:type="paragraph" w:customStyle="1" w:styleId="NormalBold12b">
    <w:name w:val="NormalBold12b"/>
    <w:basedOn w:val="Normal"/>
    <w:rsid w:val="00701DBC"/>
    <w:pPr>
      <w:spacing w:before="240"/>
    </w:pPr>
    <w:rPr>
      <w:b/>
      <w:lang w:val="en-GB"/>
    </w:rPr>
  </w:style>
  <w:style w:type="character" w:customStyle="1" w:styleId="Italic">
    <w:name w:val="Italic"/>
    <w:uiPriority w:val="1"/>
    <w:rsid w:val="00701DBC"/>
    <w:rPr>
      <w:i/>
    </w:rPr>
  </w:style>
  <w:style w:type="paragraph" w:styleId="Header">
    <w:name w:val="header"/>
    <w:basedOn w:val="Normal"/>
    <w:link w:val="HeaderChar"/>
    <w:rsid w:val="00DB5EF8"/>
    <w:pPr>
      <w:tabs>
        <w:tab w:val="center" w:pos="4513"/>
        <w:tab w:val="right" w:pos="9026"/>
      </w:tabs>
    </w:pPr>
  </w:style>
  <w:style w:type="character" w:customStyle="1" w:styleId="HeaderChar">
    <w:name w:val="Header Char"/>
    <w:basedOn w:val="DefaultParagraphFont"/>
    <w:link w:val="Header"/>
    <w:rsid w:val="00DB5EF8"/>
    <w:rPr>
      <w:sz w:val="24"/>
      <w:lang w:val="da-DK"/>
    </w:rPr>
  </w:style>
  <w:style w:type="paragraph" w:styleId="Footer">
    <w:name w:val="footer"/>
    <w:basedOn w:val="Normal"/>
    <w:link w:val="FooterChar"/>
    <w:rsid w:val="00DB5EF8"/>
    <w:pPr>
      <w:tabs>
        <w:tab w:val="center" w:pos="4513"/>
        <w:tab w:val="right" w:pos="9026"/>
      </w:tabs>
    </w:pPr>
  </w:style>
  <w:style w:type="character" w:customStyle="1" w:styleId="FooterChar">
    <w:name w:val="Footer Char"/>
    <w:basedOn w:val="DefaultParagraphFont"/>
    <w:link w:val="Footer"/>
    <w:rsid w:val="00DB5EF8"/>
    <w:rPr>
      <w:sz w:val="24"/>
      <w:lang w:val="da-DK"/>
    </w:rPr>
  </w:style>
  <w:style w:type="character" w:styleId="CommentReference">
    <w:name w:val="annotation reference"/>
    <w:basedOn w:val="DefaultParagraphFont"/>
    <w:rsid w:val="00725CDD"/>
    <w:rPr>
      <w:sz w:val="16"/>
      <w:szCs w:val="16"/>
    </w:rPr>
  </w:style>
  <w:style w:type="paragraph" w:styleId="CommentText">
    <w:name w:val="annotation text"/>
    <w:basedOn w:val="Normal"/>
    <w:link w:val="CommentTextChar"/>
    <w:rsid w:val="00725CDD"/>
    <w:rPr>
      <w:sz w:val="20"/>
    </w:rPr>
  </w:style>
  <w:style w:type="character" w:customStyle="1" w:styleId="CommentTextChar">
    <w:name w:val="Comment Text Char"/>
    <w:basedOn w:val="DefaultParagraphFont"/>
    <w:link w:val="CommentText"/>
    <w:rsid w:val="00725CDD"/>
    <w:rPr>
      <w:lang w:val="da-DK"/>
    </w:rPr>
  </w:style>
  <w:style w:type="paragraph" w:styleId="CommentSubject">
    <w:name w:val="annotation subject"/>
    <w:basedOn w:val="CommentText"/>
    <w:next w:val="CommentText"/>
    <w:link w:val="CommentSubjectChar"/>
    <w:rsid w:val="00725CDD"/>
    <w:rPr>
      <w:b/>
      <w:bCs/>
    </w:rPr>
  </w:style>
  <w:style w:type="character" w:customStyle="1" w:styleId="CommentSubjectChar">
    <w:name w:val="Comment Subject Char"/>
    <w:basedOn w:val="CommentTextChar"/>
    <w:link w:val="CommentSubject"/>
    <w:rsid w:val="00725CDD"/>
    <w:rPr>
      <w:b/>
      <w:bCs/>
      <w:lang w:val="da-DK"/>
    </w:rPr>
  </w:style>
  <w:style w:type="paragraph" w:styleId="BalloonText">
    <w:name w:val="Balloon Text"/>
    <w:basedOn w:val="Normal"/>
    <w:link w:val="BalloonTextChar"/>
    <w:rsid w:val="00725CDD"/>
    <w:rPr>
      <w:rFonts w:ascii="Segoe UI" w:hAnsi="Segoe UI" w:cs="Segoe UI"/>
      <w:sz w:val="18"/>
      <w:szCs w:val="18"/>
    </w:rPr>
  </w:style>
  <w:style w:type="character" w:customStyle="1" w:styleId="BalloonTextChar">
    <w:name w:val="Balloon Text Char"/>
    <w:basedOn w:val="DefaultParagraphFont"/>
    <w:link w:val="BalloonText"/>
    <w:rsid w:val="00725CDD"/>
    <w:rPr>
      <w:rFonts w:ascii="Segoe UI" w:hAnsi="Segoe UI" w:cs="Segoe UI"/>
      <w:sz w:val="18"/>
      <w:szCs w:val="18"/>
      <w:lang w:val="da-DK"/>
    </w:rPr>
  </w:style>
  <w:style w:type="paragraph" w:customStyle="1" w:styleId="Typedudocument">
    <w:name w:val="Type du document"/>
    <w:basedOn w:val="Normal"/>
    <w:next w:val="Normal"/>
    <w:rsid w:val="002E7AF0"/>
    <w:pPr>
      <w:widowControl/>
      <w:spacing w:before="360"/>
      <w:jc w:val="center"/>
    </w:pPr>
    <w:rPr>
      <w:rFonts w:eastAsiaTheme="minorHAnsi"/>
      <w:b/>
      <w:szCs w:val="22"/>
      <w:lang w:eastAsia="en-US"/>
    </w:rPr>
  </w:style>
  <w:style w:type="paragraph" w:customStyle="1" w:styleId="FootnoteTextForceStyle">
    <w:name w:val="Footnote Text ForceStyle"/>
    <w:rsid w:val="002E7AF0"/>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BEAC4-2619-4D57-97C6-17F4CFBC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6861</Words>
  <Characters>43610</Characters>
  <Application>Microsoft Office Word</Application>
  <DocSecurity>0</DocSecurity>
  <Lines>363</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2024-10-07T13:06:00Z</dcterms:created>
  <dcterms:modified xsi:type="dcterms:W3CDTF">2024-10-07T13:06:00Z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P9_TA(2024)0057_</vt:lpwstr>
  </property>
  <property fmtid="{D5CDD505-2E9C-101B-9397-08002B2CF9AE}" pid="4" name="&lt;Type&gt;">
    <vt:lpwstr>RR</vt:lpwstr>
  </property>
</Properties>
</file>