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31E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431E2" w:rsidRDefault="00F04546" w:rsidP="0010095E">
            <w:pPr>
              <w:pStyle w:val="EPName"/>
            </w:pPr>
            <w:r w:rsidRPr="002431E2">
              <w:t>Europski parlament</w:t>
            </w:r>
          </w:p>
          <w:p w:rsidR="00751A4A" w:rsidRPr="002431E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21ED">
              <w:t>2019</w:t>
            </w:r>
            <w:r w:rsidRPr="002431E2">
              <w:t>-</w:t>
            </w:r>
            <w:r w:rsidRPr="00D521E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431E2" w:rsidRDefault="00187494" w:rsidP="0010095E">
            <w:pPr>
              <w:pStyle w:val="EPLogo"/>
            </w:pPr>
            <w:r w:rsidRPr="002431E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431E2" w:rsidRDefault="00D058B8" w:rsidP="004C5D52">
      <w:pPr>
        <w:pStyle w:val="LineTop"/>
      </w:pPr>
    </w:p>
    <w:p w:rsidR="00680577" w:rsidRPr="002431E2" w:rsidRDefault="00F04546" w:rsidP="00680577">
      <w:pPr>
        <w:pStyle w:val="EPBodyTA1"/>
      </w:pPr>
      <w:r w:rsidRPr="002431E2">
        <w:t>USVOJENI TEKSTOVI</w:t>
      </w:r>
    </w:p>
    <w:p w:rsidR="00D058B8" w:rsidRPr="002431E2" w:rsidRDefault="00D058B8" w:rsidP="00D058B8">
      <w:pPr>
        <w:pStyle w:val="LineBottom"/>
      </w:pPr>
    </w:p>
    <w:p w:rsidR="00F04546" w:rsidRPr="002431E2" w:rsidRDefault="00F04546" w:rsidP="00F04546">
      <w:pPr>
        <w:pStyle w:val="ATHeading1"/>
      </w:pPr>
      <w:bookmarkStart w:id="0" w:name="TANumber"/>
      <w:r w:rsidRPr="002431E2">
        <w:t>P</w:t>
      </w:r>
      <w:r w:rsidRPr="00D521ED">
        <w:t>9</w:t>
      </w:r>
      <w:r w:rsidRPr="002431E2">
        <w:t>_TA(</w:t>
      </w:r>
      <w:r w:rsidRPr="00D521ED">
        <w:t>2024</w:t>
      </w:r>
      <w:r w:rsidRPr="002431E2">
        <w:t>)</w:t>
      </w:r>
      <w:r w:rsidRPr="00D521ED">
        <w:t>00</w:t>
      </w:r>
      <w:bookmarkEnd w:id="0"/>
      <w:r w:rsidR="00AA09DC" w:rsidRPr="00D521ED">
        <w:t>60</w:t>
      </w:r>
    </w:p>
    <w:p w:rsidR="00F04546" w:rsidRPr="002431E2" w:rsidRDefault="00F04546" w:rsidP="00F04546">
      <w:pPr>
        <w:pStyle w:val="ATHeading2"/>
      </w:pPr>
      <w:bookmarkStart w:id="1" w:name="title"/>
      <w:r w:rsidRPr="002431E2">
        <w:t>Mjere za visoku razinu interoperabilnosti javnog sektora u Uniji (Akt o interoperabilnoj Europi)</w:t>
      </w:r>
      <w:bookmarkEnd w:id="1"/>
    </w:p>
    <w:p w:rsidR="00F04546" w:rsidRPr="002431E2" w:rsidRDefault="00F04546" w:rsidP="00F04546">
      <w:pPr>
        <w:rPr>
          <w:i/>
          <w:vanish/>
        </w:rPr>
      </w:pPr>
      <w:r w:rsidRPr="002431E2">
        <w:rPr>
          <w:i/>
        </w:rPr>
        <w:fldChar w:fldCharType="begin"/>
      </w:r>
      <w:r w:rsidRPr="002431E2">
        <w:rPr>
          <w:i/>
        </w:rPr>
        <w:instrText xml:space="preserve"> TC"(</w:instrText>
      </w:r>
      <w:bookmarkStart w:id="2" w:name="DocNumber"/>
      <w:r w:rsidRPr="002431E2">
        <w:rPr>
          <w:i/>
        </w:rPr>
        <w:instrText>A</w:instrText>
      </w:r>
      <w:r w:rsidRPr="00D521ED">
        <w:rPr>
          <w:i/>
        </w:rPr>
        <w:instrText>9</w:instrText>
      </w:r>
      <w:r w:rsidRPr="002431E2">
        <w:rPr>
          <w:i/>
        </w:rPr>
        <w:instrText>-</w:instrText>
      </w:r>
      <w:r w:rsidRPr="00D521ED">
        <w:rPr>
          <w:i/>
        </w:rPr>
        <w:instrText>0254</w:instrText>
      </w:r>
      <w:r w:rsidRPr="002431E2">
        <w:rPr>
          <w:i/>
        </w:rPr>
        <w:instrText>/</w:instrText>
      </w:r>
      <w:r w:rsidRPr="00D521ED">
        <w:rPr>
          <w:i/>
        </w:rPr>
        <w:instrText>2023</w:instrText>
      </w:r>
      <w:bookmarkEnd w:id="2"/>
      <w:r w:rsidRPr="002431E2">
        <w:rPr>
          <w:i/>
        </w:rPr>
        <w:instrText xml:space="preserve"> - Izvjestitelj: Ivars Ijabs)"\l</w:instrText>
      </w:r>
      <w:r w:rsidRPr="00D521ED">
        <w:rPr>
          <w:i/>
        </w:rPr>
        <w:instrText>3</w:instrText>
      </w:r>
      <w:r w:rsidRPr="002431E2">
        <w:rPr>
          <w:i/>
        </w:rPr>
        <w:instrText xml:space="preserve"> \n&gt; \* MERGEFORMAT </w:instrText>
      </w:r>
      <w:r w:rsidRPr="002431E2">
        <w:rPr>
          <w:i/>
        </w:rPr>
        <w:fldChar w:fldCharType="end"/>
      </w:r>
    </w:p>
    <w:p w:rsidR="00F04546" w:rsidRPr="002431E2" w:rsidRDefault="00F04546" w:rsidP="00F04546">
      <w:pPr>
        <w:rPr>
          <w:vanish/>
        </w:rPr>
      </w:pPr>
      <w:bookmarkStart w:id="3" w:name="Commission"/>
      <w:r w:rsidRPr="002431E2">
        <w:rPr>
          <w:vanish/>
        </w:rPr>
        <w:t>Odbor za industriju, istraživanje i energetiku</w:t>
      </w:r>
      <w:bookmarkEnd w:id="3"/>
    </w:p>
    <w:p w:rsidR="00F04546" w:rsidRPr="002431E2" w:rsidRDefault="00F04546" w:rsidP="00F04546">
      <w:pPr>
        <w:rPr>
          <w:vanish/>
        </w:rPr>
      </w:pPr>
      <w:bookmarkStart w:id="4" w:name="PE"/>
      <w:r w:rsidRPr="002431E2">
        <w:rPr>
          <w:vanish/>
        </w:rPr>
        <w:t>PE</w:t>
      </w:r>
      <w:r w:rsidRPr="00D521ED">
        <w:rPr>
          <w:vanish/>
        </w:rPr>
        <w:t>745</w:t>
      </w:r>
      <w:r w:rsidRPr="002431E2">
        <w:rPr>
          <w:vanish/>
        </w:rPr>
        <w:t>.</w:t>
      </w:r>
      <w:r w:rsidRPr="00D521ED">
        <w:rPr>
          <w:vanish/>
        </w:rPr>
        <w:t>497</w:t>
      </w:r>
      <w:bookmarkEnd w:id="4"/>
    </w:p>
    <w:p w:rsidR="00F04546" w:rsidRPr="002431E2" w:rsidRDefault="00F04546" w:rsidP="00F04546">
      <w:pPr>
        <w:pStyle w:val="ATHeading3"/>
      </w:pPr>
      <w:bookmarkStart w:id="5" w:name="Sujet"/>
      <w:r w:rsidRPr="002431E2">
        <w:t>Zakonodavna rezolucija Europskog parlamenta od</w:t>
      </w:r>
      <w:r w:rsidR="00FB5566" w:rsidRPr="002431E2">
        <w:t xml:space="preserve"> </w:t>
      </w:r>
      <w:r w:rsidR="00FB5566" w:rsidRPr="00D521ED">
        <w:t>6</w:t>
      </w:r>
      <w:r w:rsidR="00FB5566" w:rsidRPr="002431E2">
        <w:t>.</w:t>
      </w:r>
      <w:r w:rsidRPr="002431E2">
        <w:t xml:space="preserve"> </w:t>
      </w:r>
      <w:r w:rsidR="00312316" w:rsidRPr="002431E2">
        <w:t>veljače</w:t>
      </w:r>
      <w:r w:rsidRPr="002431E2">
        <w:t xml:space="preserve"> </w:t>
      </w:r>
      <w:r w:rsidRPr="00D521ED">
        <w:t>2024</w:t>
      </w:r>
      <w:r w:rsidRPr="002431E2">
        <w:t>. o Prijedlogu uredbe Europskog parlamenta i Vijeća o utvrđivanju mjera za visoku razinu interoperabilnosti javnog sektora u Uniji (Akt o interoperabilnoj Europi)</w:t>
      </w:r>
      <w:bookmarkEnd w:id="5"/>
      <w:r w:rsidRPr="002431E2">
        <w:t xml:space="preserve"> </w:t>
      </w:r>
      <w:bookmarkStart w:id="6" w:name="References"/>
      <w:r w:rsidRPr="002431E2">
        <w:t>(COM(</w:t>
      </w:r>
      <w:r w:rsidRPr="00D521ED">
        <w:t>2022</w:t>
      </w:r>
      <w:r w:rsidRPr="002431E2">
        <w:t>)</w:t>
      </w:r>
      <w:r w:rsidRPr="00D521ED">
        <w:t>0720</w:t>
      </w:r>
      <w:r w:rsidRPr="002431E2">
        <w:t xml:space="preserve"> – C</w:t>
      </w:r>
      <w:r w:rsidRPr="00D521ED">
        <w:t>9</w:t>
      </w:r>
      <w:r w:rsidRPr="002431E2">
        <w:t>-</w:t>
      </w:r>
      <w:r w:rsidRPr="00D521ED">
        <w:t>0387</w:t>
      </w:r>
      <w:r w:rsidRPr="002431E2">
        <w:t>/</w:t>
      </w:r>
      <w:r w:rsidRPr="00D521ED">
        <w:t>2022</w:t>
      </w:r>
      <w:r w:rsidRPr="002431E2">
        <w:t xml:space="preserve"> – </w:t>
      </w:r>
      <w:r w:rsidRPr="00D521ED">
        <w:t>2022</w:t>
      </w:r>
      <w:r w:rsidRPr="002431E2">
        <w:t>/</w:t>
      </w:r>
      <w:r w:rsidRPr="00D521ED">
        <w:t>0379</w:t>
      </w:r>
      <w:r w:rsidRPr="002431E2">
        <w:t>(COD))</w:t>
      </w:r>
      <w:bookmarkEnd w:id="6"/>
    </w:p>
    <w:p w:rsidR="00F04546" w:rsidRPr="002431E2" w:rsidRDefault="00F04546" w:rsidP="00F04546"/>
    <w:p w:rsidR="00F10C4A" w:rsidRPr="002431E2" w:rsidRDefault="00F10C4A" w:rsidP="00F10C4A">
      <w:pPr>
        <w:pStyle w:val="NormalBold"/>
      </w:pPr>
      <w:bookmarkStart w:id="7" w:name="TextBodyBegin"/>
      <w:bookmarkEnd w:id="7"/>
      <w:r w:rsidRPr="002431E2">
        <w:t>(Redovni zakonodavni postupak: prvo čitanje)</w:t>
      </w:r>
    </w:p>
    <w:p w:rsidR="00F10C4A" w:rsidRPr="002431E2" w:rsidRDefault="00F10C4A" w:rsidP="00F10C4A">
      <w:pPr>
        <w:pStyle w:val="EPComma"/>
      </w:pPr>
      <w:r w:rsidRPr="002431E2">
        <w:rPr>
          <w:i/>
          <w:iCs/>
        </w:rPr>
        <w:t>Europski parlament</w:t>
      </w:r>
      <w:r w:rsidRPr="002431E2">
        <w:t>,</w:t>
      </w:r>
    </w:p>
    <w:p w:rsidR="00F10C4A" w:rsidRPr="002431E2" w:rsidRDefault="00F10C4A" w:rsidP="00F10C4A">
      <w:pPr>
        <w:pStyle w:val="NormalHanging12a"/>
      </w:pPr>
      <w:r w:rsidRPr="002431E2">
        <w:t>–</w:t>
      </w:r>
      <w:r w:rsidRPr="002431E2">
        <w:tab/>
        <w:t>uzimajući u obzir Prijedlog Komisije upućen Europskom parlamentu i Vijeću (COM(</w:t>
      </w:r>
      <w:r w:rsidRPr="00D521ED">
        <w:t>2022</w:t>
      </w:r>
      <w:r w:rsidRPr="002431E2">
        <w:t>)</w:t>
      </w:r>
      <w:r w:rsidRPr="00D521ED">
        <w:t>0720</w:t>
      </w:r>
      <w:r w:rsidRPr="002431E2">
        <w:t>),</w:t>
      </w:r>
    </w:p>
    <w:p w:rsidR="00F10C4A" w:rsidRPr="002431E2" w:rsidRDefault="00F10C4A" w:rsidP="00F10C4A">
      <w:pPr>
        <w:pStyle w:val="NormalHanging12a"/>
      </w:pPr>
      <w:r w:rsidRPr="002431E2">
        <w:t>–</w:t>
      </w:r>
      <w:r w:rsidRPr="002431E2">
        <w:tab/>
        <w:t xml:space="preserve">uzimajući u obzir članak </w:t>
      </w:r>
      <w:r w:rsidRPr="00D521ED">
        <w:t>294</w:t>
      </w:r>
      <w:r w:rsidRPr="002431E2">
        <w:t xml:space="preserve">. stavak </w:t>
      </w:r>
      <w:r w:rsidRPr="00D521ED">
        <w:t>2</w:t>
      </w:r>
      <w:r w:rsidRPr="002431E2">
        <w:t xml:space="preserve">. i članak </w:t>
      </w:r>
      <w:r w:rsidRPr="00D521ED">
        <w:t>172</w:t>
      </w:r>
      <w:r w:rsidRPr="002431E2">
        <w:t>. Ugovora o funkcioniranju Europske unije, u skladu s kojima je Komisija podnijela Prijedlog Parlamentu (C</w:t>
      </w:r>
      <w:r w:rsidRPr="00D521ED">
        <w:t>9</w:t>
      </w:r>
      <w:r w:rsidRPr="002431E2">
        <w:noBreakHyphen/>
      </w:r>
      <w:r w:rsidRPr="00D521ED">
        <w:t>0387</w:t>
      </w:r>
      <w:r w:rsidRPr="002431E2">
        <w:t>/</w:t>
      </w:r>
      <w:r w:rsidRPr="00D521ED">
        <w:t>2022</w:t>
      </w:r>
      <w:r w:rsidRPr="002431E2">
        <w:t>),</w:t>
      </w:r>
    </w:p>
    <w:p w:rsidR="00F10C4A" w:rsidRPr="002431E2" w:rsidRDefault="00F10C4A" w:rsidP="00F10C4A">
      <w:pPr>
        <w:pStyle w:val="NormalHanging12a"/>
      </w:pPr>
      <w:r w:rsidRPr="002431E2">
        <w:t>–</w:t>
      </w:r>
      <w:r w:rsidRPr="002431E2">
        <w:tab/>
        <w:t xml:space="preserve">uzimajući u obzir članak </w:t>
      </w:r>
      <w:r w:rsidRPr="00D521ED">
        <w:t>294</w:t>
      </w:r>
      <w:r w:rsidRPr="002431E2">
        <w:t xml:space="preserve">. stavak </w:t>
      </w:r>
      <w:r w:rsidRPr="00D521ED">
        <w:t>3</w:t>
      </w:r>
      <w:r w:rsidRPr="002431E2">
        <w:t>. Ugovora o funkcioniranju Europske unije,</w:t>
      </w:r>
    </w:p>
    <w:p w:rsidR="00F10C4A" w:rsidRPr="002431E2" w:rsidRDefault="00F10C4A" w:rsidP="00F10C4A">
      <w:pPr>
        <w:pStyle w:val="NormalHanging12a"/>
      </w:pPr>
      <w:r w:rsidRPr="002431E2">
        <w:t>–</w:t>
      </w:r>
      <w:r w:rsidRPr="002431E2">
        <w:tab/>
        <w:t xml:space="preserve">uzimajući u obzir mišljenje Europskoga gospodarskog i socijalnog odbora od </w:t>
      </w:r>
      <w:r w:rsidRPr="00D521ED">
        <w:t>2</w:t>
      </w:r>
      <w:r w:rsidR="00FB5566" w:rsidRPr="00D521ED">
        <w:t>2</w:t>
      </w:r>
      <w:r w:rsidRPr="002431E2">
        <w:t xml:space="preserve">. ožujka </w:t>
      </w:r>
      <w:r w:rsidRPr="00D521ED">
        <w:t>2023</w:t>
      </w:r>
      <w:r w:rsidRPr="002431E2">
        <w:t>.</w:t>
      </w:r>
      <w:r w:rsidRPr="002431E2">
        <w:rPr>
          <w:rStyle w:val="FootnoteReference"/>
        </w:rPr>
        <w:footnoteReference w:id="1"/>
      </w:r>
      <w:r w:rsidRPr="002431E2">
        <w:t>,</w:t>
      </w:r>
    </w:p>
    <w:p w:rsidR="00F10C4A" w:rsidRPr="002431E2" w:rsidRDefault="00F10C4A" w:rsidP="00F10C4A">
      <w:pPr>
        <w:pStyle w:val="NormalHanging12a"/>
      </w:pPr>
      <w:r w:rsidRPr="002431E2">
        <w:t>–</w:t>
      </w:r>
      <w:r w:rsidRPr="002431E2">
        <w:tab/>
        <w:t xml:space="preserve">uzimajući u obzir mišljenje Odbora regija od </w:t>
      </w:r>
      <w:r w:rsidRPr="00D521ED">
        <w:t>24</w:t>
      </w:r>
      <w:r w:rsidRPr="002431E2">
        <w:t xml:space="preserve">. svibnja </w:t>
      </w:r>
      <w:r w:rsidRPr="00D521ED">
        <w:t>2023</w:t>
      </w:r>
      <w:r w:rsidRPr="002431E2">
        <w:t>.</w:t>
      </w:r>
      <w:r w:rsidRPr="002431E2">
        <w:rPr>
          <w:rStyle w:val="FootnoteReference"/>
        </w:rPr>
        <w:footnoteReference w:id="2"/>
      </w:r>
      <w:r w:rsidRPr="002431E2">
        <w:t>,</w:t>
      </w:r>
    </w:p>
    <w:p w:rsidR="00936901" w:rsidRPr="002431E2" w:rsidRDefault="00936901" w:rsidP="00F10C4A">
      <w:pPr>
        <w:pStyle w:val="NormalHanging12a"/>
      </w:pPr>
      <w:r w:rsidRPr="002431E2">
        <w:t>–</w:t>
      </w:r>
      <w:r w:rsidRPr="002431E2">
        <w:tab/>
        <w:t xml:space="preserve">uzimajući u obzir privremeni sporazum koji je odobrio nadležni odbor u skladu s člankom </w:t>
      </w:r>
      <w:r w:rsidRPr="00D521ED">
        <w:t>74</w:t>
      </w:r>
      <w:r w:rsidRPr="002431E2">
        <w:t xml:space="preserve">. stavkom </w:t>
      </w:r>
      <w:r w:rsidRPr="00D521ED">
        <w:t>4</w:t>
      </w:r>
      <w:r w:rsidRPr="002431E2">
        <w:t xml:space="preserve">. Poslovnika te činjenicu da se predstavnik Vijeća pismom od </w:t>
      </w:r>
      <w:r w:rsidRPr="00D521ED">
        <w:t>22</w:t>
      </w:r>
      <w:r w:rsidRPr="002431E2">
        <w:t xml:space="preserve">. studenoga </w:t>
      </w:r>
      <w:r w:rsidRPr="00D521ED">
        <w:t>2023</w:t>
      </w:r>
      <w:r w:rsidRPr="002431E2">
        <w:t xml:space="preserve">. obvezao prihvatiti stajalište Europskog parlamenta u skladu s člankom </w:t>
      </w:r>
      <w:r w:rsidRPr="00D521ED">
        <w:t>294</w:t>
      </w:r>
      <w:r w:rsidRPr="002431E2">
        <w:t xml:space="preserve">. stavkom </w:t>
      </w:r>
      <w:r w:rsidRPr="00D521ED">
        <w:t>4</w:t>
      </w:r>
      <w:r w:rsidRPr="002431E2">
        <w:t>. Ugovora o funkcioniranju Europske unije,</w:t>
      </w:r>
    </w:p>
    <w:p w:rsidR="00FB5566" w:rsidRPr="002431E2" w:rsidRDefault="00F10C4A" w:rsidP="00F10C4A">
      <w:pPr>
        <w:pStyle w:val="NormalHanging12a"/>
      </w:pPr>
      <w:r w:rsidRPr="002431E2">
        <w:t>–</w:t>
      </w:r>
      <w:r w:rsidRPr="002431E2">
        <w:tab/>
        <w:t xml:space="preserve">uzimajući u obzir članak </w:t>
      </w:r>
      <w:r w:rsidRPr="00D521ED">
        <w:t>59</w:t>
      </w:r>
      <w:r w:rsidRPr="002431E2">
        <w:t>. Poslovnika,</w:t>
      </w:r>
    </w:p>
    <w:p w:rsidR="00F10C4A" w:rsidRPr="002431E2" w:rsidRDefault="00F10C4A" w:rsidP="00F10C4A">
      <w:pPr>
        <w:pStyle w:val="NormalHanging12a"/>
      </w:pPr>
      <w:r w:rsidRPr="002431E2">
        <w:t>–</w:t>
      </w:r>
      <w:r w:rsidRPr="002431E2">
        <w:tab/>
        <w:t>uzimajući u obzir mišljenja Odbora za građanske slobode, pravosuđe i unutarnje poslove i Odbora za unutarnje tržište i zaštitu potrošača,</w:t>
      </w:r>
    </w:p>
    <w:p w:rsidR="00F10C4A" w:rsidRPr="002431E2" w:rsidRDefault="00F10C4A" w:rsidP="00F10C4A">
      <w:pPr>
        <w:pStyle w:val="NormalHanging12a"/>
      </w:pPr>
      <w:r w:rsidRPr="002431E2">
        <w:lastRenderedPageBreak/>
        <w:t>–</w:t>
      </w:r>
      <w:r w:rsidRPr="002431E2">
        <w:tab/>
        <w:t>uzimajući u obzir izvješće Odbora za industriju, istraživanje i energetiku (A</w:t>
      </w:r>
      <w:r w:rsidRPr="00D521ED">
        <w:t>9</w:t>
      </w:r>
      <w:r w:rsidRPr="002431E2">
        <w:t>-</w:t>
      </w:r>
      <w:r w:rsidRPr="00D521ED">
        <w:t>0254</w:t>
      </w:r>
      <w:r w:rsidRPr="002431E2">
        <w:t>/</w:t>
      </w:r>
      <w:r w:rsidRPr="00D521ED">
        <w:t>2023</w:t>
      </w:r>
      <w:r w:rsidRPr="002431E2">
        <w:t>),</w:t>
      </w:r>
    </w:p>
    <w:p w:rsidR="00F10C4A" w:rsidRPr="002431E2" w:rsidRDefault="00F10C4A" w:rsidP="00F10C4A">
      <w:pPr>
        <w:pStyle w:val="NormalHanging12a"/>
      </w:pPr>
      <w:r w:rsidRPr="00D521ED">
        <w:t>1</w:t>
      </w:r>
      <w:r w:rsidRPr="002431E2">
        <w:t>.</w:t>
      </w:r>
      <w:r w:rsidRPr="002431E2">
        <w:tab/>
        <w:t>usvaja sljedeće stajalište u prvom čitanju;</w:t>
      </w:r>
    </w:p>
    <w:p w:rsidR="00F10C4A" w:rsidRPr="002431E2" w:rsidRDefault="00F10C4A" w:rsidP="00F10C4A">
      <w:pPr>
        <w:pStyle w:val="NormalHanging12a"/>
      </w:pPr>
      <w:r w:rsidRPr="00D521ED">
        <w:t>2</w:t>
      </w:r>
      <w:r w:rsidRPr="002431E2">
        <w:t>.</w:t>
      </w:r>
      <w:r w:rsidRPr="002431E2">
        <w:tab/>
        <w:t>poziva Komisiju da predmet ponovno uputi Parlamentu ako zamijeni, bitno izmijeni ili namjerava bitno izmijeniti svoj Prijedlog;</w:t>
      </w:r>
    </w:p>
    <w:p w:rsidR="00E365E1" w:rsidRPr="002431E2" w:rsidRDefault="00F10C4A" w:rsidP="00353352">
      <w:pPr>
        <w:pStyle w:val="NormalHanging12a"/>
      </w:pPr>
      <w:r w:rsidRPr="00D521ED">
        <w:t>3</w:t>
      </w:r>
      <w:r w:rsidRPr="002431E2">
        <w:t>.</w:t>
      </w:r>
      <w:r w:rsidRPr="002431E2">
        <w:tab/>
        <w:t>nalaže svojoj predsjednici da stajalište Parlamenta proslijedi Vijeću, Komisiji i nacionalnim parlamentima.</w:t>
      </w:r>
      <w:bookmarkStart w:id="8" w:name="TextBodyEnd"/>
      <w:bookmarkEnd w:id="8"/>
    </w:p>
    <w:p w:rsidR="003F05D0" w:rsidRPr="002431E2" w:rsidRDefault="003F05D0" w:rsidP="00353352">
      <w:pPr>
        <w:pStyle w:val="NormalHanging12a"/>
        <w:rPr>
          <w:b/>
          <w:bCs/>
          <w:color w:val="000000"/>
        </w:rPr>
        <w:sectPr w:rsidR="003F05D0" w:rsidRPr="002431E2" w:rsidSect="00353352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353352" w:rsidRPr="002431E2" w:rsidRDefault="00353352" w:rsidP="00353352">
      <w:pPr>
        <w:pStyle w:val="NormalHanging12a"/>
        <w:rPr>
          <w:b/>
        </w:rPr>
      </w:pPr>
      <w:r w:rsidRPr="002431E2">
        <w:rPr>
          <w:b/>
          <w:bCs/>
          <w:color w:val="000000"/>
        </w:rPr>
        <w:t>P</w:t>
      </w:r>
      <w:r w:rsidRPr="00D521ED">
        <w:rPr>
          <w:b/>
          <w:bCs/>
          <w:color w:val="000000"/>
        </w:rPr>
        <w:t>9</w:t>
      </w:r>
      <w:r w:rsidRPr="002431E2">
        <w:rPr>
          <w:b/>
          <w:bCs/>
          <w:color w:val="000000"/>
        </w:rPr>
        <w:t>_TC</w:t>
      </w:r>
      <w:r w:rsidRPr="00D521ED">
        <w:rPr>
          <w:b/>
          <w:bCs/>
          <w:color w:val="000000"/>
        </w:rPr>
        <w:t>1</w:t>
      </w:r>
      <w:r w:rsidRPr="002431E2">
        <w:rPr>
          <w:b/>
          <w:bCs/>
          <w:color w:val="000000"/>
        </w:rPr>
        <w:t>-COD(</w:t>
      </w:r>
      <w:r w:rsidRPr="00D521ED">
        <w:rPr>
          <w:b/>
          <w:bCs/>
          <w:color w:val="000000"/>
        </w:rPr>
        <w:t>2022</w:t>
      </w:r>
      <w:r w:rsidRPr="002431E2">
        <w:rPr>
          <w:b/>
          <w:bCs/>
          <w:color w:val="000000"/>
        </w:rPr>
        <w:t>)</w:t>
      </w:r>
      <w:r w:rsidRPr="00D521ED">
        <w:rPr>
          <w:b/>
          <w:bCs/>
          <w:color w:val="000000"/>
        </w:rPr>
        <w:t>0379</w:t>
      </w:r>
    </w:p>
    <w:p w:rsidR="00353352" w:rsidRPr="002431E2" w:rsidRDefault="00353352" w:rsidP="00353352">
      <w:pPr>
        <w:widowControl/>
        <w:spacing w:before="120"/>
        <w:rPr>
          <w:rFonts w:eastAsia="Calibri"/>
          <w:b/>
          <w:szCs w:val="22"/>
          <w:lang w:eastAsia="en-US"/>
        </w:rPr>
      </w:pPr>
      <w:r w:rsidRPr="002431E2">
        <w:rPr>
          <w:b/>
        </w:rPr>
        <w:t xml:space="preserve">Stajalište Europskog parlamenta usvojeno u prvom čitanju </w:t>
      </w:r>
      <w:r w:rsidRPr="00D521ED">
        <w:rPr>
          <w:b/>
        </w:rPr>
        <w:t>6</w:t>
      </w:r>
      <w:r w:rsidRPr="002431E2">
        <w:rPr>
          <w:b/>
        </w:rPr>
        <w:t xml:space="preserve">. veljače </w:t>
      </w:r>
      <w:r w:rsidRPr="00D521ED">
        <w:rPr>
          <w:b/>
        </w:rPr>
        <w:t>2024</w:t>
      </w:r>
      <w:r w:rsidRPr="002431E2">
        <w:rPr>
          <w:b/>
        </w:rPr>
        <w:t xml:space="preserve">. radi donošenja Uredbe (EU) </w:t>
      </w:r>
      <w:r w:rsidRPr="00D521ED">
        <w:rPr>
          <w:b/>
        </w:rPr>
        <w:t>2024</w:t>
      </w:r>
      <w:r w:rsidRPr="002431E2">
        <w:rPr>
          <w:b/>
        </w:rPr>
        <w:t xml:space="preserve">/... Europskog parlamenta i Vijeća o </w:t>
      </w:r>
      <w:r w:rsidRPr="002431E2">
        <w:rPr>
          <w:rFonts w:eastAsia="Calibri"/>
          <w:b/>
          <w:szCs w:val="22"/>
          <w:lang w:eastAsia="en-US"/>
        </w:rPr>
        <w:t>utvrđivanju mjera za visoku razinu interoperabilnosti javnog sektora u Uniji (Akt o interoperabilnoj Europi)</w:t>
      </w:r>
    </w:p>
    <w:p w:rsidR="00353352" w:rsidRPr="00451439" w:rsidRDefault="00451439" w:rsidP="00451439">
      <w:pPr>
        <w:pStyle w:val="NormalHanging12a"/>
        <w:spacing w:before="360"/>
        <w:ind w:left="0" w:firstLine="0"/>
        <w:rPr>
          <w:i/>
        </w:rPr>
      </w:pPr>
      <w:r w:rsidRPr="00451439">
        <w:rPr>
          <w:i/>
        </w:rPr>
        <w:t xml:space="preserve">(S obzirom da je postignut sporazum Parlamenta i Vijeća, stajalište Parlamenta odgovara konačnom zakonodavnom aktu, </w:t>
      </w:r>
      <w:r>
        <w:rPr>
          <w:i/>
        </w:rPr>
        <w:t xml:space="preserve">Uredbi </w:t>
      </w:r>
      <w:r w:rsidRPr="00451439">
        <w:rPr>
          <w:i/>
        </w:rPr>
        <w:t>(EU) 2024/903)</w:t>
      </w:r>
      <w:bookmarkStart w:id="9" w:name="_GoBack"/>
      <w:bookmarkEnd w:id="9"/>
      <w:r w:rsidRPr="00451439">
        <w:rPr>
          <w:i/>
        </w:rPr>
        <w:t>.</w:t>
      </w:r>
    </w:p>
    <w:sectPr w:rsidR="00353352" w:rsidRPr="00451439" w:rsidSect="003366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546" w:rsidRPr="00336636" w:rsidRDefault="00F04546">
      <w:r w:rsidRPr="00336636">
        <w:separator/>
      </w:r>
    </w:p>
  </w:endnote>
  <w:endnote w:type="continuationSeparator" w:id="0">
    <w:p w:rsidR="00F04546" w:rsidRPr="00336636" w:rsidRDefault="00F04546">
      <w:r w:rsidRPr="003366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66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66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66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546" w:rsidRPr="00336636" w:rsidRDefault="00F04546">
      <w:r w:rsidRPr="00336636">
        <w:separator/>
      </w:r>
    </w:p>
  </w:footnote>
  <w:footnote w:type="continuationSeparator" w:id="0">
    <w:p w:rsidR="00F04546" w:rsidRPr="00336636" w:rsidRDefault="00F04546">
      <w:r w:rsidRPr="00336636">
        <w:continuationSeparator/>
      </w:r>
    </w:p>
  </w:footnote>
  <w:footnote w:id="1">
    <w:p w:rsidR="00F10C4A" w:rsidRPr="00336636" w:rsidRDefault="00F10C4A" w:rsidP="00336636">
      <w:pPr>
        <w:pStyle w:val="FootnoteText"/>
        <w:ind w:left="567" w:hanging="567"/>
        <w:rPr>
          <w:sz w:val="24"/>
          <w:lang w:val="hr-HR"/>
        </w:rPr>
      </w:pPr>
      <w:r w:rsidRPr="00336636">
        <w:rPr>
          <w:rStyle w:val="FootnoteReference"/>
          <w:sz w:val="24"/>
          <w:lang w:val="hr-HR"/>
        </w:rPr>
        <w:footnoteRef/>
      </w:r>
      <w:r w:rsidR="00336636" w:rsidRPr="00336636">
        <w:rPr>
          <w:sz w:val="24"/>
          <w:lang w:val="hr-HR"/>
        </w:rPr>
        <w:t xml:space="preserve"> </w:t>
      </w:r>
      <w:r w:rsidR="00336636" w:rsidRPr="00336636">
        <w:rPr>
          <w:sz w:val="24"/>
          <w:lang w:val="hr-HR"/>
        </w:rPr>
        <w:tab/>
      </w:r>
      <w:r w:rsidR="00FB5566">
        <w:rPr>
          <w:sz w:val="24"/>
          <w:lang w:val="en-GB"/>
        </w:rPr>
        <w:t>SL</w:t>
      </w:r>
      <w:r w:rsidR="00FB5566" w:rsidRPr="00FB5566">
        <w:rPr>
          <w:sz w:val="24"/>
          <w:lang w:val="en-GB"/>
        </w:rPr>
        <w:t xml:space="preserve"> C </w:t>
      </w:r>
      <w:r w:rsidR="00FB5566" w:rsidRPr="00D521ED">
        <w:rPr>
          <w:sz w:val="24"/>
          <w:lang w:val="en-GB"/>
        </w:rPr>
        <w:t>184</w:t>
      </w:r>
      <w:r w:rsidR="00FB5566" w:rsidRPr="00FB5566">
        <w:rPr>
          <w:sz w:val="24"/>
          <w:lang w:val="en-GB"/>
        </w:rPr>
        <w:t xml:space="preserve">, </w:t>
      </w:r>
      <w:r w:rsidR="00FB5566" w:rsidRPr="00D521ED">
        <w:rPr>
          <w:sz w:val="24"/>
          <w:lang w:val="en-GB"/>
        </w:rPr>
        <w:t>25</w:t>
      </w:r>
      <w:r w:rsidR="00FB5566" w:rsidRPr="00FB5566">
        <w:rPr>
          <w:sz w:val="24"/>
          <w:lang w:val="en-GB"/>
        </w:rPr>
        <w:t>.</w:t>
      </w:r>
      <w:r w:rsidR="00FB5566" w:rsidRPr="00D521ED">
        <w:rPr>
          <w:sz w:val="24"/>
          <w:lang w:val="en-GB"/>
        </w:rPr>
        <w:t>5</w:t>
      </w:r>
      <w:r w:rsidR="00FB5566" w:rsidRPr="00FB5566">
        <w:rPr>
          <w:sz w:val="24"/>
          <w:lang w:val="en-GB"/>
        </w:rPr>
        <w:t>.</w:t>
      </w:r>
      <w:r w:rsidR="00FB5566" w:rsidRPr="00D521ED">
        <w:rPr>
          <w:sz w:val="24"/>
          <w:lang w:val="en-GB"/>
        </w:rPr>
        <w:t>2023</w:t>
      </w:r>
      <w:r w:rsidR="00FB5566">
        <w:rPr>
          <w:sz w:val="24"/>
          <w:lang w:val="en-GB"/>
        </w:rPr>
        <w:t>., str</w:t>
      </w:r>
      <w:r w:rsidR="00FB5566" w:rsidRPr="00FB5566">
        <w:rPr>
          <w:sz w:val="24"/>
          <w:lang w:val="en-GB"/>
        </w:rPr>
        <w:t xml:space="preserve">. </w:t>
      </w:r>
      <w:r w:rsidR="00FB5566" w:rsidRPr="00D521ED">
        <w:rPr>
          <w:sz w:val="24"/>
          <w:lang w:val="en-GB"/>
        </w:rPr>
        <w:t>28</w:t>
      </w:r>
      <w:r w:rsidR="00FB5566">
        <w:rPr>
          <w:sz w:val="24"/>
          <w:lang w:val="en-GB"/>
        </w:rPr>
        <w:t>.</w:t>
      </w:r>
    </w:p>
  </w:footnote>
  <w:footnote w:id="2">
    <w:p w:rsidR="00F10C4A" w:rsidRPr="00336636" w:rsidRDefault="00F10C4A" w:rsidP="00336636">
      <w:pPr>
        <w:pStyle w:val="FootnoteText"/>
        <w:ind w:left="567" w:hanging="567"/>
        <w:rPr>
          <w:sz w:val="24"/>
          <w:lang w:val="hr-HR"/>
        </w:rPr>
      </w:pPr>
      <w:r w:rsidRPr="00336636">
        <w:rPr>
          <w:rStyle w:val="FootnoteReference"/>
          <w:sz w:val="24"/>
          <w:lang w:val="hr-HR"/>
        </w:rPr>
        <w:footnoteRef/>
      </w:r>
      <w:r w:rsidR="00336636" w:rsidRPr="00336636">
        <w:rPr>
          <w:sz w:val="24"/>
          <w:lang w:val="hr-HR"/>
        </w:rPr>
        <w:t xml:space="preserve"> </w:t>
      </w:r>
      <w:r w:rsidR="00336636" w:rsidRPr="00336636">
        <w:rPr>
          <w:sz w:val="24"/>
          <w:lang w:val="hr-HR"/>
        </w:rPr>
        <w:tab/>
      </w:r>
      <w:r w:rsidR="00FB5566">
        <w:rPr>
          <w:sz w:val="24"/>
          <w:lang w:val="en-GB"/>
        </w:rPr>
        <w:t>SL</w:t>
      </w:r>
      <w:r w:rsidR="00FB5566" w:rsidRPr="00FB5566">
        <w:rPr>
          <w:sz w:val="24"/>
          <w:lang w:val="en-GB"/>
        </w:rPr>
        <w:t xml:space="preserve"> C </w:t>
      </w:r>
      <w:r w:rsidR="00FB5566" w:rsidRPr="00D521ED">
        <w:rPr>
          <w:sz w:val="24"/>
          <w:lang w:val="en-GB"/>
        </w:rPr>
        <w:t>257</w:t>
      </w:r>
      <w:r w:rsidR="00FB5566" w:rsidRPr="00FB5566">
        <w:rPr>
          <w:sz w:val="24"/>
          <w:lang w:val="en-GB"/>
        </w:rPr>
        <w:t xml:space="preserve">, </w:t>
      </w:r>
      <w:r w:rsidR="00FB5566" w:rsidRPr="00D521ED">
        <w:rPr>
          <w:sz w:val="24"/>
          <w:lang w:val="en-GB"/>
        </w:rPr>
        <w:t>21</w:t>
      </w:r>
      <w:r w:rsidR="00FB5566" w:rsidRPr="00FB5566">
        <w:rPr>
          <w:sz w:val="24"/>
          <w:lang w:val="en-GB"/>
        </w:rPr>
        <w:t>.</w:t>
      </w:r>
      <w:r w:rsidR="00FB5566" w:rsidRPr="00D521ED">
        <w:rPr>
          <w:sz w:val="24"/>
          <w:lang w:val="en-GB"/>
        </w:rPr>
        <w:t>7</w:t>
      </w:r>
      <w:r w:rsidR="00FB5566" w:rsidRPr="00FB5566">
        <w:rPr>
          <w:sz w:val="24"/>
          <w:lang w:val="en-GB"/>
        </w:rPr>
        <w:t>.</w:t>
      </w:r>
      <w:r w:rsidR="00FB5566" w:rsidRPr="00D521ED">
        <w:rPr>
          <w:sz w:val="24"/>
          <w:lang w:val="en-GB"/>
        </w:rPr>
        <w:t>2023</w:t>
      </w:r>
      <w:r w:rsidR="00FB5566">
        <w:rPr>
          <w:sz w:val="24"/>
          <w:lang w:val="en-GB"/>
        </w:rPr>
        <w:t>., str</w:t>
      </w:r>
      <w:r w:rsidR="00FB5566" w:rsidRPr="00FB5566">
        <w:rPr>
          <w:sz w:val="24"/>
          <w:lang w:val="en-GB"/>
        </w:rPr>
        <w:t xml:space="preserve">. </w:t>
      </w:r>
      <w:r w:rsidR="00FB5566" w:rsidRPr="00D521ED">
        <w:rPr>
          <w:sz w:val="24"/>
          <w:lang w:val="en-GB"/>
        </w:rPr>
        <w:t>28</w:t>
      </w:r>
      <w:r w:rsidRPr="00336636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66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66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66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HR"/>
    <w:docVar w:name="dvnumam" w:val="93"/>
    <w:docVar w:name="dvpe" w:val="745.497"/>
    <w:docVar w:name="dvrapporteur" w:val="Izvjestitelj: "/>
    <w:docVar w:name="dvstar" w:val="***I"/>
    <w:docVar w:name="dvtitre" w:val="Zakonodavna rezolucija Europskog parlamenta od .... 2024. o Prijedlogu uredbe Europskog parlamenta i Vijeća o utvrđivanju mjera za visoku razinu interoperabilnosti javnog sektora u Uniji (Akt o interoperabilnoj Europi)(COM(2022)0720 – C9-0387/2022 – 2022/0379(COD))"/>
  </w:docVars>
  <w:rsids>
    <w:rsidRoot w:val="00F0454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1E2"/>
    <w:rsid w:val="002767FF"/>
    <w:rsid w:val="002B18FE"/>
    <w:rsid w:val="002B5493"/>
    <w:rsid w:val="00312316"/>
    <w:rsid w:val="00336636"/>
    <w:rsid w:val="00343214"/>
    <w:rsid w:val="00353352"/>
    <w:rsid w:val="00361C00"/>
    <w:rsid w:val="00395FA1"/>
    <w:rsid w:val="003E15D4"/>
    <w:rsid w:val="003F05D0"/>
    <w:rsid w:val="00411CCE"/>
    <w:rsid w:val="0041666E"/>
    <w:rsid w:val="00421060"/>
    <w:rsid w:val="0045143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6CF"/>
    <w:rsid w:val="00930C23"/>
    <w:rsid w:val="0093193B"/>
    <w:rsid w:val="00936901"/>
    <w:rsid w:val="009509D8"/>
    <w:rsid w:val="00950B64"/>
    <w:rsid w:val="00981893"/>
    <w:rsid w:val="00A1687D"/>
    <w:rsid w:val="00A43E52"/>
    <w:rsid w:val="00A4678D"/>
    <w:rsid w:val="00A778C7"/>
    <w:rsid w:val="00AA09D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1E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4546"/>
    <w:rsid w:val="00F075DC"/>
    <w:rsid w:val="00F10C4A"/>
    <w:rsid w:val="00F149E9"/>
    <w:rsid w:val="00F36D32"/>
    <w:rsid w:val="00F5134D"/>
    <w:rsid w:val="00F74202"/>
    <w:rsid w:val="00F87713"/>
    <w:rsid w:val="00FB4360"/>
    <w:rsid w:val="00FB556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3FE12"/>
  <w15:chartTrackingRefBased/>
  <w15:docId w15:val="{6B2B970D-41D2-4588-A94F-FDFF9F0B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10C4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10C4A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F10C4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10C4A"/>
    <w:rPr>
      <w:b/>
      <w:sz w:val="24"/>
      <w:lang w:val="hr-HR"/>
    </w:rPr>
  </w:style>
  <w:style w:type="paragraph" w:customStyle="1" w:styleId="NormalHanging12a">
    <w:name w:val="NormalHanging12a"/>
    <w:basedOn w:val="Normal"/>
    <w:rsid w:val="00F10C4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10C4A"/>
    <w:pPr>
      <w:spacing w:after="240"/>
      <w:jc w:val="center"/>
    </w:pPr>
  </w:style>
  <w:style w:type="paragraph" w:styleId="Header">
    <w:name w:val="header"/>
    <w:basedOn w:val="Normal"/>
    <w:link w:val="HeaderChar"/>
    <w:uiPriority w:val="99"/>
    <w:rsid w:val="00F10C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C4A"/>
    <w:rPr>
      <w:sz w:val="24"/>
      <w:lang w:val="hr-HR"/>
    </w:rPr>
  </w:style>
  <w:style w:type="paragraph" w:customStyle="1" w:styleId="AmNumberTabs">
    <w:name w:val="AmNumberTabs"/>
    <w:basedOn w:val="Normal"/>
    <w:link w:val="AmNumberTabsChar"/>
    <w:rsid w:val="00F10C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10C4A"/>
    <w:rPr>
      <w:b/>
      <w:sz w:val="24"/>
      <w:lang w:val="hr-HR"/>
    </w:rPr>
  </w:style>
  <w:style w:type="paragraph" w:customStyle="1" w:styleId="AmHeadingConsam">
    <w:name w:val="AmHeadingConsam"/>
    <w:basedOn w:val="Normal"/>
    <w:next w:val="NormalCenter12a"/>
    <w:rsid w:val="00F10C4A"/>
    <w:pPr>
      <w:spacing w:before="720" w:after="240"/>
      <w:jc w:val="center"/>
    </w:pPr>
  </w:style>
  <w:style w:type="paragraph" w:customStyle="1" w:styleId="EPFooter">
    <w:name w:val="EPFooter"/>
    <w:basedOn w:val="Normal"/>
    <w:rsid w:val="00F10C4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F10C4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Text1">
    <w:name w:val="Text 1"/>
    <w:basedOn w:val="Normal"/>
    <w:rsid w:val="00F10C4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F10C4A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10C4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10C4A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10C4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10C4A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10C4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10C4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10C4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F10C4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10C4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10C4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10C4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10C4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10C4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10C4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F10C4A"/>
    <w:rPr>
      <w:i/>
      <w:iCs/>
    </w:rPr>
  </w:style>
  <w:style w:type="character" w:customStyle="1" w:styleId="highlight-diff">
    <w:name w:val="highlight-diff"/>
    <w:basedOn w:val="DefaultParagraphFont"/>
    <w:rsid w:val="00F10C4A"/>
  </w:style>
  <w:style w:type="paragraph" w:styleId="BalloonText">
    <w:name w:val="Balloon Text"/>
    <w:basedOn w:val="Normal"/>
    <w:link w:val="BalloonTextChar"/>
    <w:uiPriority w:val="99"/>
    <w:rsid w:val="003533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53352"/>
    <w:rPr>
      <w:rFonts w:ascii="Segoe UI" w:hAnsi="Segoe UI" w:cs="Segoe UI"/>
      <w:sz w:val="18"/>
      <w:szCs w:val="18"/>
      <w:lang w:val="hr-HR"/>
    </w:rPr>
  </w:style>
  <w:style w:type="character" w:customStyle="1" w:styleId="Heading1Char">
    <w:name w:val="Heading 1 Char"/>
    <w:basedOn w:val="DefaultParagraphFont"/>
    <w:link w:val="Heading11"/>
    <w:uiPriority w:val="9"/>
    <w:rsid w:val="0035335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35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35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35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35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352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352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353352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353352"/>
    <w:rPr>
      <w:rFonts w:ascii="Arial" w:hAnsi="Arial"/>
      <w:b/>
      <w:i/>
      <w:sz w:val="18"/>
      <w:lang w:val="hr-HR"/>
    </w:rPr>
  </w:style>
  <w:style w:type="paragraph" w:customStyle="1" w:styleId="AmDocTypeTab">
    <w:name w:val="AmDocTypeTab"/>
    <w:basedOn w:val="Normal"/>
    <w:rsid w:val="00353352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353352"/>
    <w:pPr>
      <w:spacing w:after="240"/>
    </w:pPr>
  </w:style>
  <w:style w:type="paragraph" w:customStyle="1" w:styleId="AmOrLang">
    <w:name w:val="AmOrLang"/>
    <w:basedOn w:val="Normal"/>
    <w:rsid w:val="00353352"/>
    <w:pPr>
      <w:spacing w:before="240" w:after="240"/>
      <w:jc w:val="right"/>
    </w:pPr>
  </w:style>
  <w:style w:type="paragraph" w:customStyle="1" w:styleId="AmDateTab">
    <w:name w:val="AmDateTab"/>
    <w:basedOn w:val="Normal"/>
    <w:rsid w:val="00353352"/>
    <w:pPr>
      <w:tabs>
        <w:tab w:val="right" w:pos="9072"/>
      </w:tabs>
    </w:pPr>
  </w:style>
  <w:style w:type="paragraph" w:styleId="TOCHeading">
    <w:name w:val="TOC Heading"/>
    <w:basedOn w:val="Normal"/>
    <w:next w:val="Normal"/>
    <w:uiPriority w:val="39"/>
    <w:unhideWhenUsed/>
    <w:qFormat/>
    <w:rsid w:val="00353352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3533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352"/>
    <w:rPr>
      <w:sz w:val="24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353352"/>
  </w:style>
  <w:style w:type="paragraph" w:customStyle="1" w:styleId="NormalRight">
    <w:name w:val="Normal Right"/>
    <w:basedOn w:val="Normal"/>
    <w:rsid w:val="0035335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5335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5335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5335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353352"/>
    <w:pPr>
      <w:widowControl/>
    </w:pPr>
    <w:rPr>
      <w:rFonts w:eastAsia="Calibri"/>
      <w:sz w:val="2"/>
      <w:lang w:eastAsia="fr-BE"/>
    </w:rPr>
  </w:style>
  <w:style w:type="paragraph" w:customStyle="1" w:styleId="FooterCouncil">
    <w:name w:val="Footer Council"/>
    <w:basedOn w:val="Normal"/>
    <w:link w:val="FooterCouncilChar"/>
    <w:rsid w:val="00353352"/>
    <w:pPr>
      <w:widowControl/>
    </w:pPr>
    <w:rPr>
      <w:rFonts w:eastAsia="Calibri"/>
      <w:sz w:val="2"/>
      <w:lang w:eastAsia="fr-BE"/>
    </w:rPr>
  </w:style>
  <w:style w:type="paragraph" w:customStyle="1" w:styleId="TechnicalBlock">
    <w:name w:val="Technical Block"/>
    <w:basedOn w:val="Normal"/>
    <w:next w:val="Normal"/>
    <w:link w:val="TechnicalBlockChar"/>
    <w:rsid w:val="0035335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5335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5335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35335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5335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5335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35335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35335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5335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5335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5335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5335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5335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5335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5335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5335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5335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5335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53352"/>
    <w:pPr>
      <w:widowControl/>
      <w:numPr>
        <w:ilvl w:val="1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53352"/>
    <w:pPr>
      <w:widowControl/>
      <w:numPr>
        <w:ilvl w:val="3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53352"/>
    <w:pPr>
      <w:widowControl/>
      <w:numPr>
        <w:ilvl w:val="5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53352"/>
    <w:pPr>
      <w:widowControl/>
      <w:numPr>
        <w:ilvl w:val="7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53352"/>
    <w:pPr>
      <w:widowControl/>
      <w:numPr>
        <w:ilvl w:val="8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53352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53352"/>
    <w:pPr>
      <w:widowControl/>
      <w:numPr>
        <w:ilvl w:val="2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53352"/>
    <w:pPr>
      <w:widowControl/>
      <w:numPr>
        <w:ilvl w:val="4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53352"/>
    <w:pPr>
      <w:widowControl/>
      <w:numPr>
        <w:ilvl w:val="6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53352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53352"/>
    <w:pPr>
      <w:widowControl/>
      <w:numPr>
        <w:ilvl w:val="1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53352"/>
    <w:pPr>
      <w:widowControl/>
      <w:numPr>
        <w:ilvl w:val="2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53352"/>
    <w:pPr>
      <w:widowControl/>
      <w:numPr>
        <w:ilvl w:val="3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53352"/>
    <w:pPr>
      <w:widowControl/>
      <w:numPr>
        <w:ilvl w:val="4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53352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53352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53352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53352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53352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53352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53352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53352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53352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53352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53352"/>
    <w:pPr>
      <w:numPr>
        <w:numId w:val="8"/>
      </w:numPr>
    </w:pPr>
  </w:style>
  <w:style w:type="paragraph" w:customStyle="1" w:styleId="DashEqual1">
    <w:name w:val="Dash Equal 1"/>
    <w:basedOn w:val="Dash1"/>
    <w:rsid w:val="00353352"/>
    <w:pPr>
      <w:numPr>
        <w:numId w:val="9"/>
      </w:numPr>
    </w:pPr>
  </w:style>
  <w:style w:type="paragraph" w:customStyle="1" w:styleId="DashEqual2">
    <w:name w:val="Dash Equal 2"/>
    <w:basedOn w:val="Dash2"/>
    <w:rsid w:val="00353352"/>
    <w:pPr>
      <w:numPr>
        <w:numId w:val="10"/>
      </w:numPr>
    </w:pPr>
  </w:style>
  <w:style w:type="paragraph" w:customStyle="1" w:styleId="DashEqual3">
    <w:name w:val="Dash Equal 3"/>
    <w:basedOn w:val="Dash3"/>
    <w:rsid w:val="00353352"/>
    <w:pPr>
      <w:numPr>
        <w:numId w:val="11"/>
      </w:numPr>
    </w:pPr>
  </w:style>
  <w:style w:type="paragraph" w:customStyle="1" w:styleId="DashEqual4">
    <w:name w:val="Dash Equal 4"/>
    <w:basedOn w:val="Dash4"/>
    <w:rsid w:val="00353352"/>
    <w:pPr>
      <w:numPr>
        <w:numId w:val="12"/>
      </w:numPr>
    </w:pPr>
  </w:style>
  <w:style w:type="character" w:customStyle="1" w:styleId="Marker">
    <w:name w:val="Marker"/>
    <w:rsid w:val="00353352"/>
    <w:rPr>
      <w:color w:val="0000FF"/>
      <w:shd w:val="clear" w:color="auto" w:fill="auto"/>
    </w:rPr>
  </w:style>
  <w:style w:type="character" w:customStyle="1" w:styleId="Marker1">
    <w:name w:val="Marker1"/>
    <w:rsid w:val="0035335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5335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53352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353352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353352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353352"/>
    <w:pPr>
      <w:jc w:val="center"/>
    </w:pPr>
  </w:style>
  <w:style w:type="paragraph" w:customStyle="1" w:styleId="Jardin">
    <w:name w:val="Jardin"/>
    <w:basedOn w:val="Normal"/>
    <w:rsid w:val="0035335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5335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5335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5335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53352"/>
    <w:rPr>
      <w:b/>
    </w:rPr>
  </w:style>
  <w:style w:type="paragraph" w:customStyle="1" w:styleId="Annex">
    <w:name w:val="Annex"/>
    <w:basedOn w:val="Normal"/>
    <w:next w:val="Normal"/>
    <w:rsid w:val="0035335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5335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5335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35335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5335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5335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53352"/>
    <w:rPr>
      <w:rFonts w:eastAsia="Calibri"/>
      <w:lang w:val="hr-HR" w:eastAsia="en-US"/>
    </w:rPr>
  </w:style>
  <w:style w:type="character" w:styleId="EndnoteReference">
    <w:name w:val="endnote reference"/>
    <w:uiPriority w:val="99"/>
    <w:unhideWhenUsed/>
    <w:rsid w:val="00353352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353352"/>
    <w:pPr>
      <w:widowControl/>
      <w:spacing w:after="440" w:line="360" w:lineRule="auto"/>
      <w:ind w:left="-1134" w:right="-1134"/>
    </w:pPr>
    <w:rPr>
      <w:rFonts w:eastAsia="Calibri"/>
      <w:sz w:val="2"/>
      <w:lang w:eastAsia="fr-BE"/>
    </w:rPr>
  </w:style>
  <w:style w:type="character" w:customStyle="1" w:styleId="TechnicalBlockChar">
    <w:name w:val="Technical Block Char"/>
    <w:link w:val="TechnicalBlock"/>
    <w:rsid w:val="00353352"/>
    <w:rPr>
      <w:rFonts w:eastAsia="Calibri"/>
      <w:sz w:val="24"/>
      <w:szCs w:val="22"/>
      <w:lang w:val="hr-HR" w:eastAsia="en-US"/>
    </w:rPr>
  </w:style>
  <w:style w:type="character" w:customStyle="1" w:styleId="HeaderCouncilLargeChar">
    <w:name w:val="Header Council Large Char"/>
    <w:link w:val="HeaderCouncilLarge"/>
    <w:rsid w:val="00353352"/>
    <w:rPr>
      <w:rFonts w:eastAsia="Calibri"/>
      <w:sz w:val="2"/>
      <w:lang w:val="hr-HR" w:eastAsia="fr-BE"/>
    </w:rPr>
  </w:style>
  <w:style w:type="paragraph" w:customStyle="1" w:styleId="FooterText">
    <w:name w:val="Footer Text"/>
    <w:basedOn w:val="Normal"/>
    <w:rsid w:val="00353352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353352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353352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353352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353352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353352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353352"/>
  </w:style>
  <w:style w:type="character" w:customStyle="1" w:styleId="Heading1Char1">
    <w:name w:val="Heading 1 Char1"/>
    <w:link w:val="Heading1"/>
    <w:uiPriority w:val="9"/>
    <w:rsid w:val="00353352"/>
    <w:rPr>
      <w:b/>
      <w:kern w:val="28"/>
      <w:sz w:val="28"/>
      <w:lang w:val="fr-FR" w:eastAsia="fr-FR"/>
    </w:rPr>
  </w:style>
  <w:style w:type="paragraph" w:styleId="TOC4">
    <w:name w:val="toc 4"/>
    <w:basedOn w:val="Normal"/>
    <w:next w:val="Normal"/>
    <w:uiPriority w:val="39"/>
    <w:unhideWhenUsed/>
    <w:rsid w:val="0035335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5335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5335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5335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5335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53352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5335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35335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35335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53352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5335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53352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53352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53352"/>
    <w:pPr>
      <w:numPr>
        <w:numId w:val="29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353352"/>
    <w:pPr>
      <w:numPr>
        <w:numId w:val="30"/>
      </w:numPr>
      <w:tabs>
        <w:tab w:val="clear" w:pos="1417"/>
        <w:tab w:val="num" w:pos="1701"/>
      </w:tabs>
      <w:spacing w:line="360" w:lineRule="auto"/>
      <w:ind w:left="1701"/>
    </w:pPr>
    <w:rPr>
      <w:rFonts w:eastAsia="Calibri"/>
    </w:rPr>
  </w:style>
  <w:style w:type="paragraph" w:customStyle="1" w:styleId="Tiret2">
    <w:name w:val="Tiret 2"/>
    <w:basedOn w:val="Point2"/>
    <w:rsid w:val="00353352"/>
    <w:pPr>
      <w:numPr>
        <w:numId w:val="31"/>
      </w:numPr>
      <w:tabs>
        <w:tab w:val="clear" w:pos="1984"/>
        <w:tab w:val="num" w:pos="2268"/>
      </w:tabs>
      <w:spacing w:line="360" w:lineRule="auto"/>
      <w:ind w:left="2268"/>
    </w:pPr>
    <w:rPr>
      <w:rFonts w:eastAsia="Calibri"/>
    </w:rPr>
  </w:style>
  <w:style w:type="paragraph" w:customStyle="1" w:styleId="Tiret3">
    <w:name w:val="Tiret 3"/>
    <w:basedOn w:val="Point3"/>
    <w:rsid w:val="00353352"/>
    <w:pPr>
      <w:numPr>
        <w:numId w:val="32"/>
      </w:numPr>
      <w:tabs>
        <w:tab w:val="clear" w:pos="2551"/>
        <w:tab w:val="num" w:pos="2835"/>
      </w:tabs>
      <w:ind w:left="2835"/>
    </w:pPr>
  </w:style>
  <w:style w:type="paragraph" w:customStyle="1" w:styleId="Tiret4">
    <w:name w:val="Tiret 4"/>
    <w:basedOn w:val="Point4"/>
    <w:rsid w:val="00353352"/>
    <w:pPr>
      <w:numPr>
        <w:numId w:val="33"/>
      </w:numPr>
      <w:tabs>
        <w:tab w:val="clear" w:pos="3118"/>
        <w:tab w:val="num" w:pos="567"/>
      </w:tabs>
      <w:ind w:left="567"/>
    </w:pPr>
  </w:style>
  <w:style w:type="paragraph" w:customStyle="1" w:styleId="PointDouble0">
    <w:name w:val="PointDouble 0"/>
    <w:basedOn w:val="Normal"/>
    <w:rsid w:val="00353352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53352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53352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53352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53352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5335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5335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5335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5335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5335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353352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53352"/>
    <w:pPr>
      <w:widowControl/>
      <w:numPr>
        <w:ilvl w:val="1"/>
        <w:numId w:val="27"/>
      </w:numPr>
      <w:tabs>
        <w:tab w:val="clear" w:pos="85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53352"/>
    <w:pPr>
      <w:widowControl/>
      <w:numPr>
        <w:ilvl w:val="2"/>
        <w:numId w:val="27"/>
      </w:numPr>
      <w:tabs>
        <w:tab w:val="clear" w:pos="85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53352"/>
    <w:pPr>
      <w:widowControl/>
      <w:numPr>
        <w:ilvl w:val="3"/>
        <w:numId w:val="27"/>
      </w:numPr>
      <w:tabs>
        <w:tab w:val="clear" w:pos="85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5335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5335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5335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53352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53352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5335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5335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5335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53352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53352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5335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35335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353352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53352"/>
    <w:pPr>
      <w:widowControl/>
      <w:numPr>
        <w:ilvl w:val="2"/>
        <w:numId w:val="28"/>
      </w:numPr>
      <w:tabs>
        <w:tab w:val="clear" w:pos="1417"/>
        <w:tab w:val="num" w:pos="567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353352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53352"/>
    <w:pPr>
      <w:widowControl/>
      <w:numPr>
        <w:ilvl w:val="6"/>
        <w:numId w:val="28"/>
      </w:numPr>
      <w:tabs>
        <w:tab w:val="clear" w:pos="2551"/>
        <w:tab w:val="num" w:pos="567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53352"/>
    <w:pPr>
      <w:widowControl/>
      <w:numPr>
        <w:ilvl w:val="1"/>
        <w:numId w:val="28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353352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53352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53352"/>
    <w:pPr>
      <w:widowControl/>
      <w:numPr>
        <w:ilvl w:val="7"/>
        <w:numId w:val="28"/>
      </w:numPr>
      <w:tabs>
        <w:tab w:val="clear" w:pos="2551"/>
        <w:tab w:val="num" w:pos="567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53352"/>
    <w:pPr>
      <w:widowControl/>
      <w:numPr>
        <w:ilvl w:val="8"/>
        <w:numId w:val="28"/>
      </w:numPr>
      <w:tabs>
        <w:tab w:val="clear" w:pos="3118"/>
        <w:tab w:val="num" w:pos="567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53352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53352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53352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5335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53352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53352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53352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5335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35335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5335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5335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353352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53352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53352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53352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53352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5335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5335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5335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5335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5335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rsid w:val="00353352"/>
    <w:rPr>
      <w:b/>
      <w:u w:val="single"/>
      <w:shd w:val="clear" w:color="auto" w:fill="auto"/>
    </w:rPr>
  </w:style>
  <w:style w:type="character" w:customStyle="1" w:styleId="Deleted">
    <w:name w:val="Deleted"/>
    <w:rsid w:val="0035335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5335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53352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53352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5335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35335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5335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5335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53352"/>
  </w:style>
  <w:style w:type="paragraph" w:customStyle="1" w:styleId="StatutPagedecouverture">
    <w:name w:val="Statut (Page de couverture)"/>
    <w:basedOn w:val="Statut"/>
    <w:next w:val="TypedudocumentPagedecouverture"/>
    <w:rsid w:val="00353352"/>
  </w:style>
  <w:style w:type="paragraph" w:customStyle="1" w:styleId="TitreobjetPagedecouverture">
    <w:name w:val="Titre objet (Page de couverture)"/>
    <w:basedOn w:val="Titreobjet"/>
    <w:next w:val="IntrtEEEPagedecouverture"/>
    <w:rsid w:val="00353352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353352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353352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53352"/>
    <w:pPr>
      <w:spacing w:after="240"/>
    </w:pPr>
  </w:style>
  <w:style w:type="paragraph" w:customStyle="1" w:styleId="Accompagnant">
    <w:name w:val="Accompagnant"/>
    <w:basedOn w:val="Normal"/>
    <w:next w:val="Typeacteprincipal"/>
    <w:rsid w:val="00353352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53352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53352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53352"/>
  </w:style>
  <w:style w:type="paragraph" w:customStyle="1" w:styleId="AccompagnantPagedecouverture">
    <w:name w:val="Accompagnant (Page de couverture)"/>
    <w:basedOn w:val="Accompagnant"/>
    <w:next w:val="TypeacteprincipalPagedecouverture"/>
    <w:rsid w:val="0035335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53352"/>
  </w:style>
  <w:style w:type="paragraph" w:customStyle="1" w:styleId="ObjetacteprincipalPagedecouverture">
    <w:name w:val="Objet acte principal (Page de couverture)"/>
    <w:basedOn w:val="Objetacteprincipal"/>
    <w:next w:val="Rfrencecroise"/>
    <w:rsid w:val="00353352"/>
  </w:style>
  <w:style w:type="paragraph" w:customStyle="1" w:styleId="LanguesfaisantfoiPagedecouverture">
    <w:name w:val="Langues faisant foi (Page de couverture)"/>
    <w:basedOn w:val="Normal"/>
    <w:next w:val="Normal"/>
    <w:rsid w:val="0035335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353352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35335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353352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353352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353352"/>
    <w:pPr>
      <w:spacing w:before="120" w:after="120" w:line="360" w:lineRule="auto"/>
      <w:jc w:val="both"/>
    </w:pPr>
    <w:rPr>
      <w:rFonts w:eastAsia="Calibri"/>
      <w:sz w:val="24"/>
      <w:szCs w:val="22"/>
      <w:lang w:val="hr-HR" w:eastAsia="en-US"/>
    </w:rPr>
  </w:style>
  <w:style w:type="character" w:customStyle="1" w:styleId="Footer2">
    <w:name w:val="Footer2"/>
    <w:uiPriority w:val="1"/>
    <w:qFormat/>
    <w:rsid w:val="00353352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353352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353352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353352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353352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353352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353352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353352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353352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353352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353352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353352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353352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353352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353352"/>
    <w:pPr>
      <w:spacing w:before="120"/>
    </w:pPr>
  </w:style>
  <w:style w:type="paragraph" w:customStyle="1" w:styleId="TitlePar3">
    <w:name w:val="TitlePar 3"/>
    <w:basedOn w:val="TitlePar2"/>
    <w:qFormat/>
    <w:rsid w:val="00353352"/>
    <w:rPr>
      <w:b w:val="0"/>
      <w:i/>
    </w:rPr>
  </w:style>
  <w:style w:type="paragraph" w:customStyle="1" w:styleId="SubsectionTitle">
    <w:name w:val="SubsectionTitle"/>
    <w:basedOn w:val="SectionTitle"/>
    <w:qFormat/>
    <w:rsid w:val="00353352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353352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353352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353352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353352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353352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353352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353352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353352"/>
    <w:pPr>
      <w:spacing w:before="360" w:after="120"/>
    </w:pPr>
  </w:style>
  <w:style w:type="paragraph" w:customStyle="1" w:styleId="SectionNum">
    <w:name w:val="SectionNum"/>
    <w:basedOn w:val="SectionTitle"/>
    <w:qFormat/>
    <w:rsid w:val="00353352"/>
    <w:pPr>
      <w:spacing w:before="360" w:after="120"/>
    </w:pPr>
  </w:style>
  <w:style w:type="paragraph" w:customStyle="1" w:styleId="TitleHeading">
    <w:name w:val="TitleHeading"/>
    <w:basedOn w:val="NumTitle"/>
    <w:qFormat/>
    <w:rsid w:val="00353352"/>
    <w:pPr>
      <w:spacing w:before="120" w:after="360"/>
    </w:pPr>
  </w:style>
  <w:style w:type="character" w:customStyle="1" w:styleId="SubItalic">
    <w:name w:val="SubItalic"/>
    <w:uiPriority w:val="1"/>
    <w:qFormat/>
    <w:rsid w:val="00353352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353352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353352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353352"/>
    <w:pPr>
      <w:ind w:left="4253"/>
    </w:pPr>
  </w:style>
  <w:style w:type="paragraph" w:styleId="Revision">
    <w:name w:val="Revision"/>
    <w:hidden/>
    <w:uiPriority w:val="99"/>
    <w:semiHidden/>
    <w:rsid w:val="00353352"/>
    <w:rPr>
      <w:rFonts w:eastAsia="Calibri"/>
      <w:sz w:val="24"/>
      <w:szCs w:val="22"/>
      <w:lang w:val="hr-HR" w:eastAsia="en-US"/>
    </w:rPr>
  </w:style>
  <w:style w:type="character" w:styleId="CommentReference">
    <w:name w:val="annotation reference"/>
    <w:uiPriority w:val="99"/>
    <w:unhideWhenUsed/>
    <w:rsid w:val="003533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52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3352"/>
    <w:rPr>
      <w:rFonts w:eastAsia="Calibri"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533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53352"/>
    <w:rPr>
      <w:rFonts w:eastAsia="Calibri"/>
      <w:b/>
      <w:bCs/>
      <w:lang w:val="hr-HR" w:eastAsia="en-US"/>
    </w:rPr>
  </w:style>
  <w:style w:type="character" w:customStyle="1" w:styleId="Hyperlink1">
    <w:name w:val="Hyperlink1"/>
    <w:unhideWhenUsed/>
    <w:rsid w:val="00353352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353352"/>
    <w:rPr>
      <w:color w:val="605E5C"/>
      <w:shd w:val="clear" w:color="auto" w:fill="E1DFDD"/>
    </w:rPr>
  </w:style>
  <w:style w:type="character" w:customStyle="1" w:styleId="FollowedHyperlink1">
    <w:name w:val="FollowedHyperlink1"/>
    <w:semiHidden/>
    <w:unhideWhenUsed/>
    <w:rsid w:val="00353352"/>
    <w:rPr>
      <w:color w:val="954F72"/>
      <w:u w:val="single"/>
    </w:rPr>
  </w:style>
  <w:style w:type="character" w:customStyle="1" w:styleId="Heading2Char1">
    <w:name w:val="Heading 2 Char1"/>
    <w:uiPriority w:val="9"/>
    <w:semiHidden/>
    <w:rsid w:val="00353352"/>
    <w:rPr>
      <w:rFonts w:ascii="Cambria" w:eastAsia="Times New Roman" w:hAnsi="Cambria" w:cs="Times New Roman"/>
      <w:color w:val="365F91"/>
      <w:sz w:val="26"/>
      <w:szCs w:val="26"/>
      <w:lang w:val="hr-HR"/>
    </w:rPr>
  </w:style>
  <w:style w:type="character" w:customStyle="1" w:styleId="Heading3Char1">
    <w:name w:val="Heading 3 Char1"/>
    <w:uiPriority w:val="9"/>
    <w:semiHidden/>
    <w:rsid w:val="00353352"/>
    <w:rPr>
      <w:rFonts w:ascii="Cambria" w:eastAsia="Times New Roman" w:hAnsi="Cambria" w:cs="Times New Roman"/>
      <w:color w:val="243F60"/>
      <w:sz w:val="24"/>
      <w:szCs w:val="24"/>
      <w:lang w:val="hr-HR"/>
    </w:rPr>
  </w:style>
  <w:style w:type="character" w:customStyle="1" w:styleId="Heading4Char1">
    <w:name w:val="Heading 4 Char1"/>
    <w:uiPriority w:val="9"/>
    <w:semiHidden/>
    <w:rsid w:val="00353352"/>
    <w:rPr>
      <w:rFonts w:ascii="Cambria" w:eastAsia="Times New Roman" w:hAnsi="Cambria" w:cs="Times New Roman"/>
      <w:i/>
      <w:iCs/>
      <w:color w:val="365F91"/>
      <w:sz w:val="24"/>
      <w:lang w:val="hr-HR"/>
    </w:rPr>
  </w:style>
  <w:style w:type="character" w:styleId="Hyperlink">
    <w:name w:val="Hyperlink"/>
    <w:uiPriority w:val="99"/>
    <w:unhideWhenUsed/>
    <w:rsid w:val="00353352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53352"/>
    <w:rPr>
      <w:color w:val="800080"/>
      <w:u w:val="single"/>
    </w:rPr>
  </w:style>
  <w:style w:type="paragraph" w:styleId="ListParagraph">
    <w:name w:val="List Paragraph"/>
    <w:aliases w:val="Numbered Para 1,Dot pt,No Spacing1,List Paragraph Char Char Char,Indicator Text,List Paragraph1,Bullet Points,MAIN CONTENT,List Paragraph12,F5 List Paragraph,Heading 2_sj,1st level - Bullet List Paragraph,Lettre d'introduction,BULLET 1,L"/>
    <w:basedOn w:val="Normal"/>
    <w:link w:val="ListParagraphChar"/>
    <w:uiPriority w:val="34"/>
    <w:qFormat/>
    <w:rsid w:val="00353352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link w:val="ListParagraph"/>
    <w:uiPriority w:val="34"/>
    <w:qFormat/>
    <w:locked/>
    <w:rsid w:val="00353352"/>
    <w:rPr>
      <w:rFonts w:eastAsia="Calibri" w:cs="Arial"/>
      <w:sz w:val="24"/>
      <w:szCs w:val="22"/>
      <w:lang w:val="hr-HR" w:eastAsia="en-US"/>
    </w:rPr>
  </w:style>
  <w:style w:type="paragraph" w:styleId="NormalIndent">
    <w:name w:val="Normal Indent"/>
    <w:basedOn w:val="Normal"/>
    <w:unhideWhenUsed/>
    <w:rsid w:val="00353352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353352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353352"/>
    <w:pPr>
      <w:jc w:val="right"/>
    </w:pPr>
    <w:rPr>
      <w:b/>
    </w:rPr>
  </w:style>
  <w:style w:type="paragraph" w:customStyle="1" w:styleId="NormalConseil">
    <w:name w:val="NormalConseil"/>
    <w:basedOn w:val="Normal"/>
    <w:rsid w:val="00353352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353352"/>
    <w:rPr>
      <w:b/>
    </w:rPr>
  </w:style>
  <w:style w:type="paragraph" w:customStyle="1" w:styleId="EntEmet">
    <w:name w:val="EntEmet"/>
    <w:basedOn w:val="NormalConseil"/>
    <w:rsid w:val="00353352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353352"/>
  </w:style>
  <w:style w:type="paragraph" w:styleId="Caption">
    <w:name w:val="caption"/>
    <w:basedOn w:val="Normal"/>
    <w:next w:val="Normal"/>
    <w:uiPriority w:val="35"/>
    <w:semiHidden/>
    <w:unhideWhenUsed/>
    <w:qFormat/>
    <w:rsid w:val="00353352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53352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35335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35335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35335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35335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35335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35335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35335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353352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353352"/>
    <w:rPr>
      <w:rFonts w:ascii="Calibri" w:eastAsia="Calibri" w:hAnsi="Calibri" w:cs="Arial"/>
      <w:lang w:val="hr-HR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35335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35335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5335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5335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35335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5335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353352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link w:val="pj"/>
    <w:rsid w:val="00353352"/>
    <w:rPr>
      <w:rFonts w:eastAsia="Calibri"/>
      <w:sz w:val="24"/>
      <w:szCs w:val="22"/>
      <w:lang w:val="hr-HR" w:eastAsia="en-US"/>
    </w:rPr>
  </w:style>
  <w:style w:type="paragraph" w:customStyle="1" w:styleId="nbbordered">
    <w:name w:val="nb bordered"/>
    <w:basedOn w:val="Normal"/>
    <w:link w:val="nbborderedChar"/>
    <w:rsid w:val="0035335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link w:val="nbbordered"/>
    <w:rsid w:val="00353352"/>
    <w:rPr>
      <w:rFonts w:eastAsia="Calibri"/>
      <w:b/>
      <w:sz w:val="24"/>
      <w:szCs w:val="22"/>
      <w:lang w:val="hr-HR" w:eastAsia="en-US"/>
    </w:rPr>
  </w:style>
  <w:style w:type="character" w:customStyle="1" w:styleId="HeaderCouncilChar">
    <w:name w:val="Header Council Char"/>
    <w:link w:val="HeaderCouncil"/>
    <w:rsid w:val="00353352"/>
    <w:rPr>
      <w:rFonts w:eastAsia="Calibri"/>
      <w:sz w:val="2"/>
      <w:lang w:val="hr-HR" w:eastAsia="fr-BE"/>
    </w:rPr>
  </w:style>
  <w:style w:type="character" w:customStyle="1" w:styleId="FooterCouncilChar">
    <w:name w:val="Footer Council Char"/>
    <w:link w:val="FooterCouncil"/>
    <w:rsid w:val="00353352"/>
    <w:rPr>
      <w:rFonts w:eastAsia="Calibri"/>
      <w:sz w:val="2"/>
      <w:lang w:val="hr-HR" w:eastAsia="fr-BE"/>
    </w:rPr>
  </w:style>
  <w:style w:type="numbering" w:customStyle="1" w:styleId="NoList2">
    <w:name w:val="No List2"/>
    <w:next w:val="NoList"/>
    <w:semiHidden/>
    <w:rsid w:val="00353352"/>
  </w:style>
  <w:style w:type="numbering" w:customStyle="1" w:styleId="NoList3">
    <w:name w:val="No List3"/>
    <w:next w:val="NoList"/>
    <w:uiPriority w:val="99"/>
    <w:semiHidden/>
    <w:unhideWhenUsed/>
    <w:rsid w:val="00353352"/>
  </w:style>
  <w:style w:type="paragraph" w:customStyle="1" w:styleId="Annexetitreacte">
    <w:name w:val="Annexe titre (acte)"/>
    <w:basedOn w:val="Normal"/>
    <w:next w:val="Normal"/>
    <w:rsid w:val="00353352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link w:val="Annexetitreexpos"/>
    <w:rsid w:val="00353352"/>
    <w:rPr>
      <w:rFonts w:eastAsia="Calibri"/>
      <w:b/>
      <w:sz w:val="24"/>
      <w:szCs w:val="22"/>
      <w:u w:val="single"/>
      <w:lang w:val="hr-HR" w:eastAsia="en-US"/>
    </w:rPr>
  </w:style>
  <w:style w:type="paragraph" w:customStyle="1" w:styleId="Default">
    <w:name w:val="Default"/>
    <w:rsid w:val="0035335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customStyle="1" w:styleId="msonormal0">
    <w:name w:val="msonormal"/>
    <w:basedOn w:val="Normal"/>
    <w:uiPriority w:val="99"/>
    <w:rsid w:val="00353352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353352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uiPriority w:val="99"/>
    <w:semiHidden/>
    <w:rsid w:val="00353352"/>
    <w:rPr>
      <w:rFonts w:ascii="Times New Roman" w:hAnsi="Times New Roman" w:cs="Times New Roman"/>
      <w:sz w:val="20"/>
      <w:szCs w:val="20"/>
      <w:lang w:val="hr-HR"/>
    </w:rPr>
  </w:style>
  <w:style w:type="paragraph" w:customStyle="1" w:styleId="paragraph">
    <w:name w:val="paragraph"/>
    <w:basedOn w:val="Normal"/>
    <w:uiPriority w:val="1"/>
    <w:rsid w:val="00353352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353352"/>
  </w:style>
  <w:style w:type="character" w:customStyle="1" w:styleId="eop">
    <w:name w:val="eop"/>
    <w:basedOn w:val="DefaultParagraphFont"/>
    <w:rsid w:val="00353352"/>
  </w:style>
  <w:style w:type="numbering" w:customStyle="1" w:styleId="NoList12">
    <w:name w:val="No List12"/>
    <w:next w:val="NoList"/>
    <w:uiPriority w:val="99"/>
    <w:semiHidden/>
    <w:unhideWhenUsed/>
    <w:rsid w:val="00353352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353352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35335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35335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35335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35335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35335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35335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35335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35335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353352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353352"/>
  </w:style>
  <w:style w:type="paragraph" w:customStyle="1" w:styleId="sti-art">
    <w:name w:val="sti-art"/>
    <w:basedOn w:val="Normal"/>
    <w:rsid w:val="00353352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353352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353352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353352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353352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35335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5335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5335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5335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5335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5335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5335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5335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5335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53352"/>
    <w:pPr>
      <w:widowControl/>
      <w:numPr>
        <w:numId w:val="34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53352"/>
    <w:pPr>
      <w:widowControl/>
      <w:numPr>
        <w:numId w:val="35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53352"/>
    <w:pPr>
      <w:widowControl/>
      <w:numPr>
        <w:numId w:val="36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53352"/>
    <w:pPr>
      <w:widowControl/>
      <w:numPr>
        <w:numId w:val="37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53352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53352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53352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5335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5335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5335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5335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5335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5335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53352"/>
    <w:pPr>
      <w:widowControl/>
      <w:numPr>
        <w:numId w:val="38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53352"/>
    <w:pPr>
      <w:widowControl/>
      <w:numPr>
        <w:numId w:val="39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53352"/>
    <w:pPr>
      <w:widowControl/>
      <w:numPr>
        <w:numId w:val="4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53352"/>
    <w:pPr>
      <w:widowControl/>
      <w:numPr>
        <w:numId w:val="41"/>
      </w:numPr>
      <w:tabs>
        <w:tab w:val="clear" w:pos="5386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35335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35335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5335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5335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35335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5335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5335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5335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53352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35335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5335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5335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5335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35335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5335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5335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5335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5335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5335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5335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5335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5335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5335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5335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5335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5335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5335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5335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5335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5335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5335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5335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5335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5335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5335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5335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5335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5335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5335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5335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5335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35335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5335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353352"/>
    <w:rPr>
      <w:b/>
      <w:i/>
    </w:rPr>
  </w:style>
  <w:style w:type="character" w:customStyle="1" w:styleId="diff-tte-removed">
    <w:name w:val="diff-tte-removed"/>
    <w:rsid w:val="00353352"/>
    <w:rPr>
      <w:strike/>
    </w:rPr>
  </w:style>
  <w:style w:type="character" w:customStyle="1" w:styleId="Heading5Char1">
    <w:name w:val="Heading 5 Char1"/>
    <w:uiPriority w:val="9"/>
    <w:semiHidden/>
    <w:rsid w:val="00353352"/>
    <w:rPr>
      <w:rFonts w:ascii="Cambria" w:eastAsia="Times New Roman" w:hAnsi="Cambria" w:cs="Times New Roman"/>
      <w:color w:val="365F91"/>
      <w:sz w:val="24"/>
      <w:lang w:val="hr-HR"/>
    </w:rPr>
  </w:style>
  <w:style w:type="character" w:customStyle="1" w:styleId="Heading6Char1">
    <w:name w:val="Heading 6 Char1"/>
    <w:uiPriority w:val="9"/>
    <w:semiHidden/>
    <w:rsid w:val="00353352"/>
    <w:rPr>
      <w:rFonts w:ascii="Cambria" w:eastAsia="Times New Roman" w:hAnsi="Cambria" w:cs="Times New Roman"/>
      <w:color w:val="243F60"/>
      <w:sz w:val="24"/>
      <w:lang w:val="hr-HR"/>
    </w:rPr>
  </w:style>
  <w:style w:type="character" w:customStyle="1" w:styleId="Heading7Char1">
    <w:name w:val="Heading 7 Char1"/>
    <w:uiPriority w:val="9"/>
    <w:semiHidden/>
    <w:rsid w:val="00353352"/>
    <w:rPr>
      <w:rFonts w:ascii="Cambria" w:eastAsia="Times New Roman" w:hAnsi="Cambria" w:cs="Times New Roman"/>
      <w:i/>
      <w:iCs/>
      <w:color w:val="243F60"/>
      <w:sz w:val="24"/>
      <w:lang w:val="hr-HR"/>
    </w:rPr>
  </w:style>
  <w:style w:type="paragraph" w:customStyle="1" w:styleId="index">
    <w:name w:val="index"/>
    <w:basedOn w:val="Normal"/>
    <w:rsid w:val="00353352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353352"/>
  </w:style>
  <w:style w:type="numbering" w:customStyle="1" w:styleId="NoList14">
    <w:name w:val="No List14"/>
    <w:next w:val="NoList"/>
    <w:uiPriority w:val="99"/>
    <w:semiHidden/>
    <w:unhideWhenUsed/>
    <w:rsid w:val="00353352"/>
  </w:style>
  <w:style w:type="numbering" w:customStyle="1" w:styleId="NoList1111">
    <w:name w:val="No List1111"/>
    <w:next w:val="NoList"/>
    <w:uiPriority w:val="99"/>
    <w:semiHidden/>
    <w:unhideWhenUsed/>
    <w:rsid w:val="00353352"/>
  </w:style>
  <w:style w:type="numbering" w:customStyle="1" w:styleId="NoList21">
    <w:name w:val="No List21"/>
    <w:next w:val="NoList"/>
    <w:semiHidden/>
    <w:rsid w:val="00353352"/>
  </w:style>
  <w:style w:type="numbering" w:customStyle="1" w:styleId="NoList31">
    <w:name w:val="No List31"/>
    <w:next w:val="NoList"/>
    <w:uiPriority w:val="99"/>
    <w:semiHidden/>
    <w:unhideWhenUsed/>
    <w:rsid w:val="00353352"/>
  </w:style>
  <w:style w:type="numbering" w:customStyle="1" w:styleId="NoList121">
    <w:name w:val="No List121"/>
    <w:next w:val="NoList"/>
    <w:uiPriority w:val="99"/>
    <w:semiHidden/>
    <w:unhideWhenUsed/>
    <w:rsid w:val="00353352"/>
  </w:style>
  <w:style w:type="numbering" w:customStyle="1" w:styleId="NoList41">
    <w:name w:val="No List41"/>
    <w:next w:val="NoList"/>
    <w:uiPriority w:val="99"/>
    <w:semiHidden/>
    <w:unhideWhenUsed/>
    <w:rsid w:val="00353352"/>
  </w:style>
  <w:style w:type="numbering" w:customStyle="1" w:styleId="NoList131">
    <w:name w:val="No List131"/>
    <w:next w:val="NoList"/>
    <w:uiPriority w:val="99"/>
    <w:semiHidden/>
    <w:unhideWhenUsed/>
    <w:rsid w:val="00353352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533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95B64-E1F9-42D6-8402-BAF420E7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2024-04-16T10:22:00Z</dcterms:created>
  <dcterms:modified xsi:type="dcterms:W3CDTF">2024-04-16T10:22:00Z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