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4509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45096" w:rsidRDefault="00C2794B">
            <w:pPr>
              <w:pStyle w:val="EPName"/>
            </w:pPr>
            <w:r>
              <w:t>Európsky parlament</w:t>
            </w:r>
          </w:p>
          <w:p w:rsidR="00245096" w:rsidRDefault="00C2794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245096" w:rsidRDefault="00C2794B">
            <w:pPr>
              <w:pStyle w:val="EPLogo"/>
            </w:pPr>
            <w:r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45096" w:rsidRDefault="00245096">
      <w:pPr>
        <w:pStyle w:val="LineTop"/>
      </w:pPr>
    </w:p>
    <w:p w:rsidR="00245096" w:rsidRDefault="00C2794B">
      <w:pPr>
        <w:pStyle w:val="EPBodyTA1"/>
      </w:pPr>
      <w:r>
        <w:t>PRIJATÉ TEXTY</w:t>
      </w:r>
    </w:p>
    <w:p w:rsidR="00245096" w:rsidRDefault="00245096">
      <w:pPr>
        <w:pStyle w:val="LineBottom"/>
      </w:pPr>
    </w:p>
    <w:p w:rsidR="00245096" w:rsidRDefault="00C2794B">
      <w:pPr>
        <w:pStyle w:val="ATHeading1"/>
      </w:pPr>
      <w:bookmarkStart w:id="0" w:name="TANumber"/>
      <w:r>
        <w:t>P9_TA(2024)0060</w:t>
      </w:r>
      <w:bookmarkEnd w:id="0"/>
    </w:p>
    <w:p w:rsidR="00245096" w:rsidRDefault="00C2794B">
      <w:pPr>
        <w:pStyle w:val="ATHeading2"/>
      </w:pPr>
      <w:bookmarkStart w:id="1" w:name="title"/>
      <w:r>
        <w:t xml:space="preserve">Opatrenia na zabezpečenie vysokej úrovne </w:t>
      </w:r>
      <w:proofErr w:type="spellStart"/>
      <w:r>
        <w:t>interoperability</w:t>
      </w:r>
      <w:proofErr w:type="spellEnd"/>
      <w:r>
        <w:t xml:space="preserve"> verejného sektora v celej Únii (akt o </w:t>
      </w:r>
      <w:proofErr w:type="spellStart"/>
      <w:r>
        <w:t>interoperabilnej</w:t>
      </w:r>
      <w:proofErr w:type="spellEnd"/>
      <w:r>
        <w:t xml:space="preserve"> Európe)</w:t>
      </w:r>
      <w:bookmarkEnd w:id="1"/>
    </w:p>
    <w:p w:rsidR="00245096" w:rsidRDefault="00C2794B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A9-0254/2023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Ivars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Ijabs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45096" w:rsidRDefault="00C2794B">
      <w:pPr>
        <w:rPr>
          <w:vanish/>
        </w:rPr>
      </w:pPr>
      <w:bookmarkStart w:id="3" w:name="Commission"/>
      <w:r>
        <w:rPr>
          <w:vanish/>
        </w:rPr>
        <w:t>Výbor pre priemysel, výskum a energetiku</w:t>
      </w:r>
      <w:bookmarkEnd w:id="3"/>
    </w:p>
    <w:p w:rsidR="00245096" w:rsidRDefault="00C2794B">
      <w:pPr>
        <w:rPr>
          <w:vanish/>
        </w:rPr>
      </w:pPr>
      <w:bookmarkStart w:id="4" w:name="PE"/>
      <w:r>
        <w:rPr>
          <w:vanish/>
        </w:rPr>
        <w:t>PE745.497</w:t>
      </w:r>
      <w:bookmarkEnd w:id="4"/>
    </w:p>
    <w:p w:rsidR="00245096" w:rsidRDefault="00C2794B">
      <w:pPr>
        <w:pStyle w:val="ATHeading3"/>
      </w:pPr>
      <w:bookmarkStart w:id="5" w:name="Sujet"/>
      <w:r>
        <w:t xml:space="preserve">Legislatívne uznesenie Európskeho parlamentu zo 6. februára 2024 o návrhu nariadenia Európskeho parlamentu a Rady, ktorým sa stanovujú opatrenia na zabezpečenie vysokej úrovne </w:t>
      </w:r>
      <w:proofErr w:type="spellStart"/>
      <w:r>
        <w:t>interoperability</w:t>
      </w:r>
      <w:proofErr w:type="spellEnd"/>
      <w:r>
        <w:t xml:space="preserve"> verejného sektora v celej Únii (akt o </w:t>
      </w:r>
      <w:proofErr w:type="spellStart"/>
      <w:r>
        <w:t>interoperabilnej</w:t>
      </w:r>
      <w:proofErr w:type="spellEnd"/>
      <w:r>
        <w:t xml:space="preserve"> Európe)</w:t>
      </w:r>
      <w:bookmarkEnd w:id="5"/>
      <w:r>
        <w:t xml:space="preserve"> </w:t>
      </w:r>
      <w:bookmarkStart w:id="6" w:name="References"/>
      <w:r>
        <w:t>(COM(2022)0720 – C9-0387/2022 – 2022/0379(COD))</w:t>
      </w:r>
      <w:bookmarkEnd w:id="6"/>
    </w:p>
    <w:p w:rsidR="00245096" w:rsidRDefault="00245096"/>
    <w:p w:rsidR="00245096" w:rsidRDefault="00C2794B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245096" w:rsidRDefault="00C2794B">
      <w:pPr>
        <w:pStyle w:val="EPComma"/>
      </w:pPr>
      <w:r>
        <w:rPr>
          <w:i/>
        </w:rPr>
        <w:t>Európsky parlament</w:t>
      </w:r>
      <w:r>
        <w:t>,</w:t>
      </w:r>
    </w:p>
    <w:p w:rsidR="00245096" w:rsidRDefault="00C2794B">
      <w:pPr>
        <w:pStyle w:val="NormalHanging12a"/>
      </w:pPr>
      <w:r>
        <w:t>–</w:t>
      </w:r>
      <w:r>
        <w:tab/>
        <w:t>so zreteľom na návrh Komisie pre Európsky parlament a Radu (COM(2022)0720),</w:t>
      </w:r>
    </w:p>
    <w:p w:rsidR="00245096" w:rsidRDefault="00C2794B">
      <w:pPr>
        <w:pStyle w:val="NormalHanging12a"/>
      </w:pPr>
      <w:r>
        <w:t>–</w:t>
      </w:r>
      <w:r>
        <w:tab/>
        <w:t>so zreteľom na článok 294 ods. 2 a článok 172 Zmluvy o fungovaní Európskej únie, v súlade s ktorými Komisia predložila návrh Európskemu parlamentu (C9</w:t>
      </w:r>
      <w:r>
        <w:noBreakHyphen/>
        <w:t>0387/2022),</w:t>
      </w:r>
    </w:p>
    <w:p w:rsidR="00245096" w:rsidRDefault="00C2794B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245096" w:rsidRDefault="00C2794B">
      <w:pPr>
        <w:pStyle w:val="NormalHanging12a"/>
      </w:pPr>
      <w:r>
        <w:t>–</w:t>
      </w:r>
      <w:r>
        <w:tab/>
        <w:t>so zreteľom na stanovisko Európskeho hospodárskeho a sociálneho výboru z 22. marca 2023</w:t>
      </w:r>
      <w:r>
        <w:rPr>
          <w:rStyle w:val="FootnoteReference"/>
        </w:rPr>
        <w:footnoteReference w:id="1"/>
      </w:r>
      <w:r>
        <w:t>,</w:t>
      </w:r>
    </w:p>
    <w:p w:rsidR="00245096" w:rsidRDefault="00C2794B">
      <w:pPr>
        <w:pStyle w:val="NormalHanging12a"/>
      </w:pPr>
      <w:r>
        <w:t>–</w:t>
      </w:r>
      <w:r>
        <w:tab/>
        <w:t>so zreteľom na stanovisko Výboru regiónov z 24. mája 2023</w:t>
      </w:r>
      <w:r>
        <w:rPr>
          <w:rStyle w:val="FootnoteReference"/>
        </w:rPr>
        <w:footnoteReference w:id="2"/>
      </w:r>
      <w:r>
        <w:t>,</w:t>
      </w:r>
    </w:p>
    <w:p w:rsidR="00245096" w:rsidRDefault="00C2794B"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22. novembra 2023, schváliť pozíciu Európskeho parlamentu v súlade s článkom 294 ods. 4 Zmluvy o fungovaní Európskej únie,</w:t>
      </w:r>
    </w:p>
    <w:p w:rsidR="00245096" w:rsidRDefault="00C2794B">
      <w:pPr>
        <w:pStyle w:val="NormalHanging12a"/>
      </w:pPr>
      <w:r>
        <w:t>–</w:t>
      </w:r>
      <w:r>
        <w:tab/>
        <w:t>so zreteľom na článok 59 rokovacieho poriadku,</w:t>
      </w:r>
    </w:p>
    <w:p w:rsidR="00245096" w:rsidRDefault="0016711E">
      <w:pPr>
        <w:pStyle w:val="NormalHanging12a"/>
      </w:pPr>
      <w:r>
        <w:t>–</w:t>
      </w:r>
      <w:r>
        <w:tab/>
        <w:t>so zreteľom na stanoviská</w:t>
      </w:r>
      <w:r w:rsidR="00C2794B">
        <w:t xml:space="preserve"> Výboru pre občianske slobody, spravodlivosť a vnútorné veci </w:t>
      </w:r>
      <w:r w:rsidR="00C2794B">
        <w:lastRenderedPageBreak/>
        <w:t>a Výboru pre vnútorný trh a ochranu spotrebiteľa,</w:t>
      </w:r>
    </w:p>
    <w:p w:rsidR="00245096" w:rsidRDefault="00C2794B">
      <w:pPr>
        <w:pStyle w:val="NormalHanging12a"/>
      </w:pPr>
      <w:r>
        <w:t>–</w:t>
      </w:r>
      <w:r>
        <w:tab/>
        <w:t>so zreteľom na správu Výboru pre priemysel, výskum a energetiku (A9-0254/2023),</w:t>
      </w:r>
    </w:p>
    <w:p w:rsidR="00245096" w:rsidRDefault="00C2794B">
      <w:pPr>
        <w:pStyle w:val="NormalHanging12a"/>
      </w:pPr>
      <w:r>
        <w:t>1.</w:t>
      </w:r>
      <w:r>
        <w:tab/>
        <w:t>prijíma nasledujúcu pozíciu v prvom čítaní;</w:t>
      </w:r>
    </w:p>
    <w:p w:rsidR="00245096" w:rsidRDefault="00C2794B"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 w:rsidR="00BF0805" w:rsidRDefault="00C2794B">
      <w:pPr>
        <w:pStyle w:val="NormalHanging12a"/>
        <w:sectPr w:rsidR="00BF08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3.</w:t>
      </w:r>
      <w:r>
        <w:tab/>
        <w:t>poveruje svoju predsedníčku, aby postúpila túto pozíciu Rade, Komisii a národným parlamentom.</w:t>
      </w:r>
    </w:p>
    <w:p w:rsidR="00245096" w:rsidRDefault="00C2794B"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P9_TC1-COD(2022)0379</w:t>
      </w:r>
    </w:p>
    <w:p w:rsidR="00245096" w:rsidRDefault="00C2794B">
      <w:pPr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6. februára 2024 na účely prijatia nariadenia Európskeho parlamentu a Rady (EÚ) 2024/..., </w:t>
      </w:r>
      <w:r>
        <w:rPr>
          <w:rFonts w:eastAsia="Calibri"/>
          <w:b/>
          <w:szCs w:val="22"/>
          <w:lang w:eastAsia="en-US"/>
        </w:rPr>
        <w:t xml:space="preserve">ktorým sa stanovujú opatrenia na zabezpečenie vysokej úrovne </w:t>
      </w:r>
      <w:proofErr w:type="spellStart"/>
      <w:r>
        <w:rPr>
          <w:rFonts w:eastAsia="Calibri"/>
          <w:b/>
          <w:szCs w:val="22"/>
          <w:lang w:eastAsia="en-US"/>
        </w:rPr>
        <w:t>interoperability</w:t>
      </w:r>
      <w:proofErr w:type="spellEnd"/>
      <w:r>
        <w:rPr>
          <w:rFonts w:eastAsia="Calibri"/>
          <w:b/>
          <w:szCs w:val="22"/>
          <w:lang w:eastAsia="en-US"/>
        </w:rPr>
        <w:t xml:space="preserve"> verejného sektora v celej Únii (akt o </w:t>
      </w:r>
      <w:proofErr w:type="spellStart"/>
      <w:r>
        <w:rPr>
          <w:rFonts w:eastAsia="Calibri"/>
          <w:b/>
          <w:szCs w:val="22"/>
          <w:lang w:eastAsia="en-US"/>
        </w:rPr>
        <w:t>interoperabilnej</w:t>
      </w:r>
      <w:proofErr w:type="spellEnd"/>
      <w:r>
        <w:rPr>
          <w:rFonts w:eastAsia="Calibri"/>
          <w:b/>
          <w:szCs w:val="22"/>
          <w:lang w:eastAsia="en-US"/>
        </w:rPr>
        <w:t xml:space="preserve"> Európe)</w:t>
      </w:r>
    </w:p>
    <w:p w:rsidR="00E92FFA" w:rsidRDefault="00E92FFA" w:rsidP="00E92FFA">
      <w:pPr>
        <w:spacing w:before="360"/>
      </w:pPr>
      <w:r>
        <w:rPr>
          <w:i/>
          <w:iCs/>
        </w:rPr>
        <w:t>(Keďže bola dosiahnutá dohoda medzi Európskym parlamentom a Radou, pozícia Európskeho parlamentu zodpovedá záverečnému legislatívnemu aktu</w:t>
      </w:r>
      <w:r w:rsidRPr="00E92FFA">
        <w:rPr>
          <w:i/>
          <w:iCs/>
        </w:rPr>
        <w:t xml:space="preserve">, nariadeniu </w:t>
      </w:r>
      <w:r>
        <w:rPr>
          <w:i/>
          <w:iCs/>
        </w:rPr>
        <w:t>(EÚ) 2024/903</w:t>
      </w:r>
      <w:r w:rsidRPr="00E92FFA">
        <w:rPr>
          <w:i/>
          <w:iCs/>
        </w:rPr>
        <w:t>.)</w:t>
      </w:r>
    </w:p>
    <w:p w:rsidR="00E92FFA" w:rsidRDefault="00E92FFA">
      <w:pPr>
        <w:widowControl/>
        <w:spacing w:before="840" w:after="120" w:line="360" w:lineRule="auto"/>
        <w:rPr>
          <w:rFonts w:eastAsia="Calibri"/>
          <w:szCs w:val="22"/>
          <w:lang w:eastAsia="en-US"/>
        </w:rPr>
      </w:pPr>
    </w:p>
    <w:sectPr w:rsidR="00E92FF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096" w:rsidRDefault="00C2794B">
      <w:r>
        <w:separator/>
      </w:r>
    </w:p>
  </w:endnote>
  <w:endnote w:type="continuationSeparator" w:id="0">
    <w:p w:rsidR="00245096" w:rsidRDefault="00C27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096" w:rsidRDefault="00C2794B">
      <w:r>
        <w:separator/>
      </w:r>
    </w:p>
  </w:footnote>
  <w:footnote w:type="continuationSeparator" w:id="0">
    <w:p w:rsidR="00245096" w:rsidRDefault="00C2794B">
      <w:r>
        <w:continuationSeparator/>
      </w:r>
    </w:p>
  </w:footnote>
  <w:footnote w:id="1">
    <w:p w:rsidR="00245096" w:rsidRDefault="00C2794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184, 25.5.2023, s. 28.</w:t>
      </w:r>
    </w:p>
  </w:footnote>
  <w:footnote w:id="2">
    <w:p w:rsidR="00245096" w:rsidRDefault="00C2794B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C 257, </w:t>
      </w:r>
      <w:r>
        <w:rPr>
          <w:sz w:val="24"/>
          <w:lang w:val="sk-SK"/>
        </w:rPr>
        <w:t>21.7.2023</w:t>
      </w:r>
      <w:r w:rsidR="00A22B22">
        <w:rPr>
          <w:sz w:val="24"/>
          <w:lang w:val="sk-SK"/>
        </w:rPr>
        <w:t>,</w:t>
      </w:r>
      <w:bookmarkStart w:id="8" w:name="_GoBack"/>
      <w:bookmarkEnd w:id="8"/>
      <w:r>
        <w:rPr>
          <w:sz w:val="24"/>
          <w:lang w:val="sk-SK"/>
        </w:rPr>
        <w:t xml:space="preserve"> s.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096" w:rsidRDefault="002450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SK"/>
    <w:docVar w:name="dvnumam" w:val="93"/>
    <w:docVar w:name="dvpe" w:val="745.497"/>
    <w:docVar w:name="dvrapporteur" w:val="Spravodajca: "/>
    <w:docVar w:name="dvstar" w:val="***I"/>
    <w:docVar w:name="dvtitre" w:val="Legislatívne uznesenie Európskeho parlamentu z xx. februára 2024 o návrhu nariadenia Európskeho parlamentu a Rady, ktorým sa stanovujú opatrenia na zabezpečenie vysokej úrovne interoperability verejného sektora v celej Únii (akt o interoperabilnej Európe)(COM(2022)0720 – C9-0387/2022 – 2022/0379(COD))"/>
  </w:docVars>
  <w:rsids>
    <w:rsidRoot w:val="00245096"/>
    <w:rsid w:val="0016711E"/>
    <w:rsid w:val="00245096"/>
    <w:rsid w:val="00A22B22"/>
    <w:rsid w:val="00BF0805"/>
    <w:rsid w:val="00C2794B"/>
    <w:rsid w:val="00E9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7F164"/>
  <w15:chartTrackingRefBased/>
  <w15:docId w15:val="{CA4DCD22-D53C-46B1-8161-5B5BE21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1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ighlight-diff">
    <w:name w:val="highlight-diff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NormalRight">
    <w:name w:val="Normal Right"/>
    <w:basedOn w:val="Normal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1"/>
    <w:uiPriority w:val="9"/>
    <w:rPr>
      <w:b/>
      <w:bCs/>
      <w:smallCaps/>
      <w:sz w:val="24"/>
      <w:szCs w:val="28"/>
      <w:lang w:val="sk-SK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29"/>
      </w:numPr>
      <w:tabs>
        <w:tab w:val="clear" w:pos="850"/>
        <w:tab w:val="num" w:pos="1134"/>
        <w:tab w:val="num" w:pos="1701"/>
      </w:tabs>
      <w:ind w:left="1134" w:hanging="567"/>
    </w:pPr>
  </w:style>
  <w:style w:type="paragraph" w:customStyle="1" w:styleId="Tiret1">
    <w:name w:val="Tiret 1"/>
    <w:basedOn w:val="Point1"/>
    <w:pPr>
      <w:numPr>
        <w:numId w:val="30"/>
      </w:numPr>
      <w:tabs>
        <w:tab w:val="clear" w:pos="1417"/>
        <w:tab w:val="num" w:pos="1701"/>
        <w:tab w:val="num" w:pos="2268"/>
      </w:tabs>
      <w:spacing w:line="360" w:lineRule="auto"/>
      <w:ind w:left="1701"/>
    </w:pPr>
    <w:rPr>
      <w:rFonts w:eastAsia="Calibri"/>
    </w:rPr>
  </w:style>
  <w:style w:type="paragraph" w:customStyle="1" w:styleId="Tiret2">
    <w:name w:val="Tiret 2"/>
    <w:basedOn w:val="Point2"/>
    <w:pPr>
      <w:numPr>
        <w:numId w:val="31"/>
      </w:numPr>
      <w:tabs>
        <w:tab w:val="clear" w:pos="1984"/>
        <w:tab w:val="num" w:pos="2268"/>
        <w:tab w:val="num" w:pos="2835"/>
      </w:tabs>
      <w:spacing w:line="360" w:lineRule="auto"/>
      <w:ind w:left="2268"/>
    </w:pPr>
    <w:rPr>
      <w:rFonts w:eastAsia="Calibri"/>
    </w:rPr>
  </w:style>
  <w:style w:type="paragraph" w:customStyle="1" w:styleId="Tiret3">
    <w:name w:val="Tiret 3"/>
    <w:basedOn w:val="Point3"/>
    <w:pPr>
      <w:numPr>
        <w:numId w:val="32"/>
      </w:numPr>
      <w:tabs>
        <w:tab w:val="clear" w:pos="2551"/>
        <w:tab w:val="num" w:pos="567"/>
        <w:tab w:val="num" w:pos="2835"/>
      </w:tabs>
      <w:ind w:left="2835"/>
    </w:pPr>
  </w:style>
  <w:style w:type="paragraph" w:customStyle="1" w:styleId="Tiret4">
    <w:name w:val="Tiret 4"/>
    <w:basedOn w:val="Point4"/>
    <w:pPr>
      <w:numPr>
        <w:numId w:val="33"/>
      </w:numPr>
      <w:tabs>
        <w:tab w:val="clear" w:pos="3118"/>
        <w:tab w:val="num" w:pos="567"/>
        <w:tab w:val="num" w:pos="1134"/>
      </w:tabs>
      <w:ind w:left="567"/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27"/>
      </w:numPr>
      <w:tabs>
        <w:tab w:val="clear" w:pos="850"/>
        <w:tab w:val="num" w:pos="567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28"/>
      </w:numPr>
      <w:tabs>
        <w:tab w:val="clear" w:pos="1417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28"/>
      </w:numPr>
      <w:tabs>
        <w:tab w:val="clear" w:pos="850"/>
        <w:tab w:val="num" w:pos="567"/>
        <w:tab w:val="num" w:pos="1134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28"/>
      </w:numPr>
      <w:tabs>
        <w:tab w:val="clear" w:pos="2551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28"/>
      </w:numPr>
      <w:tabs>
        <w:tab w:val="clear" w:pos="3118"/>
        <w:tab w:val="num" w:pos="567"/>
        <w:tab w:val="num" w:pos="1134"/>
      </w:tabs>
      <w:spacing w:before="120" w:after="120" w:line="360" w:lineRule="auto"/>
      <w:ind w:left="567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  <w:pPr>
      <w:spacing w:line="360" w:lineRule="auto"/>
    </w:pPr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pPr>
      <w:spacing w:line="360" w:lineRule="auto"/>
    </w:pPr>
    <w:rPr>
      <w:rFonts w:eastAsia="Calibri"/>
    </w:rPr>
  </w:style>
  <w:style w:type="paragraph" w:customStyle="1" w:styleId="Volume">
    <w:name w:val="Volume"/>
    <w:basedOn w:val="Normal"/>
    <w:next w:val="Confidentialit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pPr>
      <w:spacing w:before="120" w:after="120" w:line="360" w:lineRule="auto"/>
      <w:jc w:val="both"/>
    </w:pPr>
    <w:rPr>
      <w:rFonts w:eastAsia="Calibri"/>
      <w:sz w:val="24"/>
      <w:szCs w:val="22"/>
      <w:lang w:val="sk-SK" w:eastAsia="en-US"/>
    </w:rPr>
  </w:style>
  <w:style w:type="character" w:customStyle="1" w:styleId="Footer2">
    <w:name w:val="Footer2"/>
    <w:uiPriority w:val="1"/>
    <w:qFormat/>
    <w:rPr>
      <w:rFonts w:ascii="Arial" w:hAnsi="Arial"/>
      <w:b/>
      <w:sz w:val="48"/>
    </w:rPr>
  </w:style>
  <w:style w:type="character" w:customStyle="1" w:styleId="Sub">
    <w:name w:val="Sub"/>
    <w:uiPriority w:val="1"/>
    <w:qFormat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Pr>
      <w:rFonts w:ascii="Times New Roman" w:hAnsi="Times New Roman"/>
      <w:i/>
    </w:rPr>
  </w:style>
  <w:style w:type="character" w:customStyle="1" w:styleId="Bold">
    <w:name w:val="Bold"/>
    <w:uiPriority w:val="1"/>
    <w:qFormat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pPr>
      <w:spacing w:before="120"/>
    </w:pPr>
  </w:style>
  <w:style w:type="paragraph" w:customStyle="1" w:styleId="TitlePar3">
    <w:name w:val="TitlePar 3"/>
    <w:basedOn w:val="TitlePar2"/>
    <w:qFormat/>
    <w:rPr>
      <w:b w:val="0"/>
      <w:i/>
    </w:rPr>
  </w:style>
  <w:style w:type="paragraph" w:customStyle="1" w:styleId="SubsectionTitle">
    <w:name w:val="SubsectionTitle"/>
    <w:basedOn w:val="SectionTitle"/>
    <w:qFormat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pPr>
      <w:spacing w:line="360" w:lineRule="auto"/>
    </w:pPr>
    <w:rPr>
      <w:rFonts w:eastAsia="Calibri"/>
      <w:b/>
    </w:rPr>
  </w:style>
  <w:style w:type="paragraph" w:customStyle="1" w:styleId="NumTitle">
    <w:name w:val="NumTitle"/>
    <w:basedOn w:val="Normal"/>
    <w:qFormat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pPr>
      <w:spacing w:line="360" w:lineRule="auto"/>
    </w:pPr>
    <w:rPr>
      <w:rFonts w:eastAsia="Calibri"/>
      <w:i w:val="0"/>
    </w:rPr>
  </w:style>
  <w:style w:type="paragraph" w:customStyle="1" w:styleId="Text0">
    <w:name w:val="Text 0"/>
    <w:basedOn w:val="Normal"/>
    <w:qFormat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pPr>
      <w:keepNext w:val="0"/>
      <w:spacing w:before="360" w:after="120" w:line="360" w:lineRule="auto"/>
    </w:pPr>
    <w:rPr>
      <w:rFonts w:eastAsia="Calibri"/>
      <w:b w:val="0"/>
      <w:sz w:val="28"/>
    </w:rPr>
  </w:style>
  <w:style w:type="paragraph" w:customStyle="1" w:styleId="PartNum">
    <w:name w:val="PartNum"/>
    <w:basedOn w:val="PartTitle"/>
    <w:qFormat/>
    <w:pPr>
      <w:spacing w:before="360" w:after="120"/>
    </w:pPr>
  </w:style>
  <w:style w:type="paragraph" w:customStyle="1" w:styleId="SectionNum">
    <w:name w:val="SectionNum"/>
    <w:basedOn w:val="SectionTitle"/>
    <w:qFormat/>
    <w:pPr>
      <w:spacing w:before="360" w:after="120"/>
    </w:pPr>
  </w:style>
  <w:style w:type="paragraph" w:customStyle="1" w:styleId="TitleHeading">
    <w:name w:val="TitleHeading"/>
    <w:basedOn w:val="NumTitle"/>
    <w:qFormat/>
    <w:pPr>
      <w:spacing w:before="120" w:after="360"/>
    </w:pPr>
  </w:style>
  <w:style w:type="character" w:customStyle="1" w:styleId="SubItalic">
    <w:name w:val="SubItalic"/>
    <w:basedOn w:val="Italic"/>
    <w:uiPriority w:val="1"/>
    <w:qFormat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pPr>
      <w:ind w:left="4253"/>
    </w:pPr>
  </w:style>
  <w:style w:type="paragraph" w:styleId="Revision">
    <w:name w:val="Revision"/>
    <w:hidden/>
    <w:uiPriority w:val="99"/>
    <w:semiHidden/>
    <w:rPr>
      <w:rFonts w:eastAsia="Calibri"/>
      <w:sz w:val="24"/>
      <w:szCs w:val="22"/>
      <w:lang w:val="sk-SK" w:eastAsia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Calibri"/>
      <w:lang w:val="sk-SK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="Calibri"/>
      <w:b/>
      <w:bCs/>
      <w:lang w:val="sk-SK" w:eastAsia="en-US"/>
    </w:rPr>
  </w:style>
  <w:style w:type="character" w:customStyle="1" w:styleId="Hyperlink1">
    <w:name w:val="Hyperlink1"/>
    <w:basedOn w:val="DefaultParagraphFont"/>
    <w:unhideWhenUsed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k-SK" w:eastAsia="en-US"/>
    </w:rPr>
  </w:style>
  <w:style w:type="character" w:customStyle="1" w:styleId="Heading2Char1">
    <w:name w:val="Heading 2 Char1"/>
    <w:basedOn w:val="DefaultParagraphFont"/>
    <w:uiPriority w:val="9"/>
    <w:semiHidden/>
    <w:rPr>
      <w:rFonts w:ascii="Cambria" w:eastAsia="Malgun Gothic" w:hAnsi="Cambria" w:cs="Times New Roman"/>
      <w:color w:val="365F91"/>
      <w:sz w:val="26"/>
      <w:szCs w:val="26"/>
      <w:lang w:val="sk-SK"/>
    </w:rPr>
  </w:style>
  <w:style w:type="character" w:customStyle="1" w:styleId="Heading3Char1">
    <w:name w:val="Heading 3 Char1"/>
    <w:basedOn w:val="DefaultParagraphFont"/>
    <w:uiPriority w:val="9"/>
    <w:semiHidden/>
    <w:rPr>
      <w:rFonts w:ascii="Cambria" w:eastAsia="Malgun Gothic" w:hAnsi="Cambria" w:cs="Times New Roman"/>
      <w:color w:val="243F60"/>
      <w:sz w:val="24"/>
      <w:szCs w:val="24"/>
      <w:lang w:val="sk-SK"/>
    </w:rPr>
  </w:style>
  <w:style w:type="character" w:customStyle="1" w:styleId="Heading4Char1">
    <w:name w:val="Heading 4 Char1"/>
    <w:basedOn w:val="DefaultParagraphFont"/>
    <w:uiPriority w:val="9"/>
    <w:semiHidden/>
    <w:rPr>
      <w:rFonts w:ascii="Cambria" w:eastAsia="Malgun Gothic" w:hAnsi="Cambria" w:cs="Times New Roman"/>
      <w:i/>
      <w:iCs/>
      <w:color w:val="365F91"/>
      <w:sz w:val="24"/>
      <w:lang w:val="sk-SK"/>
    </w:rPr>
  </w:style>
  <w:style w:type="character" w:customStyle="1" w:styleId="Hyperlink2">
    <w:name w:val="Hyperlink2"/>
    <w:basedOn w:val="DefaultParagraphFont"/>
    <w:uiPriority w:val="99"/>
    <w:unhideWhenUsed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Pr>
      <w:rFonts w:eastAsia="Calibri" w:cs="Arial"/>
      <w:sz w:val="24"/>
      <w:szCs w:val="22"/>
      <w:lang w:val="sk-SK" w:eastAsia="en-US"/>
    </w:rPr>
  </w:style>
  <w:style w:type="paragraph" w:styleId="NormalIndent">
    <w:name w:val="Normal Indent"/>
    <w:basedOn w:val="Normal"/>
    <w:unhideWhenUsed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pPr>
      <w:jc w:val="right"/>
    </w:pPr>
    <w:rPr>
      <w:b/>
    </w:rPr>
  </w:style>
  <w:style w:type="paragraph" w:customStyle="1" w:styleId="NormalConseil">
    <w:name w:val="NormalConseil"/>
    <w:basedOn w:val="Normal"/>
    <w:pPr>
      <w:widowControl/>
    </w:pPr>
    <w:rPr>
      <w:lang w:eastAsia="fr-BE"/>
    </w:rPr>
  </w:style>
  <w:style w:type="paragraph" w:customStyle="1" w:styleId="EntRefer">
    <w:name w:val="EntRefer"/>
    <w:basedOn w:val="NormalConseil"/>
    <w:rPr>
      <w:b/>
    </w:rPr>
  </w:style>
  <w:style w:type="paragraph" w:customStyle="1" w:styleId="EntEmet">
    <w:name w:val="EntEmet"/>
    <w:basedOn w:val="NormalConsei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</w:style>
  <w:style w:type="paragraph" w:customStyle="1" w:styleId="Caption1">
    <w:name w:val="Caption1"/>
    <w:basedOn w:val="Normal"/>
    <w:next w:val="Normal"/>
    <w:uiPriority w:val="35"/>
    <w:semiHidden/>
    <w:unhideWhenUsed/>
    <w:qFormat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pPr>
      <w:widowControl/>
      <w:tabs>
        <w:tab w:val="num" w:pos="567"/>
      </w:tabs>
      <w:spacing w:before="120" w:after="120"/>
      <w:ind w:left="56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Pr>
      <w:rFonts w:eastAsia="Calibri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Pr>
      <w:rFonts w:eastAsia="Calibri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link w:val="HeaderCouncil"/>
    <w:rPr>
      <w:rFonts w:eastAsia="Calibri"/>
      <w:sz w:val="2"/>
      <w:szCs w:val="22"/>
      <w:lang w:val="sk-SK" w:eastAsia="en-US"/>
    </w:rPr>
  </w:style>
  <w:style w:type="character" w:customStyle="1" w:styleId="FooterCouncilChar">
    <w:name w:val="Footer Council Char"/>
    <w:basedOn w:val="DefaultParagraphFont"/>
    <w:link w:val="FooterCouncil"/>
    <w:rPr>
      <w:rFonts w:eastAsia="Calibri"/>
      <w:sz w:val="2"/>
      <w:szCs w:val="22"/>
      <w:lang w:val="sk-SK" w:eastAsia="en-US"/>
    </w:rPr>
  </w:style>
  <w:style w:type="numbering" w:customStyle="1" w:styleId="NoList2">
    <w:name w:val="No List2"/>
    <w:next w:val="NoList"/>
    <w:semiHidden/>
  </w:style>
  <w:style w:type="numbering" w:customStyle="1" w:styleId="NoList3">
    <w:name w:val="No List3"/>
    <w:next w:val="NoList"/>
    <w:uiPriority w:val="99"/>
    <w:semiHidden/>
    <w:unhideWhenUsed/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Pr>
      <w:rFonts w:eastAsia="Calibri"/>
      <w:b/>
      <w:sz w:val="24"/>
      <w:szCs w:val="22"/>
      <w:u w:val="single"/>
      <w:lang w:val="sk-SK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paragraph" w:customStyle="1" w:styleId="msonormal0">
    <w:name w:val="msonormal"/>
    <w:basedOn w:val="Normal"/>
    <w:uiPriority w:val="99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Pr>
      <w:rFonts w:ascii="Times New Roman" w:hAnsi="Times New Roman" w:cs="Times New Roman"/>
      <w:sz w:val="20"/>
      <w:szCs w:val="20"/>
      <w:lang w:val="sk-SK"/>
    </w:rPr>
  </w:style>
  <w:style w:type="paragraph" w:customStyle="1" w:styleId="paragraph">
    <w:name w:val="paragraph"/>
    <w:basedOn w:val="Normal"/>
    <w:uiPriority w:val="1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numbering" w:customStyle="1" w:styleId="NoList12">
    <w:name w:val="No List12"/>
    <w:next w:val="NoList"/>
    <w:uiPriority w:val="99"/>
    <w:semiHidden/>
    <w:unhideWhenUsed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</w:style>
  <w:style w:type="paragraph" w:customStyle="1" w:styleId="sti-art">
    <w:name w:val="sti-art"/>
    <w:basedOn w:val="Normal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</w:style>
  <w:style w:type="paragraph" w:customStyle="1" w:styleId="Heading51">
    <w:name w:val="Heading 5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34"/>
      </w:numPr>
      <w:tabs>
        <w:tab w:val="clear" w:pos="3685"/>
        <w:tab w:val="num" w:pos="56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35"/>
      </w:numPr>
      <w:tabs>
        <w:tab w:val="clear" w:pos="4252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36"/>
      </w:numPr>
      <w:tabs>
        <w:tab w:val="clear" w:pos="4819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37"/>
      </w:numPr>
      <w:tabs>
        <w:tab w:val="clear" w:pos="5386"/>
        <w:tab w:val="num" w:pos="709"/>
        <w:tab w:val="num" w:pos="2835"/>
      </w:tabs>
      <w:spacing w:before="120" w:after="120" w:line="360" w:lineRule="auto"/>
      <w:ind w:left="2835" w:hanging="709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38"/>
      </w:numPr>
      <w:tabs>
        <w:tab w:val="clear" w:pos="3685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39"/>
      </w:numPr>
      <w:tabs>
        <w:tab w:val="clear" w:pos="4252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4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41"/>
      </w:numPr>
      <w:tabs>
        <w:tab w:val="clear" w:pos="5386"/>
        <w:tab w:val="num" w:pos="850"/>
        <w:tab w:val="num" w:pos="1417"/>
      </w:tabs>
      <w:spacing w:before="120" w:after="120" w:line="360" w:lineRule="auto"/>
      <w:ind w:left="1417" w:hanging="850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character" w:customStyle="1" w:styleId="Heading5Char1">
    <w:name w:val="Heading 5 Char1"/>
    <w:basedOn w:val="DefaultParagraphFont"/>
    <w:uiPriority w:val="9"/>
    <w:semiHidden/>
    <w:rPr>
      <w:rFonts w:ascii="Cambria" w:eastAsia="Malgun Gothic" w:hAnsi="Cambria" w:cs="Times New Roman"/>
      <w:color w:val="365F91"/>
      <w:sz w:val="24"/>
      <w:lang w:val="sk-SK"/>
    </w:rPr>
  </w:style>
  <w:style w:type="character" w:customStyle="1" w:styleId="Heading6Char1">
    <w:name w:val="Heading 6 Char1"/>
    <w:basedOn w:val="DefaultParagraphFont"/>
    <w:uiPriority w:val="9"/>
    <w:semiHidden/>
    <w:rPr>
      <w:rFonts w:ascii="Cambria" w:eastAsia="Malgun Gothic" w:hAnsi="Cambria" w:cs="Times New Roman"/>
      <w:color w:val="243F60"/>
      <w:sz w:val="24"/>
      <w:lang w:val="sk-SK"/>
    </w:rPr>
  </w:style>
  <w:style w:type="character" w:customStyle="1" w:styleId="Heading7Char1">
    <w:name w:val="Heading 7 Char1"/>
    <w:basedOn w:val="DefaultParagraphFont"/>
    <w:uiPriority w:val="9"/>
    <w:semiHidden/>
    <w:rPr>
      <w:rFonts w:ascii="Cambria" w:eastAsia="Malgun Gothic" w:hAnsi="Cambria" w:cs="Times New Roman"/>
      <w:i/>
      <w:iCs/>
      <w:color w:val="243F60"/>
      <w:sz w:val="24"/>
      <w:lang w:val="sk-SK"/>
    </w:rPr>
  </w:style>
  <w:style w:type="paragraph" w:customStyle="1" w:styleId="index">
    <w:name w:val="index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</w:style>
  <w:style w:type="numbering" w:customStyle="1" w:styleId="NoList14">
    <w:name w:val="No List14"/>
    <w:next w:val="NoList"/>
    <w:uiPriority w:val="99"/>
    <w:semiHidden/>
    <w:unhideWhenUsed/>
  </w:style>
  <w:style w:type="numbering" w:customStyle="1" w:styleId="NoList1111">
    <w:name w:val="No List1111"/>
    <w:next w:val="NoList"/>
    <w:uiPriority w:val="99"/>
    <w:semiHidden/>
    <w:unhideWhenUsed/>
  </w:style>
  <w:style w:type="numbering" w:customStyle="1" w:styleId="NoList21">
    <w:name w:val="No List21"/>
    <w:next w:val="NoList"/>
    <w:semiHidden/>
  </w:style>
  <w:style w:type="numbering" w:customStyle="1" w:styleId="NoList31">
    <w:name w:val="No List31"/>
    <w:next w:val="NoList"/>
    <w:uiPriority w:val="99"/>
    <w:semiHidden/>
    <w:unhideWhenUsed/>
  </w:style>
  <w:style w:type="numbering" w:customStyle="1" w:styleId="NoList121">
    <w:name w:val="No List121"/>
    <w:next w:val="NoList"/>
    <w:uiPriority w:val="99"/>
    <w:semiHidden/>
    <w:unhideWhenUsed/>
  </w:style>
  <w:style w:type="numbering" w:customStyle="1" w:styleId="NoList41">
    <w:name w:val="No List41"/>
    <w:next w:val="NoList"/>
    <w:uiPriority w:val="99"/>
    <w:semiHidden/>
    <w:unhideWhenUsed/>
  </w:style>
  <w:style w:type="numbering" w:customStyle="1" w:styleId="NoList131">
    <w:name w:val="No List131"/>
    <w:next w:val="NoList"/>
    <w:uiPriority w:val="99"/>
    <w:semiHidden/>
    <w:unhideWhenUsed/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81F1E-B4DE-45A1-B70A-215B5844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316</Words>
  <Characters>2114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LL_Start</cp:lastModifiedBy>
  <cp:revision>2</cp:revision>
  <cp:lastPrinted>2004-11-19T15:42:00Z</cp:lastPrinted>
  <dcterms:created xsi:type="dcterms:W3CDTF">2024-06-13T09:52:00Z</dcterms:created>
  <dcterms:modified xsi:type="dcterms:W3CDTF">2024-06-13T09:52:00Z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