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F16CE">
        <w:trPr>
          <w:trHeight w:hRule="exact" w:val="1418"/>
        </w:trPr>
        <w:tc>
          <w:tcPr>
            <w:tcW w:w="6804" w:type="dxa"/>
            <w:shd w:val="clear" w:color="auto" w:fill="auto"/>
            <w:vAlign w:val="center"/>
          </w:tcPr>
          <w:p w:rsidR="003F16CE" w:rsidRDefault="00E46C39">
            <w:pPr>
              <w:pStyle w:val="EPName"/>
            </w:pPr>
            <w:r>
              <w:t>Európsky parlament</w:t>
            </w:r>
          </w:p>
          <w:p w:rsidR="003F16CE" w:rsidRDefault="00E46C39">
            <w:pPr>
              <w:pStyle w:val="EPTerm"/>
              <w:rPr>
                <w:rStyle w:val="HideTWBExt"/>
                <w:noProof w:val="0"/>
                <w:vanish w:val="0"/>
                <w:color w:val="auto"/>
              </w:rPr>
            </w:pPr>
            <w:r w:rsidRPr="00146A8F">
              <w:t>2019</w:t>
            </w:r>
            <w:r>
              <w:t>-</w:t>
            </w:r>
            <w:r w:rsidRPr="00146A8F">
              <w:t>2024</w:t>
            </w:r>
          </w:p>
        </w:tc>
        <w:tc>
          <w:tcPr>
            <w:tcW w:w="2268" w:type="dxa"/>
            <w:shd w:val="clear" w:color="auto" w:fill="auto"/>
          </w:tcPr>
          <w:p w:rsidR="003F16CE" w:rsidRDefault="00E46C39">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F16CE" w:rsidRDefault="003F16CE">
      <w:pPr>
        <w:pStyle w:val="LineTop"/>
      </w:pPr>
    </w:p>
    <w:p w:rsidR="003F16CE" w:rsidRDefault="00E46C39">
      <w:pPr>
        <w:pStyle w:val="EPBodyTA1"/>
      </w:pPr>
      <w:r>
        <w:t>PRIJATÉ TEXTY</w:t>
      </w:r>
    </w:p>
    <w:p w:rsidR="003F16CE" w:rsidRDefault="003F16CE">
      <w:pPr>
        <w:pStyle w:val="LineBottom"/>
      </w:pPr>
    </w:p>
    <w:p w:rsidR="003F16CE" w:rsidRDefault="00E46C39">
      <w:pPr>
        <w:pStyle w:val="ATHeading1"/>
      </w:pPr>
      <w:bookmarkStart w:id="0" w:name="TANumber"/>
      <w:r>
        <w:t>P</w:t>
      </w:r>
      <w:r w:rsidRPr="00146A8F">
        <w:t>9</w:t>
      </w:r>
      <w:r>
        <w:t>_TA(</w:t>
      </w:r>
      <w:r w:rsidRPr="00146A8F">
        <w:t>2024</w:t>
      </w:r>
      <w:r>
        <w:t>)</w:t>
      </w:r>
      <w:r w:rsidRPr="00146A8F">
        <w:t>0061</w:t>
      </w:r>
      <w:bookmarkEnd w:id="0"/>
    </w:p>
    <w:p w:rsidR="003F16CE" w:rsidRDefault="00E46C39">
      <w:pPr>
        <w:pStyle w:val="ATHeading2"/>
      </w:pPr>
      <w:bookmarkStart w:id="1" w:name="title"/>
      <w:r>
        <w:t xml:space="preserve">Zmeny nariadenia o riadiacich, ochranných a kontrolných opatreniach uplatniteľných v oblasti dohovoru ICCAT a nariadenia o viacročnom pláne riadenia populácie tuniaka </w:t>
      </w:r>
      <w:proofErr w:type="spellStart"/>
      <w:r>
        <w:t>modroplutvého</w:t>
      </w:r>
      <w:proofErr w:type="spellEnd"/>
      <w:r>
        <w:t xml:space="preserve"> vo východnej časti Atlantického oceánu a v Stredozemnom mori</w:t>
      </w:r>
      <w:bookmarkEnd w:id="1"/>
    </w:p>
    <w:p w:rsidR="003F16CE" w:rsidRDefault="00E46C39">
      <w:pPr>
        <w:rPr>
          <w:i/>
          <w:vanish/>
        </w:rPr>
      </w:pPr>
      <w:r>
        <w:rPr>
          <w:i/>
        </w:rPr>
        <w:fldChar w:fldCharType="begin"/>
      </w:r>
      <w:r>
        <w:rPr>
          <w:i/>
        </w:rPr>
        <w:instrText xml:space="preserve"> TC"(</w:instrText>
      </w:r>
      <w:bookmarkStart w:id="2" w:name="DocNumber"/>
      <w:r>
        <w:rPr>
          <w:i/>
        </w:rPr>
        <w:instrText>A</w:instrText>
      </w:r>
      <w:r w:rsidRPr="00146A8F">
        <w:rPr>
          <w:i/>
        </w:rPr>
        <w:instrText>9</w:instrText>
      </w:r>
      <w:r>
        <w:rPr>
          <w:i/>
        </w:rPr>
        <w:instrText>-</w:instrText>
      </w:r>
      <w:r w:rsidRPr="00146A8F">
        <w:rPr>
          <w:i/>
        </w:rPr>
        <w:instrText>0301</w:instrText>
      </w:r>
      <w:r>
        <w:rPr>
          <w:i/>
        </w:rPr>
        <w:instrText>/</w:instrText>
      </w:r>
      <w:r w:rsidRPr="00146A8F">
        <w:rPr>
          <w:i/>
        </w:rPr>
        <w:instrText>2023</w:instrText>
      </w:r>
      <w:bookmarkEnd w:id="2"/>
      <w:r>
        <w:rPr>
          <w:i/>
        </w:rPr>
        <w:instrText xml:space="preserve"> - Spravodajkyňa: </w:instrText>
      </w:r>
      <w:proofErr w:type="spellStart"/>
      <w:r>
        <w:rPr>
          <w:i/>
        </w:rPr>
        <w:instrText>Clara</w:instrText>
      </w:r>
      <w:proofErr w:type="spellEnd"/>
      <w:r>
        <w:rPr>
          <w:i/>
        </w:rPr>
        <w:instrText xml:space="preserve"> </w:instrText>
      </w:r>
      <w:proofErr w:type="spellStart"/>
      <w:r>
        <w:rPr>
          <w:i/>
        </w:rPr>
        <w:instrText>Aguilera</w:instrText>
      </w:r>
      <w:proofErr w:type="spellEnd"/>
      <w:r>
        <w:rPr>
          <w:i/>
        </w:rPr>
        <w:instrText>)"\l</w:instrText>
      </w:r>
      <w:r w:rsidRPr="00146A8F">
        <w:rPr>
          <w:i/>
        </w:rPr>
        <w:instrText>3</w:instrText>
      </w:r>
      <w:r>
        <w:rPr>
          <w:i/>
        </w:rPr>
        <w:instrText xml:space="preserve"> \n&gt; \* MERGEFORMAT </w:instrText>
      </w:r>
      <w:r>
        <w:rPr>
          <w:i/>
        </w:rPr>
        <w:fldChar w:fldCharType="end"/>
      </w:r>
    </w:p>
    <w:p w:rsidR="003F16CE" w:rsidRDefault="00E46C39">
      <w:pPr>
        <w:rPr>
          <w:vanish/>
        </w:rPr>
      </w:pPr>
      <w:bookmarkStart w:id="3" w:name="Commission"/>
      <w:r>
        <w:rPr>
          <w:vanish/>
        </w:rPr>
        <w:t>Výbor pre rybárstvo</w:t>
      </w:r>
      <w:bookmarkEnd w:id="3"/>
    </w:p>
    <w:p w:rsidR="003F16CE" w:rsidRDefault="00E46C39">
      <w:pPr>
        <w:rPr>
          <w:vanish/>
        </w:rPr>
      </w:pPr>
      <w:bookmarkStart w:id="4" w:name="PE"/>
      <w:r>
        <w:rPr>
          <w:vanish/>
        </w:rPr>
        <w:t>PE</w:t>
      </w:r>
      <w:r w:rsidRPr="00146A8F">
        <w:rPr>
          <w:vanish/>
        </w:rPr>
        <w:t>750</w:t>
      </w:r>
      <w:r>
        <w:rPr>
          <w:vanish/>
        </w:rPr>
        <w:t>.</w:t>
      </w:r>
      <w:r w:rsidRPr="00146A8F">
        <w:rPr>
          <w:vanish/>
        </w:rPr>
        <w:t>194</w:t>
      </w:r>
      <w:bookmarkEnd w:id="4"/>
    </w:p>
    <w:p w:rsidR="003F16CE" w:rsidRDefault="00E46C39">
      <w:pPr>
        <w:pStyle w:val="ATHeading3"/>
      </w:pPr>
      <w:bookmarkStart w:id="5" w:name="Sujet"/>
      <w:r>
        <w:t xml:space="preserve">Legislatívne uznesenie Európskeho parlamentu zo </w:t>
      </w:r>
      <w:r w:rsidRPr="00146A8F">
        <w:t>6</w:t>
      </w:r>
      <w:r>
        <w:t xml:space="preserve">. februára </w:t>
      </w:r>
      <w:r w:rsidRPr="00146A8F">
        <w:t>2024</w:t>
      </w:r>
      <w:r>
        <w:t xml:space="preserve"> o návrhu nariadenia Európskeho parlamentu a Rady, ktorým sa mení nariadenie (EÚ) </w:t>
      </w:r>
      <w:r w:rsidRPr="00146A8F">
        <w:t>2017</w:t>
      </w:r>
      <w:r>
        <w:t>/</w:t>
      </w:r>
      <w:r w:rsidRPr="00146A8F">
        <w:t>2107</w:t>
      </w:r>
      <w:r>
        <w:t>, ktorým sa stanovujú riadiace, ochranné a kontrolné opatrenia uplatniteľné v oblasti dohovoru Medzinárodnej komisie pre zachovanie atlantických tuniakov (ICCAT), a nariadenie (EÚ) …/</w:t>
      </w:r>
      <w:r w:rsidRPr="00146A8F">
        <w:t>2022</w:t>
      </w:r>
      <w:r>
        <w:t xml:space="preserve">, ktorým sa stanovuje viacročný plán riadenia populácie tuniaka </w:t>
      </w:r>
      <w:proofErr w:type="spellStart"/>
      <w:r>
        <w:t>modroplutvého</w:t>
      </w:r>
      <w:proofErr w:type="spellEnd"/>
      <w:r>
        <w:t xml:space="preserve"> vo východnej časti Atlantického oceánu a v Stredozemnom mori</w:t>
      </w:r>
      <w:bookmarkEnd w:id="5"/>
      <w:r>
        <w:t xml:space="preserve"> </w:t>
      </w:r>
      <w:bookmarkStart w:id="6" w:name="References"/>
      <w:r>
        <w:t>(COM(</w:t>
      </w:r>
      <w:r w:rsidRPr="00146A8F">
        <w:t>2022</w:t>
      </w:r>
      <w:r>
        <w:t>)</w:t>
      </w:r>
      <w:r w:rsidRPr="00146A8F">
        <w:t>0171</w:t>
      </w:r>
      <w:r>
        <w:t xml:space="preserve"> – C</w:t>
      </w:r>
      <w:r w:rsidRPr="00146A8F">
        <w:t>9</w:t>
      </w:r>
      <w:r>
        <w:t>-</w:t>
      </w:r>
      <w:r w:rsidRPr="00146A8F">
        <w:t>0151</w:t>
      </w:r>
      <w:r>
        <w:t>/</w:t>
      </w:r>
      <w:r w:rsidRPr="00146A8F">
        <w:t>2022</w:t>
      </w:r>
      <w:r>
        <w:t xml:space="preserve"> – </w:t>
      </w:r>
      <w:r w:rsidRPr="00146A8F">
        <w:t>2022</w:t>
      </w:r>
      <w:r>
        <w:t>/</w:t>
      </w:r>
      <w:r w:rsidRPr="00146A8F">
        <w:t>0111</w:t>
      </w:r>
      <w:r>
        <w:t>(COD))</w:t>
      </w:r>
      <w:bookmarkEnd w:id="6"/>
    </w:p>
    <w:p w:rsidR="003F16CE" w:rsidRDefault="003F16CE"/>
    <w:p w:rsidR="003F16CE" w:rsidRDefault="00E46C39">
      <w:pPr>
        <w:pStyle w:val="NormalBold"/>
      </w:pPr>
      <w:bookmarkStart w:id="7" w:name="TextBodyBegin"/>
      <w:bookmarkEnd w:id="7"/>
      <w:r>
        <w:t>(Riadny legislatívny postup: prvé čítanie)</w:t>
      </w:r>
    </w:p>
    <w:p w:rsidR="003F16CE" w:rsidRDefault="00E46C39">
      <w:pPr>
        <w:pStyle w:val="EPComma"/>
      </w:pPr>
      <w:r>
        <w:rPr>
          <w:i/>
        </w:rPr>
        <w:t>Európsky parlament</w:t>
      </w:r>
      <w:r>
        <w:t>,</w:t>
      </w:r>
    </w:p>
    <w:p w:rsidR="003F16CE" w:rsidRDefault="00E46C39">
      <w:pPr>
        <w:pStyle w:val="NormalHanging12a"/>
      </w:pPr>
      <w:r>
        <w:t>–</w:t>
      </w:r>
      <w:r>
        <w:tab/>
        <w:t>so zreteľom na návrh Komisie pre Európsky parlament a Radu (COM(</w:t>
      </w:r>
      <w:r w:rsidRPr="00146A8F">
        <w:t>2022</w:t>
      </w:r>
      <w:r>
        <w:t>)</w:t>
      </w:r>
      <w:r w:rsidRPr="00146A8F">
        <w:t>0171</w:t>
      </w:r>
      <w:r>
        <w:t>),</w:t>
      </w:r>
    </w:p>
    <w:p w:rsidR="003F16CE" w:rsidRDefault="00E46C39">
      <w:pPr>
        <w:pStyle w:val="NormalHanging12a"/>
      </w:pPr>
      <w:r>
        <w:t>–</w:t>
      </w:r>
      <w:r>
        <w:tab/>
        <w:t xml:space="preserve">so zreteľom na článok </w:t>
      </w:r>
      <w:r w:rsidRPr="00146A8F">
        <w:t>294</w:t>
      </w:r>
      <w:r>
        <w:t xml:space="preserve"> ods. </w:t>
      </w:r>
      <w:r w:rsidRPr="00146A8F">
        <w:t>2</w:t>
      </w:r>
      <w:r>
        <w:t xml:space="preserve"> a článok </w:t>
      </w:r>
      <w:r w:rsidRPr="00146A8F">
        <w:t>43</w:t>
      </w:r>
      <w:r>
        <w:t xml:space="preserve"> ods. </w:t>
      </w:r>
      <w:r w:rsidRPr="00146A8F">
        <w:t>2</w:t>
      </w:r>
      <w:r>
        <w:t xml:space="preserve"> Zmluvy o fungovaní Európskej únie, v súlade s ktorými Komisia predložila návrh Európskemu parlamentu (C</w:t>
      </w:r>
      <w:r w:rsidRPr="00146A8F">
        <w:t>9</w:t>
      </w:r>
      <w:r>
        <w:noBreakHyphen/>
      </w:r>
      <w:r w:rsidRPr="00146A8F">
        <w:t>0151</w:t>
      </w:r>
      <w:r>
        <w:t>/</w:t>
      </w:r>
      <w:r w:rsidRPr="00146A8F">
        <w:t>2022</w:t>
      </w:r>
      <w:r>
        <w:t>),</w:t>
      </w:r>
    </w:p>
    <w:p w:rsidR="003F16CE" w:rsidRDefault="00E46C39">
      <w:pPr>
        <w:pStyle w:val="NormalHanging12a"/>
      </w:pPr>
      <w:r>
        <w:t>–</w:t>
      </w:r>
      <w:r>
        <w:tab/>
        <w:t xml:space="preserve">so zreteľom na článok </w:t>
      </w:r>
      <w:r w:rsidRPr="00146A8F">
        <w:t>294</w:t>
      </w:r>
      <w:r>
        <w:t xml:space="preserve"> ods. </w:t>
      </w:r>
      <w:r w:rsidRPr="00146A8F">
        <w:t>3</w:t>
      </w:r>
      <w:r>
        <w:t xml:space="preserve"> Zmluvy o fungovaní Európskej únie,</w:t>
      </w:r>
    </w:p>
    <w:p w:rsidR="003F16CE" w:rsidRDefault="00E46C39">
      <w:pPr>
        <w:pStyle w:val="NormalHanging12a"/>
      </w:pPr>
      <w:r>
        <w:t>–</w:t>
      </w:r>
      <w:r>
        <w:tab/>
        <w:t>so zreteľom na stanovisko Európskeho hospodárskeho a sociálneho výboru z </w:t>
      </w:r>
      <w:r w:rsidRPr="00146A8F">
        <w:t>15</w:t>
      </w:r>
      <w:r>
        <w:t>. júna </w:t>
      </w:r>
      <w:r w:rsidRPr="00146A8F">
        <w:t>2022</w:t>
      </w:r>
      <w:r>
        <w:rPr>
          <w:rStyle w:val="FootnoteReference"/>
        </w:rPr>
        <w:footnoteReference w:id="1"/>
      </w:r>
      <w:r>
        <w:t>,</w:t>
      </w:r>
    </w:p>
    <w:p w:rsidR="003F16CE" w:rsidRDefault="00E46C39">
      <w:pPr>
        <w:pStyle w:val="NormalHanging12a"/>
      </w:pPr>
      <w:r>
        <w:t>–</w:t>
      </w:r>
      <w:r>
        <w:tab/>
        <w:t xml:space="preserve">so zreteľom na predbežnú dohodu schválenú gestorským výborom podľa článku </w:t>
      </w:r>
      <w:r w:rsidRPr="00146A8F">
        <w:t>74</w:t>
      </w:r>
      <w:r>
        <w:t xml:space="preserve"> ods. </w:t>
      </w:r>
      <w:r w:rsidRPr="00146A8F">
        <w:t>4</w:t>
      </w:r>
      <w:r>
        <w:t xml:space="preserve"> rokovacieho poriadku, a na záväzok zástupcu Rady, vyjadrený v liste z </w:t>
      </w:r>
      <w:r w:rsidRPr="00146A8F">
        <w:t>27</w:t>
      </w:r>
      <w:r>
        <w:t>. novembra </w:t>
      </w:r>
      <w:r w:rsidRPr="00146A8F">
        <w:t>2023</w:t>
      </w:r>
      <w:r>
        <w:t xml:space="preserve">, schváliť pozíciu Európskeho parlamentu v súlade s článkom </w:t>
      </w:r>
      <w:r w:rsidRPr="00146A8F">
        <w:t>294</w:t>
      </w:r>
      <w:r>
        <w:t xml:space="preserve"> ods. </w:t>
      </w:r>
      <w:r w:rsidRPr="00146A8F">
        <w:t>4</w:t>
      </w:r>
      <w:r>
        <w:t xml:space="preserve"> Zmluvy o fungovaní Európskej únie,</w:t>
      </w:r>
    </w:p>
    <w:p w:rsidR="003F16CE" w:rsidRDefault="00E46C39">
      <w:pPr>
        <w:pStyle w:val="NormalHanging12a"/>
      </w:pPr>
      <w:r>
        <w:t>–</w:t>
      </w:r>
      <w:r>
        <w:tab/>
        <w:t xml:space="preserve">so zreteľom na článok </w:t>
      </w:r>
      <w:r w:rsidRPr="00146A8F">
        <w:t>59</w:t>
      </w:r>
      <w:r>
        <w:t xml:space="preserve"> rokovacieho poriadku,</w:t>
      </w:r>
    </w:p>
    <w:p w:rsidR="003F16CE" w:rsidRDefault="00E46C39">
      <w:pPr>
        <w:pStyle w:val="NormalHanging12a"/>
      </w:pPr>
      <w:r>
        <w:t>–</w:t>
      </w:r>
      <w:r>
        <w:tab/>
        <w:t>so zreteľom na správu Výboru pre rybárstvo (A</w:t>
      </w:r>
      <w:r w:rsidRPr="00146A8F">
        <w:t>9</w:t>
      </w:r>
      <w:r>
        <w:t>-</w:t>
      </w:r>
      <w:r w:rsidRPr="00146A8F">
        <w:t>0301</w:t>
      </w:r>
      <w:r>
        <w:t>/</w:t>
      </w:r>
      <w:r w:rsidRPr="00146A8F">
        <w:t>2023</w:t>
      </w:r>
      <w:r>
        <w:t>),</w:t>
      </w:r>
    </w:p>
    <w:p w:rsidR="003F16CE" w:rsidRDefault="00E46C39">
      <w:pPr>
        <w:pStyle w:val="NormalHanging12a"/>
      </w:pPr>
      <w:r w:rsidRPr="00146A8F">
        <w:lastRenderedPageBreak/>
        <w:t>1</w:t>
      </w:r>
      <w:r>
        <w:t>.</w:t>
      </w:r>
      <w:r>
        <w:tab/>
        <w:t>prijíma nasledujúcu pozíciu v prvom čítaní;</w:t>
      </w:r>
    </w:p>
    <w:p w:rsidR="003F16CE" w:rsidRDefault="00E46C39">
      <w:pPr>
        <w:pStyle w:val="NormalHanging12a"/>
      </w:pPr>
      <w:r w:rsidRPr="00146A8F">
        <w:t>2</w:t>
      </w:r>
      <w:r>
        <w:t>.</w:t>
      </w:r>
      <w:r>
        <w:tab/>
        <w:t>žiada Komisiu, aby mu vec znovu predložila, ak nahrádza, podstatne mení alebo má v úmysle podstatne zmeniť svoj návrh;</w:t>
      </w:r>
    </w:p>
    <w:p w:rsidR="003F16CE" w:rsidRDefault="00E46C39">
      <w:pPr>
        <w:pStyle w:val="NormalHanging12a"/>
      </w:pPr>
      <w:r w:rsidRPr="00146A8F">
        <w:t>3</w:t>
      </w:r>
      <w:r>
        <w:t>.</w:t>
      </w:r>
      <w:r>
        <w:tab/>
        <w:t>poveruje svoju predsedníčku, aby postúpila túto pozíciu Rade, Komisii a národným parlamentom.</w:t>
      </w:r>
    </w:p>
    <w:p w:rsidR="00146A8F" w:rsidRDefault="00146A8F">
      <w:pPr>
        <w:widowControl/>
        <w:sectPr w:rsidR="00146A8F">
          <w:footnotePr>
            <w:numRestart w:val="eachSect"/>
          </w:footnotePr>
          <w:pgSz w:w="11907" w:h="16840" w:code="9"/>
          <w:pgMar w:top="1134" w:right="1134" w:bottom="1134" w:left="1134" w:header="567" w:footer="567" w:gutter="0"/>
          <w:cols w:space="720"/>
          <w:docGrid w:linePitch="360"/>
        </w:sectPr>
      </w:pPr>
    </w:p>
    <w:p w:rsidR="003F16CE" w:rsidRDefault="00E46C39">
      <w:pPr>
        <w:pStyle w:val="Institutionquiagit"/>
        <w:keepNext w:val="0"/>
        <w:spacing w:before="0" w:after="240"/>
        <w:jc w:val="left"/>
        <w:outlineLvl w:val="0"/>
        <w:rPr>
          <w:b/>
          <w:lang w:val="sk-SK"/>
        </w:rPr>
      </w:pPr>
      <w:r>
        <w:rPr>
          <w:b/>
          <w:lang w:val="sk-SK"/>
        </w:rPr>
        <w:lastRenderedPageBreak/>
        <w:t>P</w:t>
      </w:r>
      <w:r w:rsidRPr="00146A8F">
        <w:rPr>
          <w:b/>
          <w:lang w:val="sk-SK"/>
        </w:rPr>
        <w:t>9</w:t>
      </w:r>
      <w:r>
        <w:rPr>
          <w:b/>
          <w:lang w:val="sk-SK"/>
        </w:rPr>
        <w:t>_TC</w:t>
      </w:r>
      <w:r w:rsidRPr="00146A8F">
        <w:rPr>
          <w:b/>
          <w:lang w:val="sk-SK"/>
        </w:rPr>
        <w:t>1</w:t>
      </w:r>
      <w:r>
        <w:rPr>
          <w:b/>
          <w:lang w:val="sk-SK"/>
        </w:rPr>
        <w:t>-COD(</w:t>
      </w:r>
      <w:r w:rsidRPr="00146A8F">
        <w:rPr>
          <w:b/>
          <w:lang w:val="sk-SK"/>
        </w:rPr>
        <w:t>2022</w:t>
      </w:r>
      <w:r>
        <w:rPr>
          <w:b/>
          <w:lang w:val="sk-SK"/>
        </w:rPr>
        <w:t>)</w:t>
      </w:r>
      <w:r w:rsidRPr="00146A8F">
        <w:rPr>
          <w:b/>
          <w:lang w:val="sk-SK"/>
        </w:rPr>
        <w:t>0111</w:t>
      </w:r>
    </w:p>
    <w:p w:rsidR="003F16CE" w:rsidRDefault="00E46C39">
      <w:pPr>
        <w:rPr>
          <w:rFonts w:eastAsia="Calibri"/>
          <w:b/>
          <w:szCs w:val="22"/>
          <w:lang w:eastAsia="en-US"/>
        </w:rPr>
      </w:pPr>
      <w:r>
        <w:rPr>
          <w:b/>
        </w:rPr>
        <w:t xml:space="preserve">Pozícia Európskeho parlamentu prijatá v prvom čítaní </w:t>
      </w:r>
      <w:r w:rsidRPr="00146A8F">
        <w:rPr>
          <w:b/>
        </w:rPr>
        <w:t>6</w:t>
      </w:r>
      <w:r>
        <w:rPr>
          <w:b/>
        </w:rPr>
        <w:t xml:space="preserve">. februára </w:t>
      </w:r>
      <w:r w:rsidRPr="00146A8F">
        <w:rPr>
          <w:b/>
        </w:rPr>
        <w:t>2024</w:t>
      </w:r>
      <w:r>
        <w:rPr>
          <w:b/>
        </w:rPr>
        <w:t xml:space="preserve"> na účely prijatia nariadenia Európskeho parlamentu a Rady (EÚ) </w:t>
      </w:r>
      <w:r w:rsidRPr="00146A8F">
        <w:rPr>
          <w:b/>
        </w:rPr>
        <w:t>2024</w:t>
      </w:r>
      <w:r>
        <w:rPr>
          <w:b/>
        </w:rPr>
        <w:t xml:space="preserve">/..., </w:t>
      </w:r>
      <w:r>
        <w:rPr>
          <w:rFonts w:eastAsia="Calibri"/>
          <w:b/>
          <w:szCs w:val="22"/>
          <w:lang w:eastAsia="en-US"/>
        </w:rPr>
        <w:t xml:space="preserve">ktorým sa mení nariadenie (EÚ) </w:t>
      </w:r>
      <w:r w:rsidRPr="00146A8F">
        <w:rPr>
          <w:rFonts w:eastAsia="Calibri"/>
          <w:b/>
          <w:szCs w:val="22"/>
          <w:lang w:eastAsia="en-US"/>
        </w:rPr>
        <w:t>2017</w:t>
      </w:r>
      <w:r>
        <w:rPr>
          <w:rFonts w:eastAsia="Calibri"/>
          <w:b/>
          <w:szCs w:val="22"/>
          <w:lang w:eastAsia="en-US"/>
        </w:rPr>
        <w:t>/</w:t>
      </w:r>
      <w:r w:rsidRPr="00146A8F">
        <w:rPr>
          <w:rFonts w:eastAsia="Calibri"/>
          <w:b/>
          <w:szCs w:val="22"/>
          <w:lang w:eastAsia="en-US"/>
        </w:rPr>
        <w:t>2107</w:t>
      </w:r>
      <w:r>
        <w:rPr>
          <w:rFonts w:eastAsia="Calibri"/>
          <w:b/>
          <w:szCs w:val="22"/>
          <w:lang w:eastAsia="en-US"/>
        </w:rPr>
        <w:t xml:space="preserve">, ktorým sa stanovujú riadiace, ochranné a kontrolné opatrenia uplatniteľné v oblasti dohovoru Medzinárodnej komisie pre zachovanie atlantických tuniakov (ICCAT), a nariadenie (EÚ) </w:t>
      </w:r>
      <w:r w:rsidRPr="000802A3">
        <w:rPr>
          <w:rFonts w:eastAsia="Calibri"/>
          <w:b/>
          <w:bCs/>
          <w:szCs w:val="22"/>
          <w:lang w:eastAsia="en-US"/>
        </w:rPr>
        <w:t>2023/2053</w:t>
      </w:r>
      <w:r>
        <w:rPr>
          <w:rFonts w:eastAsia="Calibri"/>
          <w:b/>
          <w:szCs w:val="22"/>
          <w:lang w:eastAsia="en-US"/>
        </w:rPr>
        <w:t xml:space="preserve">, ktorým sa stanovuje viacročný plán riadenia populácie tuniaka </w:t>
      </w:r>
      <w:proofErr w:type="spellStart"/>
      <w:r>
        <w:rPr>
          <w:rFonts w:eastAsia="Calibri"/>
          <w:b/>
          <w:szCs w:val="22"/>
          <w:lang w:eastAsia="en-US"/>
        </w:rPr>
        <w:t>modroplutvého</w:t>
      </w:r>
      <w:proofErr w:type="spellEnd"/>
      <w:r>
        <w:rPr>
          <w:rFonts w:eastAsia="Calibri"/>
          <w:b/>
          <w:szCs w:val="22"/>
          <w:lang w:eastAsia="en-US"/>
        </w:rPr>
        <w:t xml:space="preserve"> vo východnej časti Atlantickéh</w:t>
      </w:r>
      <w:r w:rsidR="00252438">
        <w:rPr>
          <w:rFonts w:eastAsia="Calibri"/>
          <w:b/>
          <w:szCs w:val="22"/>
          <w:lang w:eastAsia="en-US"/>
        </w:rPr>
        <w:t xml:space="preserve">o oceánu a v Stredozemnom mori </w:t>
      </w:r>
      <w:bookmarkStart w:id="8" w:name="_GoBack"/>
      <w:bookmarkEnd w:id="8"/>
    </w:p>
    <w:p w:rsidR="0002063F" w:rsidRDefault="0002063F">
      <w:pPr>
        <w:rPr>
          <w:rFonts w:eastAsia="Calibri"/>
          <w:b/>
          <w:szCs w:val="22"/>
          <w:lang w:eastAsia="en-US"/>
        </w:rPr>
      </w:pPr>
    </w:p>
    <w:p w:rsidR="0002063F" w:rsidRDefault="0002063F" w:rsidP="0002063F">
      <w:r>
        <w:rPr>
          <w:i/>
          <w:iCs/>
        </w:rPr>
        <w:t xml:space="preserve">(Keďže bola dosiahnutá dohoda medzi Európskym parlamentom a Radou, pozícia Európskeho parlamentu zodpovedá záverečnému legislatívnemu aktu, </w:t>
      </w:r>
      <w:r w:rsidRPr="0002063F">
        <w:rPr>
          <w:i/>
          <w:iCs/>
        </w:rPr>
        <w:t>nariadeniu (EÚ) 202</w:t>
      </w:r>
      <w:r>
        <w:rPr>
          <w:i/>
          <w:iCs/>
        </w:rPr>
        <w:t>4/897</w:t>
      </w:r>
      <w:r w:rsidRPr="0002063F">
        <w:rPr>
          <w:i/>
          <w:iCs/>
        </w:rPr>
        <w:t>.)</w:t>
      </w:r>
    </w:p>
    <w:p w:rsidR="0002063F" w:rsidRDefault="0002063F">
      <w:pPr>
        <w:rPr>
          <w:rFonts w:eastAsia="Calibri"/>
          <w:b/>
          <w:szCs w:val="22"/>
          <w:lang w:eastAsia="en-US"/>
        </w:rPr>
      </w:pPr>
    </w:p>
    <w:sectPr w:rsidR="0002063F" w:rsidSect="0002063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CE" w:rsidRDefault="00E46C39">
      <w:r>
        <w:separator/>
      </w:r>
    </w:p>
  </w:endnote>
  <w:endnote w:type="continuationSeparator" w:id="0">
    <w:p w:rsidR="003F16CE" w:rsidRDefault="00E46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6CE" w:rsidRDefault="003F16C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6CE" w:rsidRDefault="003F16C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6CE" w:rsidRDefault="003F16C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CE" w:rsidRDefault="00E46C39">
      <w:r>
        <w:separator/>
      </w:r>
    </w:p>
  </w:footnote>
  <w:footnote w:type="continuationSeparator" w:id="0">
    <w:p w:rsidR="003F16CE" w:rsidRDefault="00E46C39">
      <w:r>
        <w:continuationSeparator/>
      </w:r>
    </w:p>
  </w:footnote>
  <w:footnote w:id="1">
    <w:p w:rsidR="003F16CE" w:rsidRDefault="00E46C39">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Ú. v. EÚ C </w:t>
      </w:r>
      <w:r w:rsidRPr="00146A8F">
        <w:rPr>
          <w:sz w:val="24"/>
          <w:lang w:val="sk-SK"/>
        </w:rPr>
        <w:t>365</w:t>
      </w:r>
      <w:r>
        <w:rPr>
          <w:sz w:val="24"/>
          <w:lang w:val="sk-SK"/>
        </w:rPr>
        <w:t xml:space="preserve">, </w:t>
      </w:r>
      <w:r w:rsidRPr="00146A8F">
        <w:rPr>
          <w:sz w:val="24"/>
          <w:lang w:val="sk-SK"/>
        </w:rPr>
        <w:t>23</w:t>
      </w:r>
      <w:r>
        <w:rPr>
          <w:sz w:val="24"/>
          <w:lang w:val="sk-SK"/>
        </w:rPr>
        <w:t>.</w:t>
      </w:r>
      <w:r w:rsidRPr="00146A8F">
        <w:rPr>
          <w:sz w:val="24"/>
          <w:lang w:val="sk-SK"/>
        </w:rPr>
        <w:t>9</w:t>
      </w:r>
      <w:r>
        <w:rPr>
          <w:sz w:val="24"/>
          <w:lang w:val="sk-SK"/>
        </w:rPr>
        <w:t>.</w:t>
      </w:r>
      <w:r w:rsidRPr="00146A8F">
        <w:rPr>
          <w:sz w:val="24"/>
          <w:lang w:val="sk-SK"/>
        </w:rPr>
        <w:t>2022</w:t>
      </w:r>
      <w:r>
        <w:rPr>
          <w:sz w:val="24"/>
          <w:lang w:val="sk-SK"/>
        </w:rPr>
        <w:t xml:space="preserve">, s. </w:t>
      </w:r>
      <w:r w:rsidRPr="00146A8F">
        <w:rPr>
          <w:sz w:val="24"/>
          <w:lang w:val="sk-SK"/>
        </w:rPr>
        <w:t>55</w:t>
      </w:r>
      <w:r>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6CE" w:rsidRDefault="003F16C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6CE" w:rsidRDefault="003F16C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6CE" w:rsidRDefault="003F16C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2"/>
  </w:num>
  <w:num w:numId="2">
    <w:abstractNumId w:val="13"/>
  </w:num>
  <w:num w:numId="3">
    <w:abstractNumId w:val="28"/>
  </w:num>
  <w:num w:numId="4">
    <w:abstractNumId w:val="1"/>
  </w:num>
  <w:num w:numId="5">
    <w:abstractNumId w:val="29"/>
  </w:num>
  <w:num w:numId="6">
    <w:abstractNumId w:val="25"/>
  </w:num>
  <w:num w:numId="7">
    <w:abstractNumId w:val="3"/>
  </w:num>
  <w:num w:numId="8">
    <w:abstractNumId w:val="31"/>
  </w:num>
  <w:num w:numId="9">
    <w:abstractNumId w:val="36"/>
  </w:num>
  <w:num w:numId="10">
    <w:abstractNumId w:val="22"/>
  </w:num>
  <w:num w:numId="11">
    <w:abstractNumId w:val="30"/>
  </w:num>
  <w:num w:numId="12">
    <w:abstractNumId w:val="26"/>
  </w:num>
  <w:num w:numId="13">
    <w:abstractNumId w:val="17"/>
  </w:num>
  <w:num w:numId="14">
    <w:abstractNumId w:val="9"/>
  </w:num>
  <w:num w:numId="15">
    <w:abstractNumId w:val="7"/>
  </w:num>
  <w:num w:numId="16">
    <w:abstractNumId w:val="27"/>
  </w:num>
  <w:num w:numId="17">
    <w:abstractNumId w:val="32"/>
  </w:num>
  <w:num w:numId="18">
    <w:abstractNumId w:val="0"/>
  </w:num>
  <w:num w:numId="19">
    <w:abstractNumId w:val="10"/>
  </w:num>
  <w:num w:numId="20">
    <w:abstractNumId w:val="6"/>
  </w:num>
  <w:num w:numId="21">
    <w:abstractNumId w:val="11"/>
  </w:num>
  <w:num w:numId="22">
    <w:abstractNumId w:val="23"/>
  </w:num>
  <w:num w:numId="23">
    <w:abstractNumId w:val="5"/>
  </w:num>
  <w:num w:numId="24">
    <w:abstractNumId w:val="18"/>
  </w:num>
  <w:num w:numId="25">
    <w:abstractNumId w:val="21"/>
  </w:num>
  <w:num w:numId="26">
    <w:abstractNumId w:val="20"/>
  </w:num>
  <w:num w:numId="27">
    <w:abstractNumId w:val="37"/>
  </w:num>
  <w:num w:numId="28">
    <w:abstractNumId w:val="14"/>
  </w:num>
  <w:num w:numId="29">
    <w:abstractNumId w:val="15"/>
  </w:num>
  <w:num w:numId="30">
    <w:abstractNumId w:val="16"/>
  </w:num>
  <w:num w:numId="31">
    <w:abstractNumId w:val="19"/>
  </w:num>
  <w:num w:numId="32">
    <w:abstractNumId w:val="8"/>
  </w:num>
  <w:num w:numId="33">
    <w:abstractNumId w:val="38"/>
  </w:num>
  <w:num w:numId="34">
    <w:abstractNumId w:val="12"/>
  </w:num>
  <w:num w:numId="35">
    <w:abstractNumId w:val="24"/>
  </w:num>
  <w:num w:numId="36">
    <w:abstractNumId w:val="34"/>
  </w:num>
  <w:num w:numId="37">
    <w:abstractNumId w:val="33"/>
  </w:num>
  <w:num w:numId="38">
    <w:abstractNumId w:val="35"/>
  </w:num>
  <w:num w:numId="39">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SK"/>
    <w:docVar w:name="dvnumam" w:val="88"/>
    <w:docVar w:name="dvpe" w:val="750.194"/>
    <w:docVar w:name="dvrapporteur" w:val="Spravodajkyňa: "/>
    <w:docVar w:name="dvstar" w:val="***I"/>
    <w:docVar w:name="dvtitre" w:val="Legislatívne uznesenie Európskeho parlamentu z xx. februára 2024 o návrhu nariadenia Európskeho parlamentu a Rady, ktorým sa mení nariadenie (EÚ) 2017/2107, ktorým sa stanovujú riadiace, ochranné a kontrolné opatrenia uplatniteľné v oblasti dohovoru Medzinárodnej komisie pre zachovanie atlantických tuniakov (ICCAT), a nariadenie (EÚ) …/2022, ktorým sa stanovuje viacročný plán riadenia populácie tuniaka modroplutvého vo východnej časti Atlantického oceánu a v Stredozemnom mori(COM(2022)0171 – C9-0151/2022 – 2022/0111(COD))"/>
  </w:docVars>
  <w:rsids>
    <w:rsidRoot w:val="003F16CE"/>
    <w:rsid w:val="0002063F"/>
    <w:rsid w:val="000802A3"/>
    <w:rsid w:val="00146A8F"/>
    <w:rsid w:val="00252438"/>
    <w:rsid w:val="003F16CE"/>
    <w:rsid w:val="00E46C3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26AC67"/>
  <w15:chartTrackingRefBased/>
  <w15:docId w15:val="{07BF3DFF-278B-4009-BFFC-4CFC48519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qFormat="1"/>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uiPriority w:val="99"/>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Pr>
      <w:sz w:val="22"/>
      <w:lang w:val="fr-FR" w:eastAsia="fr-FR"/>
    </w:rPr>
  </w:style>
  <w:style w:type="character" w:styleId="PageNumber">
    <w:name w:val="page number"/>
  </w:style>
  <w:style w:type="paragraph" w:styleId="TOC2">
    <w:name w:val="toc 2"/>
    <w:basedOn w:val="Normal"/>
    <w:next w:val="Normal"/>
    <w:autoRedefine/>
    <w:uiPriority w:val="39"/>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uiPriority w:val="99"/>
    <w:pPr>
      <w:spacing w:before="80" w:after="80"/>
    </w:pPr>
    <w:rPr>
      <w:rFonts w:ascii="Arial Narrow" w:hAnsi="Arial Narrow" w:cs="Arial"/>
      <w:b/>
      <w:sz w:val="32"/>
      <w:szCs w:val="22"/>
    </w:rPr>
  </w:style>
  <w:style w:type="paragraph" w:customStyle="1" w:styleId="EPTerm">
    <w:name w:val="EPTerm"/>
    <w:basedOn w:val="Normal"/>
    <w:next w:val="Normal"/>
    <w:uiPriority w:val="99"/>
    <w:pPr>
      <w:spacing w:after="80"/>
    </w:pPr>
    <w:rPr>
      <w:rFonts w:ascii="Arial" w:hAnsi="Arial" w:cs="Arial"/>
      <w:sz w:val="20"/>
      <w:szCs w:val="22"/>
    </w:rPr>
  </w:style>
  <w:style w:type="paragraph" w:customStyle="1" w:styleId="EPLogo">
    <w:name w:val="EPLogo"/>
    <w:basedOn w:val="Normal"/>
    <w:uiPriority w:val="99"/>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uiPriority w:val="99"/>
    <w:semiHidden/>
    <w:rPr>
      <w:rFonts w:ascii="Arial" w:hAnsi="Arial"/>
      <w:i/>
      <w:sz w:val="24"/>
      <w:lang w:val="sk-SK"/>
    </w:rPr>
  </w:style>
  <w:style w:type="character" w:customStyle="1" w:styleId="Heading9Char">
    <w:name w:val="Heading 9 Char"/>
    <w:basedOn w:val="DefaultParagraphFont"/>
    <w:link w:val="Heading9"/>
    <w:uiPriority w:val="9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pPr>
      <w:keepNext/>
      <w:spacing w:after="240"/>
      <w:jc w:val="right"/>
    </w:pPr>
    <w:rPr>
      <w:rFonts w:ascii="Arial" w:hAnsi="Arial"/>
      <w:b/>
    </w:rPr>
  </w:style>
  <w:style w:type="paragraph" w:customStyle="1" w:styleId="Normal6a">
    <w:name w:val="Normal6a"/>
    <w:basedOn w:val="Normal"/>
    <w:uiPriority w:val="99"/>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Pr>
      <w:b/>
      <w:sz w:val="24"/>
      <w:lang w:val="sk-SK"/>
    </w:rPr>
  </w:style>
  <w:style w:type="paragraph" w:customStyle="1" w:styleId="NormalBold12a">
    <w:name w:val="NormalBold12a"/>
    <w:basedOn w:val="Normal"/>
    <w:uiPriority w:val="99"/>
    <w:pPr>
      <w:spacing w:after="240"/>
    </w:pPr>
    <w:rPr>
      <w:b/>
    </w:rPr>
  </w:style>
  <w:style w:type="paragraph" w:customStyle="1" w:styleId="AmJustText">
    <w:name w:val="AmJustText"/>
    <w:basedOn w:val="Normal"/>
    <w:uiPriority w:val="99"/>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uiPriority w:val="99"/>
    <w:pPr>
      <w:spacing w:after="480"/>
      <w:ind w:left="1417"/>
    </w:pPr>
  </w:style>
  <w:style w:type="paragraph" w:customStyle="1" w:styleId="CoverNormal">
    <w:name w:val="CoverNormal"/>
    <w:basedOn w:val="Normal"/>
    <w:uiPriority w:val="99"/>
    <w:pPr>
      <w:ind w:left="1418"/>
    </w:pPr>
  </w:style>
  <w:style w:type="paragraph" w:customStyle="1" w:styleId="AmCrossRef">
    <w:name w:val="AmCrossRef"/>
    <w:basedOn w:val="Normal"/>
    <w:uiPriority w:val="99"/>
    <w:pPr>
      <w:spacing w:before="240" w:after="240"/>
      <w:jc w:val="center"/>
    </w:pPr>
    <w:rPr>
      <w:i/>
    </w:rPr>
  </w:style>
  <w:style w:type="paragraph" w:customStyle="1" w:styleId="AmJustTitle">
    <w:name w:val="AmJustTitle"/>
    <w:basedOn w:val="Normal"/>
    <w:next w:val="AmJustText"/>
    <w:uiPriority w:val="99"/>
    <w:pPr>
      <w:keepNext/>
      <w:spacing w:before="240" w:after="240"/>
      <w:jc w:val="center"/>
    </w:pPr>
    <w:rPr>
      <w:i/>
    </w:rPr>
  </w:style>
  <w:style w:type="paragraph" w:customStyle="1" w:styleId="CoverReference">
    <w:name w:val="CoverReference"/>
    <w:basedOn w:val="Normal"/>
    <w:uiPriority w:val="99"/>
    <w:pPr>
      <w:spacing w:before="1080"/>
      <w:jc w:val="right"/>
    </w:pPr>
    <w:rPr>
      <w:rFonts w:ascii="Arial" w:hAnsi="Arial" w:cs="Arial"/>
      <w:b/>
    </w:rPr>
  </w:style>
  <w:style w:type="paragraph" w:customStyle="1" w:styleId="CoverDocType">
    <w:name w:val="CoverDocType"/>
    <w:basedOn w:val="Normal"/>
    <w:uiPriority w:val="99"/>
    <w:pPr>
      <w:ind w:left="1418"/>
    </w:pPr>
    <w:rPr>
      <w:rFonts w:ascii="Arial" w:hAnsi="Arial"/>
      <w:b/>
      <w:sz w:val="48"/>
    </w:rPr>
  </w:style>
  <w:style w:type="paragraph" w:customStyle="1" w:styleId="CoverDocType24a">
    <w:name w:val="CoverDocType24a"/>
    <w:basedOn w:val="Normal"/>
    <w:uiPriority w:val="99"/>
    <w:pPr>
      <w:spacing w:after="480"/>
      <w:ind w:left="1418"/>
    </w:pPr>
    <w:rPr>
      <w:rFonts w:ascii="Arial" w:hAnsi="Arial"/>
      <w:b/>
      <w:sz w:val="48"/>
    </w:rPr>
  </w:style>
  <w:style w:type="paragraph" w:customStyle="1" w:styleId="CoverDate">
    <w:name w:val="CoverDate"/>
    <w:basedOn w:val="Normal"/>
    <w:uiPriority w:val="99"/>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uiPriority w:val="99"/>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pPr>
      <w:spacing w:before="240"/>
    </w:pPr>
    <w:rPr>
      <w:b/>
    </w:rPr>
  </w:style>
  <w:style w:type="paragraph" w:customStyle="1" w:styleId="EPBody">
    <w:name w:val="EPBody"/>
    <w:basedOn w:val="Normal"/>
    <w:uiPriority w:val="99"/>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uiPriority w:val="99"/>
    <w:pPr>
      <w:spacing w:before="480" w:after="240"/>
    </w:pPr>
  </w:style>
  <w:style w:type="paragraph" w:customStyle="1" w:styleId="Lgendesigne">
    <w:name w:val="Légende signe"/>
    <w:basedOn w:val="Normal"/>
    <w:uiPriority w:val="99"/>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pPr>
      <w:spacing w:before="240" w:after="240"/>
    </w:pPr>
    <w:rPr>
      <w:b/>
      <w:i/>
      <w:snapToGrid w:val="0"/>
      <w:lang w:eastAsia="en-US"/>
    </w:rPr>
  </w:style>
  <w:style w:type="paragraph" w:customStyle="1" w:styleId="Lgendestandard">
    <w:name w:val="Légende standard"/>
    <w:basedOn w:val="Normal"/>
    <w:uiPriority w:val="99"/>
    <w:rPr>
      <w:sz w:val="18"/>
    </w:rPr>
  </w:style>
  <w:style w:type="paragraph" w:customStyle="1" w:styleId="EntPE">
    <w:name w:val="EntPE"/>
    <w:basedOn w:val="Normal12"/>
    <w:uiPriority w:val="99"/>
    <w:pPr>
      <w:jc w:val="center"/>
    </w:pPr>
    <w:rPr>
      <w:noProof w:val="0"/>
      <w:sz w:val="56"/>
    </w:rPr>
  </w:style>
  <w:style w:type="paragraph" w:customStyle="1" w:styleId="Normal12">
    <w:name w:val="Normal12"/>
    <w:basedOn w:val="Normal"/>
    <w:link w:val="Normal12Char"/>
    <w:pPr>
      <w:spacing w:after="240"/>
    </w:pPr>
    <w:rPr>
      <w:noProof/>
    </w:rPr>
  </w:style>
  <w:style w:type="character" w:customStyle="1" w:styleId="Normal12Char">
    <w:name w:val="Normal12 Char"/>
    <w:basedOn w:val="DefaultParagraphFont"/>
    <w:link w:val="Normal12"/>
    <w:locked/>
    <w:rPr>
      <w:noProof/>
      <w:sz w:val="24"/>
      <w:lang w:val="sk-SK"/>
    </w:rPr>
  </w:style>
  <w:style w:type="paragraph" w:customStyle="1" w:styleId="Normal6">
    <w:name w:val="Normal6"/>
    <w:basedOn w:val="Normal"/>
    <w:link w:val="Normal6Char"/>
    <w:pPr>
      <w:spacing w:after="120"/>
    </w:pPr>
  </w:style>
  <w:style w:type="character" w:customStyle="1" w:styleId="Normal6Char">
    <w:name w:val="Normal6 Char"/>
    <w:basedOn w:val="DefaultParagraphFont"/>
    <w:link w:val="Normal6"/>
    <w:rPr>
      <w:sz w:val="24"/>
      <w:lang w:val="sk-SK"/>
    </w:rPr>
  </w:style>
  <w:style w:type="paragraph" w:customStyle="1" w:styleId="Normal12Italic">
    <w:name w:val="Normal12Italic"/>
    <w:basedOn w:val="Normal12"/>
    <w:uiPriority w:val="99"/>
    <w:rPr>
      <w:i/>
    </w:rPr>
  </w:style>
  <w:style w:type="character" w:customStyle="1" w:styleId="FooterChar">
    <w:name w:val="Footer Char"/>
    <w:basedOn w:val="DefaultParagraphFont"/>
    <w:link w:val="Footer"/>
    <w:uiPriority w:val="99"/>
    <w:qFormat/>
    <w:rPr>
      <w:sz w:val="22"/>
    </w:rPr>
  </w:style>
  <w:style w:type="paragraph" w:styleId="Footer">
    <w:name w:val="footer"/>
    <w:link w:val="FooterChar"/>
    <w:uiPriority w:val="99"/>
    <w:qFormat/>
    <w:pPr>
      <w:tabs>
        <w:tab w:val="center" w:pos="4536"/>
        <w:tab w:val="right" w:pos="9072"/>
      </w:tabs>
      <w:spacing w:before="240" w:after="240" w:line="221" w:lineRule="auto"/>
    </w:pPr>
    <w:rPr>
      <w:sz w:val="22"/>
    </w:rPr>
  </w:style>
  <w:style w:type="character" w:customStyle="1" w:styleId="FooterChar1">
    <w:name w:val="Footer Char1"/>
    <w:basedOn w:val="DefaultParagraphFont"/>
    <w:rPr>
      <w:sz w:val="24"/>
      <w:lang w:val="sk-SK"/>
    </w:rPr>
  </w:style>
  <w:style w:type="paragraph" w:customStyle="1" w:styleId="Footer2">
    <w:name w:val="Footer2"/>
    <w:basedOn w:val="Normal12"/>
    <w:uiPriority w:val="99"/>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BalloonText">
    <w:name w:val="Balloon Text"/>
    <w:basedOn w:val="Normal"/>
    <w:link w:val="BalloonTextChar"/>
    <w:uiPriority w:val="99"/>
    <w:unhideWhenUsed/>
    <w:pPr>
      <w:widowControl/>
    </w:pPr>
    <w:rPr>
      <w:rFonts w:ascii="Segoe UI" w:hAnsi="Segoe UI" w:cs="Segoe UI"/>
      <w:sz w:val="18"/>
      <w:szCs w:val="18"/>
      <w:lang w:val="en-GB"/>
    </w:rPr>
  </w:style>
  <w:style w:type="character" w:customStyle="1" w:styleId="BalloonTextChar1">
    <w:name w:val="Balloon Text Char1"/>
    <w:basedOn w:val="DefaultParagraphFont"/>
    <w:rPr>
      <w:rFonts w:ascii="Segoe UI" w:hAnsi="Segoe UI" w:cs="Segoe UI"/>
      <w:sz w:val="18"/>
      <w:szCs w:val="18"/>
      <w:lang w:val="sk-SK"/>
    </w:rPr>
  </w:style>
  <w:style w:type="paragraph" w:customStyle="1" w:styleId="AMNumberTabs0">
    <w:name w:val="AMNumberTabs"/>
    <w:basedOn w:val="Normal"/>
    <w:uiPriority w:val="9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pPr>
      <w:spacing w:after="240"/>
      <w:jc w:val="center"/>
    </w:pPr>
    <w:rPr>
      <w:i/>
    </w:rPr>
  </w:style>
  <w:style w:type="paragraph" w:customStyle="1" w:styleId="Olang">
    <w:name w:val="Olang"/>
    <w:basedOn w:val="Normal"/>
    <w:uiPriority w:val="99"/>
    <w:pPr>
      <w:spacing w:before="240" w:after="240"/>
      <w:jc w:val="right"/>
    </w:pPr>
    <w:rPr>
      <w:noProof/>
      <w:szCs w:val="24"/>
    </w:rPr>
  </w:style>
  <w:style w:type="paragraph" w:customStyle="1" w:styleId="JustificationTitle">
    <w:name w:val="JustificationTitle"/>
    <w:basedOn w:val="Normal"/>
    <w:next w:val="Normal12"/>
    <w:uiPriority w:val="99"/>
    <w:pPr>
      <w:keepNext/>
      <w:spacing w:before="240" w:after="240"/>
      <w:jc w:val="center"/>
    </w:pPr>
    <w:rPr>
      <w:i/>
      <w:noProof/>
    </w:rPr>
  </w:style>
  <w:style w:type="character" w:styleId="Hyperlink">
    <w:name w:val="Hyperlink"/>
    <w:basedOn w:val="DefaultParagraphFont"/>
    <w:unhideWhenUsed/>
    <w:rPr>
      <w:color w:val="0563C1" w:themeColor="hyperlink"/>
      <w:u w:val="single"/>
    </w:rPr>
  </w:style>
  <w:style w:type="paragraph" w:customStyle="1" w:styleId="Normal1">
    <w:name w:val="Normal1"/>
    <w:basedOn w:val="Normal"/>
    <w:uiPriority w:val="99"/>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style>
  <w:style w:type="paragraph" w:styleId="CommentText">
    <w:name w:val="annotation text"/>
    <w:basedOn w:val="Normal"/>
    <w:link w:val="CommentTextChar"/>
    <w:uiPriority w:val="99"/>
    <w:unhideWhenUsed/>
    <w:pPr>
      <w:widowControl/>
    </w:pPr>
    <w:rPr>
      <w:sz w:val="20"/>
      <w:lang w:val="en-GB"/>
    </w:rPr>
  </w:style>
  <w:style w:type="character" w:customStyle="1" w:styleId="CommentTextChar1">
    <w:name w:val="Comment Text Char1"/>
    <w:basedOn w:val="DefaultParagraphFont"/>
    <w:uiPriority w:val="99"/>
    <w:rPr>
      <w:lang w:val="sk-SK"/>
    </w:rPr>
  </w:style>
  <w:style w:type="character" w:customStyle="1" w:styleId="CommentSubjectChar">
    <w:name w:val="Comment Subject Char"/>
    <w:basedOn w:val="CommentTextChar"/>
    <w:link w:val="CommentSubject"/>
    <w:uiPriority w:val="99"/>
    <w:rPr>
      <w:b/>
      <w:bC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1">
    <w:name w:val="Comment Subject Char1"/>
    <w:basedOn w:val="CommentTextChar1"/>
    <w:uiPriority w:val="99"/>
    <w:rPr>
      <w:b/>
      <w:bCs/>
      <w:lang w:val="sk-SK"/>
    </w:rPr>
  </w:style>
  <w:style w:type="character" w:styleId="CommentReference">
    <w:name w:val="annotation reference"/>
    <w:basedOn w:val="DefaultParagraphFont"/>
    <w:uiPriority w:val="99"/>
    <w:unhideWhenUsed/>
    <w:rPr>
      <w:sz w:val="16"/>
      <w:szCs w:val="16"/>
    </w:rPr>
  </w:style>
  <w:style w:type="character" w:customStyle="1" w:styleId="highlight-diff">
    <w:name w:val="highlight-diff"/>
    <w:basedOn w:val="DefaultParagraphFont"/>
  </w:style>
  <w:style w:type="paragraph" w:styleId="NormalWeb">
    <w:name w:val="Normal (Web)"/>
    <w:basedOn w:val="Normal"/>
    <w:uiPriority w:val="99"/>
    <w:unhideWhenUsed/>
    <w:pPr>
      <w:widowControl/>
      <w:spacing w:before="100" w:beforeAutospacing="1" w:after="100" w:afterAutospacing="1"/>
    </w:pPr>
    <w:rPr>
      <w:szCs w:val="24"/>
    </w:rPr>
  </w:style>
  <w:style w:type="character" w:styleId="FollowedHyperlink">
    <w:name w:val="FollowedHyperlink"/>
    <w:basedOn w:val="DefaultParagraphFont"/>
    <w:uiPriority w:val="99"/>
    <w:unhideWhenUsed/>
    <w:rPr>
      <w:color w:val="954F72" w:themeColor="followedHyperlink"/>
      <w:u w:val="single"/>
    </w:rPr>
  </w:style>
  <w:style w:type="paragraph" w:customStyle="1" w:styleId="msonormal0">
    <w:name w:val="msonormal"/>
    <w:basedOn w:val="Normal"/>
    <w:uiPriority w:val="99"/>
    <w:pPr>
      <w:widowControl/>
      <w:spacing w:before="100" w:beforeAutospacing="1" w:after="100" w:afterAutospacing="1"/>
    </w:pPr>
    <w:rPr>
      <w:szCs w:val="24"/>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styleId="Revision">
    <w:name w:val="Revision"/>
    <w:hidden/>
    <w:uiPriority w:val="99"/>
    <w:semiHidden/>
    <w:rPr>
      <w:sz w:val="24"/>
      <w:lang w:val="sk-SK"/>
    </w:rPr>
  </w:style>
  <w:style w:type="paragraph" w:customStyle="1" w:styleId="Institutionquiagit">
    <w:name w:val="Institution qui agit"/>
    <w:basedOn w:val="Normal"/>
    <w:next w:val="Normal"/>
    <w:pPr>
      <w:keepNext/>
      <w:widowControl/>
      <w:spacing w:before="600" w:after="120"/>
      <w:jc w:val="both"/>
    </w:pPr>
    <w:rPr>
      <w:szCs w:val="24"/>
      <w:lang w:val="en-GB"/>
    </w:rPr>
  </w:style>
  <w:style w:type="paragraph" w:customStyle="1" w:styleId="AmDocTypeTab">
    <w:name w:val="AmDocTypeTab"/>
    <w:basedOn w:val="Normal"/>
    <w:pPr>
      <w:tabs>
        <w:tab w:val="right" w:pos="9072"/>
      </w:tabs>
    </w:pPr>
    <w:rPr>
      <w:b/>
    </w:rPr>
  </w:style>
  <w:style w:type="paragraph" w:customStyle="1" w:styleId="NormalCenter12a">
    <w:name w:val="NormalCenter12a"/>
    <w:basedOn w:val="Normal"/>
    <w:pPr>
      <w:spacing w:after="240"/>
      <w:jc w:val="center"/>
    </w:pPr>
  </w:style>
  <w:style w:type="paragraph" w:customStyle="1" w:styleId="AmDateTab">
    <w:name w:val="AmDateTab"/>
    <w:basedOn w:val="Normal"/>
    <w:pPr>
      <w:tabs>
        <w:tab w:val="right" w:pos="9072"/>
      </w:tabs>
    </w:pPr>
  </w:style>
  <w:style w:type="paragraph" w:customStyle="1" w:styleId="AmHeadingConsam">
    <w:name w:val="AmHeadingConsam"/>
    <w:basedOn w:val="Normal"/>
    <w:next w:val="NormalCenter12a"/>
    <w:pPr>
      <w:spacing w:before="720" w:after="240"/>
      <w:jc w:val="center"/>
    </w:pPr>
  </w:style>
  <w:style w:type="numbering" w:customStyle="1" w:styleId="NoList1">
    <w:name w:val="No List1"/>
    <w:next w:val="NoList"/>
    <w:uiPriority w:val="99"/>
    <w:semiHidden/>
    <w:unhideWhenUsed/>
  </w:style>
  <w:style w:type="paragraph" w:customStyle="1" w:styleId="NormalCentered">
    <w:name w:val="Normal Centered"/>
    <w:basedOn w:val="Normal"/>
    <w:pPr>
      <w:widowControl/>
      <w:spacing w:before="200" w:after="120" w:line="360" w:lineRule="auto"/>
      <w:jc w:val="center"/>
    </w:pPr>
    <w:rPr>
      <w:rFonts w:eastAsia="Calibri"/>
      <w:szCs w:val="22"/>
      <w:lang w:eastAsia="en-US"/>
    </w:rPr>
  </w:style>
  <w:style w:type="paragraph" w:customStyle="1" w:styleId="NormalRight">
    <w:name w:val="Normal Right"/>
    <w:basedOn w:val="Normal"/>
    <w:pPr>
      <w:widowControl/>
      <w:spacing w:before="200" w:after="120" w:line="360" w:lineRule="auto"/>
      <w:jc w:val="right"/>
    </w:pPr>
    <w:rPr>
      <w:rFonts w:eastAsia="Calibri"/>
      <w:szCs w:val="22"/>
      <w:lang w:eastAsia="en-US"/>
    </w:rPr>
  </w:style>
  <w:style w:type="paragraph" w:customStyle="1" w:styleId="NormalJustified">
    <w:name w:val="Normal Justified"/>
    <w:basedOn w:val="Normal"/>
    <w:pPr>
      <w:widowControl/>
      <w:spacing w:before="200" w:after="120" w:line="360" w:lineRule="auto"/>
      <w:jc w:val="both"/>
    </w:pPr>
    <w:rPr>
      <w:rFonts w:eastAsia="Calibri"/>
      <w:szCs w:val="22"/>
      <w:lang w:eastAsia="en-US"/>
    </w:rPr>
  </w:style>
  <w:style w:type="paragraph" w:customStyle="1" w:styleId="HeaderLandscape">
    <w:name w:val="HeaderLandscape"/>
    <w:basedOn w:val="Normal"/>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pPr>
      <w:widowControl/>
    </w:pPr>
    <w:rPr>
      <w:rFonts w:eastAsia="Calibri"/>
      <w:sz w:val="2"/>
      <w:szCs w:val="22"/>
      <w:lang w:eastAsia="en-US"/>
    </w:rPr>
  </w:style>
  <w:style w:type="paragraph" w:customStyle="1" w:styleId="FooterCouncil">
    <w:name w:val="Footer Council"/>
    <w:basedOn w:val="Normal"/>
    <w:pPr>
      <w:widowControl/>
    </w:pPr>
    <w:rPr>
      <w:rFonts w:eastAsia="Calibri"/>
      <w:sz w:val="2"/>
      <w:szCs w:val="22"/>
      <w:lang w:eastAsia="en-US"/>
    </w:rPr>
  </w:style>
  <w:style w:type="paragraph" w:customStyle="1" w:styleId="TechnicalBlock">
    <w:name w:val="Technical Block"/>
    <w:basedOn w:val="Normal"/>
    <w:next w:val="Normal"/>
    <w:link w:val="TechnicalBlockChar"/>
    <w:pPr>
      <w:widowControl/>
      <w:spacing w:after="240"/>
      <w:jc w:val="center"/>
    </w:pPr>
    <w:rPr>
      <w:rFonts w:eastAsia="Calibri"/>
      <w:szCs w:val="22"/>
      <w:lang w:eastAsia="en-US"/>
    </w:rPr>
  </w:style>
  <w:style w:type="paragraph" w:customStyle="1" w:styleId="FinalLine">
    <w:name w:val="Final Line"/>
    <w:basedOn w:val="Normal"/>
    <w:next w:val="Normal"/>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pPr>
      <w:widowControl/>
      <w:spacing w:before="120" w:after="120" w:line="360" w:lineRule="auto"/>
      <w:ind w:left="567"/>
    </w:pPr>
    <w:rPr>
      <w:rFonts w:eastAsia="Calibri"/>
      <w:szCs w:val="22"/>
      <w:lang w:eastAsia="en-US"/>
    </w:rPr>
  </w:style>
  <w:style w:type="paragraph" w:customStyle="1" w:styleId="Text2">
    <w:name w:val="Text 2"/>
    <w:basedOn w:val="Normal"/>
    <w:pPr>
      <w:widowControl/>
      <w:spacing w:before="120" w:after="120" w:line="360" w:lineRule="auto"/>
      <w:ind w:left="1134"/>
    </w:pPr>
    <w:rPr>
      <w:rFonts w:eastAsia="Calibri"/>
      <w:szCs w:val="22"/>
      <w:lang w:eastAsia="en-US"/>
    </w:rPr>
  </w:style>
  <w:style w:type="paragraph" w:customStyle="1" w:styleId="Text3">
    <w:name w:val="Text 3"/>
    <w:basedOn w:val="Normal"/>
    <w:pPr>
      <w:widowControl/>
      <w:spacing w:before="120" w:after="120" w:line="360" w:lineRule="auto"/>
      <w:ind w:left="1701"/>
    </w:pPr>
    <w:rPr>
      <w:rFonts w:eastAsia="Calibri"/>
      <w:szCs w:val="22"/>
      <w:lang w:eastAsia="en-US"/>
    </w:rPr>
  </w:style>
  <w:style w:type="paragraph" w:customStyle="1" w:styleId="Text4">
    <w:name w:val="Text 4"/>
    <w:basedOn w:val="Normal"/>
    <w:pPr>
      <w:widowControl/>
      <w:spacing w:before="120" w:after="120" w:line="360" w:lineRule="auto"/>
      <w:ind w:left="2268"/>
    </w:pPr>
    <w:rPr>
      <w:rFonts w:eastAsia="Calibri"/>
      <w:szCs w:val="22"/>
      <w:lang w:eastAsia="en-US"/>
    </w:rPr>
  </w:style>
  <w:style w:type="paragraph" w:customStyle="1" w:styleId="Text5">
    <w:name w:val="Text 5"/>
    <w:basedOn w:val="Normal"/>
    <w:pPr>
      <w:widowControl/>
      <w:spacing w:before="120" w:after="120" w:line="360" w:lineRule="auto"/>
      <w:ind w:left="2835"/>
    </w:pPr>
    <w:rPr>
      <w:rFonts w:eastAsia="Calibri"/>
      <w:szCs w:val="22"/>
      <w:lang w:eastAsia="en-US"/>
    </w:rPr>
  </w:style>
  <w:style w:type="paragraph" w:customStyle="1" w:styleId="Text6">
    <w:name w:val="Text 6"/>
    <w:basedOn w:val="Normal"/>
    <w:pPr>
      <w:widowControl/>
      <w:spacing w:before="120" w:after="120" w:line="360" w:lineRule="auto"/>
      <w:ind w:left="3402"/>
    </w:pPr>
    <w:rPr>
      <w:rFonts w:eastAsia="Calibri"/>
      <w:szCs w:val="22"/>
      <w:lang w:eastAsia="en-US"/>
    </w:rPr>
  </w:style>
  <w:style w:type="paragraph" w:customStyle="1" w:styleId="PointManual">
    <w:name w:val="Point Manual"/>
    <w:basedOn w:val="Normal"/>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pPr>
      <w:widowControl/>
      <w:numPr>
        <w:numId w:val="3"/>
      </w:numPr>
      <w:spacing w:before="120" w:after="120" w:line="360" w:lineRule="auto"/>
    </w:pPr>
    <w:rPr>
      <w:rFonts w:eastAsia="Calibri"/>
      <w:szCs w:val="22"/>
      <w:lang w:eastAsia="en-US"/>
    </w:rPr>
  </w:style>
  <w:style w:type="paragraph" w:customStyle="1" w:styleId="Dash1">
    <w:name w:val="Dash 1"/>
    <w:basedOn w:val="Normal"/>
    <w:pPr>
      <w:widowControl/>
      <w:numPr>
        <w:numId w:val="4"/>
      </w:numPr>
      <w:spacing w:before="120" w:after="120" w:line="360" w:lineRule="auto"/>
    </w:pPr>
    <w:rPr>
      <w:rFonts w:eastAsia="Calibri"/>
      <w:szCs w:val="22"/>
      <w:lang w:eastAsia="en-US"/>
    </w:rPr>
  </w:style>
  <w:style w:type="paragraph" w:customStyle="1" w:styleId="Dash2">
    <w:name w:val="Dash 2"/>
    <w:basedOn w:val="Normal"/>
    <w:pPr>
      <w:widowControl/>
      <w:numPr>
        <w:numId w:val="5"/>
      </w:numPr>
      <w:spacing w:before="120" w:after="120" w:line="360" w:lineRule="auto"/>
    </w:pPr>
    <w:rPr>
      <w:rFonts w:eastAsia="Calibri"/>
      <w:szCs w:val="22"/>
      <w:lang w:eastAsia="en-US"/>
    </w:rPr>
  </w:style>
  <w:style w:type="paragraph" w:customStyle="1" w:styleId="Dash3">
    <w:name w:val="Dash 3"/>
    <w:basedOn w:val="Normal"/>
    <w:pPr>
      <w:widowControl/>
      <w:numPr>
        <w:numId w:val="6"/>
      </w:numPr>
      <w:spacing w:before="120" w:after="120" w:line="360" w:lineRule="auto"/>
    </w:pPr>
    <w:rPr>
      <w:rFonts w:eastAsia="Calibri"/>
      <w:szCs w:val="22"/>
      <w:lang w:eastAsia="en-US"/>
    </w:rPr>
  </w:style>
  <w:style w:type="paragraph" w:customStyle="1" w:styleId="Dash4">
    <w:name w:val="Dash 4"/>
    <w:basedOn w:val="Normal"/>
    <w:pPr>
      <w:widowControl/>
      <w:numPr>
        <w:numId w:val="7"/>
      </w:numPr>
      <w:spacing w:before="120" w:after="120" w:line="360" w:lineRule="auto"/>
    </w:pPr>
    <w:rPr>
      <w:rFonts w:eastAsia="Calibri"/>
      <w:szCs w:val="22"/>
      <w:lang w:eastAsia="en-US"/>
    </w:rPr>
  </w:style>
  <w:style w:type="paragraph" w:customStyle="1" w:styleId="DashEqual">
    <w:name w:val="Dash Equal"/>
    <w:basedOn w:val="Dash"/>
    <w:pPr>
      <w:numPr>
        <w:numId w:val="8"/>
      </w:numPr>
      <w:tabs>
        <w:tab w:val="clear" w:pos="567"/>
        <w:tab w:val="num" w:pos="1080"/>
      </w:tabs>
      <w:ind w:left="1080" w:hanging="360"/>
    </w:pPr>
  </w:style>
  <w:style w:type="paragraph" w:customStyle="1" w:styleId="DashEqual1">
    <w:name w:val="Dash Equal 1"/>
    <w:basedOn w:val="Dash1"/>
    <w:pPr>
      <w:numPr>
        <w:numId w:val="9"/>
      </w:numPr>
      <w:tabs>
        <w:tab w:val="clear" w:pos="1134"/>
        <w:tab w:val="num" w:pos="1440"/>
      </w:tabs>
      <w:ind w:left="1440" w:hanging="360"/>
    </w:pPr>
  </w:style>
  <w:style w:type="paragraph" w:customStyle="1" w:styleId="DashEqual2">
    <w:name w:val="Dash Equal 2"/>
    <w:basedOn w:val="Dash2"/>
    <w:pPr>
      <w:numPr>
        <w:numId w:val="10"/>
      </w:numPr>
      <w:tabs>
        <w:tab w:val="clear" w:pos="1701"/>
        <w:tab w:val="num" w:pos="1440"/>
      </w:tabs>
      <w:ind w:left="1440" w:hanging="360"/>
    </w:pPr>
  </w:style>
  <w:style w:type="paragraph" w:customStyle="1" w:styleId="DashEqual3">
    <w:name w:val="Dash Equal 3"/>
    <w:basedOn w:val="Dash3"/>
    <w:pPr>
      <w:numPr>
        <w:numId w:val="11"/>
      </w:numPr>
      <w:tabs>
        <w:tab w:val="clear" w:pos="2268"/>
        <w:tab w:val="num" w:pos="1800"/>
      </w:tabs>
      <w:ind w:left="1800" w:hanging="360"/>
    </w:pPr>
  </w:style>
  <w:style w:type="paragraph" w:customStyle="1" w:styleId="DashEqual4">
    <w:name w:val="Dash Equal 4"/>
    <w:basedOn w:val="Dash4"/>
    <w:pPr>
      <w:numPr>
        <w:numId w:val="12"/>
      </w:numPr>
      <w:tabs>
        <w:tab w:val="clear" w:pos="2835"/>
        <w:tab w:val="num" w:pos="1800"/>
      </w:tabs>
      <w:ind w:left="1800" w:hanging="360"/>
    </w:p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paragraph" w:customStyle="1" w:styleId="HeadingLeft">
    <w:name w:val="Heading Left"/>
    <w:basedOn w:val="Normal"/>
    <w:next w:val="Normal"/>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pPr>
      <w:numPr>
        <w:numId w:val="22"/>
      </w:numPr>
      <w:tabs>
        <w:tab w:val="clear" w:pos="567"/>
        <w:tab w:val="num" w:pos="1800"/>
      </w:tabs>
      <w:ind w:left="1800" w:hanging="360"/>
    </w:pPr>
  </w:style>
  <w:style w:type="paragraph" w:customStyle="1" w:styleId="Heading123">
    <w:name w:val="Heading 123"/>
    <w:basedOn w:val="HeadingLeft"/>
    <w:next w:val="Normal"/>
    <w:pPr>
      <w:numPr>
        <w:numId w:val="21"/>
      </w:numPr>
      <w:tabs>
        <w:tab w:val="clear" w:pos="567"/>
        <w:tab w:val="num" w:pos="1800"/>
      </w:tabs>
      <w:ind w:left="1800" w:hanging="360"/>
    </w:pPr>
  </w:style>
  <w:style w:type="paragraph" w:customStyle="1" w:styleId="HeadingABC">
    <w:name w:val="Heading ABC"/>
    <w:basedOn w:val="HeadingLeft"/>
    <w:next w:val="Normal"/>
    <w:pPr>
      <w:numPr>
        <w:numId w:val="20"/>
      </w:numPr>
      <w:tabs>
        <w:tab w:val="clear" w:pos="567"/>
        <w:tab w:val="num" w:pos="1440"/>
      </w:tabs>
      <w:ind w:left="1440" w:hanging="360"/>
    </w:pPr>
  </w:style>
  <w:style w:type="paragraph" w:customStyle="1" w:styleId="HeadingCentered">
    <w:name w:val="Heading Centered"/>
    <w:basedOn w:val="HeadingLeft"/>
    <w:next w:val="Normal"/>
    <w:pPr>
      <w:jc w:val="center"/>
    </w:pPr>
  </w:style>
  <w:style w:type="paragraph" w:customStyle="1" w:styleId="Jardin">
    <w:name w:val="Jardin"/>
    <w:basedOn w:val="Normal"/>
    <w:pPr>
      <w:widowControl/>
      <w:spacing w:before="200"/>
      <w:jc w:val="center"/>
    </w:pPr>
    <w:rPr>
      <w:rFonts w:eastAsia="Calibri"/>
      <w:szCs w:val="22"/>
      <w:lang w:eastAsia="en-US"/>
    </w:rPr>
  </w:style>
  <w:style w:type="paragraph" w:customStyle="1" w:styleId="Amendment">
    <w:name w:val="Amendment"/>
    <w:basedOn w:val="Normal"/>
    <w:next w:val="Normal"/>
    <w:pPr>
      <w:widowControl/>
      <w:spacing w:before="120" w:after="120" w:line="360" w:lineRule="auto"/>
    </w:pPr>
    <w:rPr>
      <w:rFonts w:eastAsia="Calibri"/>
      <w:i/>
      <w:szCs w:val="22"/>
      <w:u w:val="single"/>
      <w:lang w:eastAsia="en-US"/>
    </w:rPr>
  </w:style>
  <w:style w:type="paragraph" w:customStyle="1" w:styleId="AmendmentList">
    <w:name w:val="Amendment List"/>
    <w:basedOn w:val="Normal"/>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pPr>
      <w:widowControl/>
      <w:spacing w:before="120" w:after="480"/>
      <w:contextualSpacing/>
    </w:pPr>
    <w:rPr>
      <w:rFonts w:eastAsia="Calibri"/>
      <w:szCs w:val="22"/>
      <w:lang w:eastAsia="en-US"/>
    </w:rPr>
  </w:style>
  <w:style w:type="paragraph" w:customStyle="1" w:styleId="ReplyBold">
    <w:name w:val="Reply Bold"/>
    <w:basedOn w:val="ReplyRE"/>
    <w:next w:val="Normal"/>
    <w:rPr>
      <w:b/>
    </w:rPr>
  </w:style>
  <w:style w:type="paragraph" w:customStyle="1" w:styleId="Annex">
    <w:name w:val="Annex"/>
    <w:basedOn w:val="Normal"/>
    <w:next w:val="Normal"/>
    <w:pPr>
      <w:widowControl/>
      <w:spacing w:before="120" w:after="120" w:line="360" w:lineRule="auto"/>
      <w:jc w:val="right"/>
    </w:pPr>
    <w:rPr>
      <w:rFonts w:eastAsia="Calibri"/>
      <w:b/>
      <w:szCs w:val="22"/>
      <w:u w:val="single"/>
      <w:lang w:eastAsia="en-US"/>
    </w:rPr>
  </w:style>
  <w:style w:type="paragraph" w:customStyle="1" w:styleId="Sign">
    <w:name w:val="Sign"/>
    <w:basedOn w:val="Normal"/>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Pr>
      <w:rFonts w:ascii="Times New Roman" w:hAnsi="Times New Roman" w:cs="Times New Roman"/>
      <w:b/>
      <w:sz w:val="24"/>
      <w:shd w:val="clear" w:color="auto" w:fill="CCCCCC"/>
    </w:rPr>
  </w:style>
  <w:style w:type="paragraph" w:customStyle="1" w:styleId="NormalCompact">
    <w:name w:val="Normal Compact"/>
    <w:basedOn w:val="Normal"/>
    <w:next w:val="Normal"/>
    <w:pPr>
      <w:widowControl/>
      <w:spacing w:before="120" w:after="120"/>
    </w:pPr>
    <w:rPr>
      <w:rFonts w:eastAsia="Calibri"/>
      <w:szCs w:val="22"/>
      <w:lang w:eastAsia="en-US"/>
    </w:rPr>
  </w:style>
  <w:style w:type="paragraph" w:styleId="EndnoteText">
    <w:name w:val="endnote text"/>
    <w:basedOn w:val="Normal"/>
    <w:link w:val="EndnoteTextChar"/>
    <w:uiPriority w:val="99"/>
    <w:unhideWhenUsed/>
    <w:pPr>
      <w:widowControl/>
    </w:pPr>
    <w:rPr>
      <w:rFonts w:eastAsia="Calibri"/>
      <w:sz w:val="20"/>
      <w:lang w:eastAsia="en-US"/>
    </w:rPr>
  </w:style>
  <w:style w:type="character" w:customStyle="1" w:styleId="EndnoteTextChar">
    <w:name w:val="Endnote Text Char"/>
    <w:basedOn w:val="DefaultParagraphFont"/>
    <w:link w:val="EndnoteText"/>
    <w:uiPriority w:val="99"/>
    <w:rPr>
      <w:rFonts w:eastAsia="Calibri"/>
      <w:lang w:val="sk-SK" w:eastAsia="en-US"/>
    </w:rPr>
  </w:style>
  <w:style w:type="character" w:styleId="EndnoteReference">
    <w:name w:val="endnote reference"/>
    <w:basedOn w:val="DefaultParagraphFont"/>
    <w:uiPriority w:val="99"/>
    <w:unhideWhenUsed/>
    <w:rPr>
      <w:vertAlign w:val="superscript"/>
    </w:rPr>
  </w:style>
  <w:style w:type="paragraph" w:customStyle="1" w:styleId="HeaderCouncilLarge">
    <w:name w:val="Header Council Large"/>
    <w:basedOn w:val="Normal"/>
    <w:link w:val="HeaderCouncilLargeChar"/>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Pr>
      <w:rFonts w:eastAsia="Calibri"/>
      <w:sz w:val="24"/>
      <w:szCs w:val="22"/>
      <w:lang w:val="sk-SK" w:eastAsia="en-US"/>
    </w:rPr>
  </w:style>
  <w:style w:type="character" w:customStyle="1" w:styleId="HeaderCouncilLargeChar">
    <w:name w:val="Header Council Large Char"/>
    <w:basedOn w:val="TechnicalBlockChar"/>
    <w:link w:val="HeaderCouncilLarge"/>
    <w:rPr>
      <w:rFonts w:eastAsia="Calibri"/>
      <w:sz w:val="2"/>
      <w:szCs w:val="22"/>
      <w:lang w:val="sk-SK" w:eastAsia="en-US"/>
    </w:rPr>
  </w:style>
  <w:style w:type="paragraph" w:customStyle="1" w:styleId="FooterText">
    <w:name w:val="Footer Text"/>
    <w:basedOn w:val="Normal"/>
    <w:pPr>
      <w:widowControl/>
    </w:pPr>
    <w:rPr>
      <w:szCs w:val="24"/>
      <w:lang w:eastAsia="en-US"/>
    </w:rPr>
  </w:style>
  <w:style w:type="character" w:styleId="PlaceholderText">
    <w:name w:val="Placeholder Text"/>
    <w:basedOn w:val="DefaultParagraphFont"/>
    <w:uiPriority w:val="99"/>
    <w:semiHidden/>
    <w:rPr>
      <w:color w:val="808080"/>
    </w:rPr>
  </w:style>
  <w:style w:type="paragraph" w:styleId="TOC4">
    <w:name w:val="toc 4"/>
    <w:basedOn w:val="Normal"/>
    <w:next w:val="Normal"/>
    <w:uiPriority w:val="39"/>
    <w:unhideWhenUsed/>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pPr>
      <w:widowControl/>
      <w:spacing w:before="120" w:after="120" w:line="360" w:lineRule="auto"/>
      <w:ind w:left="4252"/>
    </w:pPr>
    <w:rPr>
      <w:rFonts w:eastAsia="Calibri"/>
      <w:szCs w:val="22"/>
      <w:lang w:eastAsia="en-US"/>
    </w:rPr>
  </w:style>
  <w:style w:type="paragraph" w:customStyle="1" w:styleId="Text8">
    <w:name w:val="Text 8"/>
    <w:basedOn w:val="Normal"/>
    <w:pPr>
      <w:widowControl/>
      <w:spacing w:before="120" w:after="120" w:line="360" w:lineRule="auto"/>
      <w:ind w:left="4819"/>
    </w:pPr>
    <w:rPr>
      <w:rFonts w:eastAsia="Calibri"/>
      <w:szCs w:val="22"/>
      <w:lang w:eastAsia="en-US"/>
    </w:rPr>
  </w:style>
  <w:style w:type="paragraph" w:customStyle="1" w:styleId="Text9">
    <w:name w:val="Text 9"/>
    <w:basedOn w:val="Normal"/>
    <w:pPr>
      <w:widowControl/>
      <w:spacing w:before="120" w:after="120" w:line="360" w:lineRule="auto"/>
      <w:ind w:left="5386"/>
    </w:pPr>
    <w:rPr>
      <w:rFonts w:eastAsia="Calibri"/>
      <w:szCs w:val="22"/>
      <w:lang w:eastAsia="en-US"/>
    </w:rPr>
  </w:style>
  <w:style w:type="paragraph" w:customStyle="1" w:styleId="Text10">
    <w:name w:val="Text 10"/>
    <w:basedOn w:val="Normal"/>
    <w:pPr>
      <w:widowControl/>
      <w:spacing w:before="120" w:after="120" w:line="360" w:lineRule="auto"/>
      <w:ind w:left="5953"/>
    </w:pPr>
    <w:rPr>
      <w:rFonts w:eastAsia="Calibri"/>
      <w:szCs w:val="22"/>
      <w:lang w:eastAsia="en-US"/>
    </w:rPr>
  </w:style>
  <w:style w:type="paragraph" w:customStyle="1" w:styleId="NormalLeft">
    <w:name w:val="Normal Left"/>
    <w:basedOn w:val="Normal"/>
    <w:pPr>
      <w:widowControl/>
      <w:spacing w:before="120" w:after="120" w:line="360" w:lineRule="auto"/>
    </w:pPr>
    <w:rPr>
      <w:rFonts w:eastAsia="Calibri"/>
      <w:szCs w:val="22"/>
      <w:lang w:eastAsia="en-US"/>
    </w:rPr>
  </w:style>
  <w:style w:type="paragraph" w:customStyle="1" w:styleId="QuotedText">
    <w:name w:val="Quoted Text"/>
    <w:basedOn w:val="Normal"/>
    <w:pPr>
      <w:widowControl/>
      <w:spacing w:before="120" w:after="120" w:line="360" w:lineRule="auto"/>
      <w:ind w:left="1417"/>
    </w:pPr>
    <w:rPr>
      <w:rFonts w:eastAsia="Calibri"/>
      <w:szCs w:val="22"/>
      <w:lang w:eastAsia="en-US"/>
    </w:rPr>
  </w:style>
  <w:style w:type="paragraph" w:customStyle="1" w:styleId="Point0">
    <w:name w:val="Point 0"/>
    <w:basedOn w:val="Normal"/>
    <w:pPr>
      <w:widowControl/>
      <w:spacing w:before="120" w:after="120" w:line="360" w:lineRule="auto"/>
      <w:ind w:left="850" w:hanging="850"/>
    </w:pPr>
    <w:rPr>
      <w:rFonts w:eastAsia="Calibri"/>
      <w:szCs w:val="22"/>
      <w:lang w:eastAsia="en-US"/>
    </w:rPr>
  </w:style>
  <w:style w:type="paragraph" w:customStyle="1" w:styleId="Point1">
    <w:name w:val="Point 1"/>
    <w:basedOn w:val="Normal"/>
    <w:pPr>
      <w:widowControl/>
      <w:spacing w:before="120" w:after="120" w:line="360" w:lineRule="auto"/>
      <w:ind w:left="1417" w:hanging="567"/>
    </w:pPr>
    <w:rPr>
      <w:rFonts w:eastAsia="Calibri"/>
      <w:szCs w:val="22"/>
      <w:lang w:eastAsia="en-US"/>
    </w:rPr>
  </w:style>
  <w:style w:type="paragraph" w:customStyle="1" w:styleId="Point2">
    <w:name w:val="Point 2"/>
    <w:basedOn w:val="Normal"/>
    <w:pPr>
      <w:widowControl/>
      <w:spacing w:before="120" w:after="120" w:line="360" w:lineRule="auto"/>
      <w:ind w:left="1984" w:hanging="567"/>
    </w:pPr>
    <w:rPr>
      <w:rFonts w:eastAsia="Calibri"/>
      <w:szCs w:val="22"/>
      <w:lang w:eastAsia="en-US"/>
    </w:rPr>
  </w:style>
  <w:style w:type="paragraph" w:customStyle="1" w:styleId="Point3">
    <w:name w:val="Point 3"/>
    <w:basedOn w:val="Normal"/>
    <w:pPr>
      <w:widowControl/>
      <w:spacing w:before="120" w:after="120" w:line="360" w:lineRule="auto"/>
      <w:ind w:left="2551" w:hanging="567"/>
    </w:pPr>
    <w:rPr>
      <w:rFonts w:eastAsia="Calibri"/>
      <w:szCs w:val="22"/>
      <w:lang w:eastAsia="en-US"/>
    </w:rPr>
  </w:style>
  <w:style w:type="paragraph" w:customStyle="1" w:styleId="Point4">
    <w:name w:val="Point 4"/>
    <w:basedOn w:val="Normal"/>
    <w:pPr>
      <w:widowControl/>
      <w:spacing w:before="120" w:after="120" w:line="360" w:lineRule="auto"/>
      <w:ind w:left="3118" w:hanging="567"/>
    </w:pPr>
    <w:rPr>
      <w:rFonts w:eastAsia="Calibri"/>
      <w:szCs w:val="22"/>
      <w:lang w:eastAsia="en-US"/>
    </w:rPr>
  </w:style>
  <w:style w:type="paragraph" w:customStyle="1" w:styleId="Point5">
    <w:name w:val="Point 5"/>
    <w:basedOn w:val="Normal"/>
    <w:pPr>
      <w:widowControl/>
      <w:spacing w:before="120" w:after="120" w:line="360" w:lineRule="auto"/>
      <w:ind w:left="3685" w:hanging="567"/>
    </w:pPr>
    <w:rPr>
      <w:rFonts w:eastAsia="Calibri"/>
      <w:szCs w:val="22"/>
      <w:lang w:eastAsia="en-US"/>
    </w:rPr>
  </w:style>
  <w:style w:type="paragraph" w:customStyle="1" w:styleId="Point6">
    <w:name w:val="Point 6"/>
    <w:basedOn w:val="Normal"/>
    <w:pPr>
      <w:widowControl/>
      <w:spacing w:before="120" w:after="120" w:line="360" w:lineRule="auto"/>
      <w:ind w:left="4252" w:hanging="567"/>
    </w:pPr>
    <w:rPr>
      <w:rFonts w:eastAsia="Calibri"/>
      <w:szCs w:val="22"/>
      <w:lang w:eastAsia="en-US"/>
    </w:rPr>
  </w:style>
  <w:style w:type="paragraph" w:customStyle="1" w:styleId="Point7">
    <w:name w:val="Point 7"/>
    <w:basedOn w:val="Normal"/>
    <w:pPr>
      <w:widowControl/>
      <w:spacing w:before="120" w:after="120" w:line="360" w:lineRule="auto"/>
      <w:ind w:left="4819" w:hanging="567"/>
    </w:pPr>
    <w:rPr>
      <w:rFonts w:eastAsia="Calibri"/>
      <w:szCs w:val="22"/>
      <w:lang w:eastAsia="en-US"/>
    </w:rPr>
  </w:style>
  <w:style w:type="paragraph" w:customStyle="1" w:styleId="Point8">
    <w:name w:val="Point 8"/>
    <w:basedOn w:val="Normal"/>
    <w:pPr>
      <w:widowControl/>
      <w:spacing w:before="120" w:after="120" w:line="360" w:lineRule="auto"/>
      <w:ind w:left="5386" w:hanging="567"/>
    </w:pPr>
    <w:rPr>
      <w:rFonts w:eastAsia="Calibri"/>
      <w:szCs w:val="22"/>
      <w:lang w:eastAsia="en-US"/>
    </w:rPr>
  </w:style>
  <w:style w:type="paragraph" w:customStyle="1" w:styleId="Point9">
    <w:name w:val="Point 9"/>
    <w:basedOn w:val="Normal"/>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pPr>
      <w:widowControl/>
      <w:spacing w:before="120" w:after="120" w:line="360" w:lineRule="auto"/>
      <w:jc w:val="center"/>
    </w:pPr>
    <w:rPr>
      <w:rFonts w:eastAsia="Calibri"/>
      <w:b/>
      <w:szCs w:val="22"/>
      <w:lang w:eastAsia="en-US"/>
    </w:rPr>
  </w:style>
  <w:style w:type="paragraph" w:customStyle="1" w:styleId="Point0number">
    <w:name w:val="Point 0 (number)"/>
    <w:basedOn w:val="Normal"/>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pPr>
      <w:widowControl/>
      <w:spacing w:before="480" w:after="120" w:line="360" w:lineRule="auto"/>
    </w:pPr>
    <w:rPr>
      <w:rFonts w:eastAsia="Calibri"/>
      <w:szCs w:val="22"/>
      <w:lang w:eastAsia="en-US"/>
    </w:rPr>
  </w:style>
  <w:style w:type="paragraph" w:customStyle="1" w:styleId="Considrant">
    <w:name w:val="Considérant"/>
    <w:basedOn w:val="Normal"/>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pPr>
      <w:widowControl/>
      <w:spacing w:before="360" w:line="360" w:lineRule="auto"/>
      <w:jc w:val="center"/>
    </w:pPr>
    <w:rPr>
      <w:rFonts w:eastAsia="Calibri"/>
      <w:b/>
      <w:szCs w:val="22"/>
      <w:lang w:eastAsia="en-US"/>
    </w:rPr>
  </w:style>
  <w:style w:type="paragraph" w:customStyle="1" w:styleId="Fait">
    <w:name w:val="Fait à"/>
    <w:basedOn w:val="Normal"/>
    <w:next w:val="Institutionquisign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pPr>
      <w:keepNext/>
      <w:widowControl/>
      <w:spacing w:before="120" w:after="120" w:line="360" w:lineRule="auto"/>
    </w:pPr>
    <w:rPr>
      <w:rFonts w:eastAsia="Calibri"/>
      <w:szCs w:val="22"/>
      <w:lang w:eastAsia="en-US"/>
    </w:rPr>
  </w:style>
  <w:style w:type="paragraph" w:customStyle="1" w:styleId="Institutionquisigne">
    <w:name w:val="Institution qui signe"/>
    <w:basedOn w:val="Normal"/>
    <w:next w:val="Personnequisign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pPr>
      <w:widowControl/>
      <w:tabs>
        <w:tab w:val="left" w:pos="5669"/>
      </w:tabs>
      <w:spacing w:line="360" w:lineRule="auto"/>
    </w:pPr>
    <w:rPr>
      <w:rFonts w:eastAsia="Calibri"/>
      <w:i/>
      <w:szCs w:val="22"/>
      <w:lang w:eastAsia="en-US"/>
    </w:rPr>
  </w:style>
  <w:style w:type="paragraph" w:customStyle="1" w:styleId="Sous-titreobjet">
    <w:name w:val="Sous-titre objet"/>
    <w:basedOn w:val="Normal"/>
    <w:pPr>
      <w:widowControl/>
      <w:spacing w:line="360" w:lineRule="auto"/>
      <w:jc w:val="center"/>
    </w:pPr>
    <w:rPr>
      <w:rFonts w:eastAsia="Calibri"/>
      <w:b/>
      <w:szCs w:val="22"/>
      <w:lang w:eastAsia="en-US"/>
    </w:rPr>
  </w:style>
  <w:style w:type="paragraph" w:customStyle="1" w:styleId="Statut">
    <w:name w:val="Statut"/>
    <w:basedOn w:val="Normal"/>
    <w:next w:val="Typedudocument"/>
    <w:pPr>
      <w:widowControl/>
      <w:spacing w:before="360" w:line="360" w:lineRule="auto"/>
      <w:jc w:val="center"/>
    </w:pPr>
    <w:rPr>
      <w:rFonts w:eastAsia="Calibri"/>
      <w:szCs w:val="22"/>
      <w:lang w:eastAsia="en-US"/>
    </w:rPr>
  </w:style>
  <w:style w:type="paragraph" w:customStyle="1" w:styleId="Titrearticle">
    <w:name w:val="Titre article"/>
    <w:basedOn w:val="Normal"/>
    <w:next w:val="Normal"/>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pPr>
      <w:widowControl/>
      <w:spacing w:before="360" w:line="360" w:lineRule="auto"/>
      <w:jc w:val="center"/>
    </w:pPr>
    <w:rPr>
      <w:rFonts w:eastAsia="Calibri"/>
      <w:b/>
      <w:szCs w:val="22"/>
      <w:lang w:eastAsia="en-US"/>
    </w:rPr>
  </w:style>
  <w:style w:type="paragraph" w:customStyle="1" w:styleId="Lignefinal">
    <w:name w:val="Ligne final"/>
    <w:basedOn w:val="Normal"/>
    <w:next w:val="Normal"/>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pPr>
      <w:widowControl/>
      <w:spacing w:line="360" w:lineRule="auto"/>
      <w:ind w:left="5103"/>
    </w:pPr>
    <w:rPr>
      <w:rFonts w:eastAsia="Calibri"/>
      <w:szCs w:val="22"/>
      <w:lang w:eastAsia="en-US"/>
    </w:rPr>
  </w:style>
  <w:style w:type="paragraph" w:customStyle="1" w:styleId="EntLogo">
    <w:name w:val="EntLogo"/>
    <w:basedOn w:val="Normal"/>
    <w:pPr>
      <w:widowControl/>
      <w:tabs>
        <w:tab w:val="right" w:pos="9639"/>
      </w:tabs>
      <w:spacing w:line="360" w:lineRule="auto"/>
    </w:pPr>
    <w:rPr>
      <w:rFonts w:eastAsia="Calibri"/>
      <w:b/>
      <w:szCs w:val="22"/>
      <w:lang w:eastAsia="en-US"/>
    </w:rPr>
  </w:style>
  <w:style w:type="paragraph" w:customStyle="1" w:styleId="EntInstit">
    <w:name w:val="EntInstit"/>
    <w:basedOn w:val="Normal"/>
    <w:pPr>
      <w:widowControl/>
      <w:jc w:val="right"/>
    </w:pPr>
    <w:rPr>
      <w:rFonts w:eastAsia="Calibri"/>
      <w:b/>
      <w:szCs w:val="22"/>
      <w:lang w:eastAsia="en-US"/>
    </w:rPr>
  </w:style>
  <w:style w:type="paragraph" w:customStyle="1" w:styleId="EntRefer">
    <w:name w:val="EntRefer"/>
    <w:basedOn w:val="Normal"/>
    <w:pPr>
      <w:widowControl/>
    </w:pPr>
    <w:rPr>
      <w:rFonts w:eastAsia="Calibri"/>
      <w:b/>
      <w:szCs w:val="22"/>
      <w:lang w:eastAsia="en-US"/>
    </w:rPr>
  </w:style>
  <w:style w:type="paragraph" w:customStyle="1" w:styleId="EntEmet">
    <w:name w:val="EntEmet"/>
    <w:basedOn w:val="Normal"/>
    <w:pPr>
      <w:widowControl/>
      <w:spacing w:before="40"/>
    </w:pPr>
    <w:rPr>
      <w:rFonts w:eastAsia="Calibri"/>
      <w:szCs w:val="22"/>
      <w:lang w:eastAsia="en-US"/>
    </w:rPr>
  </w:style>
  <w:style w:type="paragraph" w:customStyle="1" w:styleId="EntText">
    <w:name w:val="EntText"/>
    <w:basedOn w:val="Normal"/>
    <w:pPr>
      <w:widowControl/>
      <w:spacing w:before="120" w:after="120" w:line="360" w:lineRule="auto"/>
    </w:pPr>
    <w:rPr>
      <w:rFonts w:eastAsia="Calibri"/>
      <w:szCs w:val="22"/>
      <w:lang w:eastAsia="en-US"/>
    </w:rPr>
  </w:style>
  <w:style w:type="paragraph" w:customStyle="1" w:styleId="EntEU">
    <w:name w:val="EntEU"/>
    <w:basedOn w:val="Normal"/>
    <w:pPr>
      <w:widowControl/>
      <w:spacing w:before="240" w:after="240"/>
      <w:jc w:val="center"/>
    </w:pPr>
    <w:rPr>
      <w:rFonts w:eastAsia="Calibri"/>
      <w:b/>
      <w:sz w:val="36"/>
      <w:szCs w:val="22"/>
      <w:lang w:eastAsia="en-US"/>
    </w:rPr>
  </w:style>
  <w:style w:type="paragraph" w:customStyle="1" w:styleId="EntASSOC">
    <w:name w:val="EntASSOC"/>
    <w:basedOn w:val="Normal"/>
    <w:pPr>
      <w:widowControl/>
      <w:jc w:val="center"/>
    </w:pPr>
    <w:rPr>
      <w:rFonts w:eastAsia="Calibri"/>
      <w:b/>
      <w:szCs w:val="22"/>
      <w:lang w:eastAsia="en-US"/>
    </w:rPr>
  </w:style>
  <w:style w:type="paragraph" w:customStyle="1" w:styleId="EntACP">
    <w:name w:val="EntACP"/>
    <w:basedOn w:val="Normal"/>
    <w:pPr>
      <w:widowControl/>
      <w:spacing w:after="180"/>
      <w:jc w:val="center"/>
    </w:pPr>
    <w:rPr>
      <w:rFonts w:eastAsia="Calibri"/>
      <w:b/>
      <w:spacing w:val="40"/>
      <w:sz w:val="28"/>
      <w:szCs w:val="22"/>
      <w:lang w:eastAsia="en-US"/>
    </w:rPr>
  </w:style>
  <w:style w:type="paragraph" w:customStyle="1" w:styleId="EntInstitACP">
    <w:name w:val="EntInstitACP"/>
    <w:basedOn w:val="Normal"/>
    <w:pPr>
      <w:widowControl/>
      <w:jc w:val="center"/>
    </w:pPr>
    <w:rPr>
      <w:rFonts w:eastAsia="Calibri"/>
      <w:b/>
      <w:szCs w:val="22"/>
      <w:lang w:eastAsia="en-US"/>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widowControl/>
      <w:spacing w:line="360" w:lineRule="auto"/>
      <w:jc w:val="center"/>
    </w:pPr>
    <w:rPr>
      <w:rFonts w:eastAsia="Calibri"/>
      <w:szCs w:val="22"/>
      <w:lang w:eastAsia="en-US"/>
    </w:rPr>
  </w:style>
  <w:style w:type="paragraph" w:customStyle="1" w:styleId="FooterAccord">
    <w:name w:val="Footer Accord"/>
    <w:basedOn w:val="Normal"/>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pPr>
      <w:spacing w:after="240"/>
    </w:pPr>
  </w:style>
  <w:style w:type="paragraph" w:customStyle="1" w:styleId="Annexetitre">
    <w:name w:val="Annexe titre"/>
    <w:basedOn w:val="Normal"/>
    <w:next w:val="Normal"/>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pPr>
      <w:widowControl/>
      <w:spacing w:before="120" w:after="120" w:line="360" w:lineRule="auto"/>
      <w:ind w:left="850" w:hanging="850"/>
    </w:pPr>
    <w:rPr>
      <w:rFonts w:eastAsia="Calibri"/>
      <w:szCs w:val="22"/>
      <w:lang w:eastAsia="en-US"/>
    </w:rPr>
  </w:style>
  <w:style w:type="paragraph" w:customStyle="1" w:styleId="CommentQuotedText">
    <w:name w:val="CommentQuotedText"/>
    <w:pPr>
      <w:pBdr>
        <w:left w:val="single" w:sz="18" w:space="5" w:color="0070C0"/>
      </w:pBdr>
      <w:spacing w:after="160" w:line="259" w:lineRule="auto"/>
    </w:pPr>
    <w:rPr>
      <w:rFonts w:ascii="Calibri" w:eastAsia="Calibri" w:hAnsi="Calibri" w:cs="Arial"/>
      <w:i/>
      <w:sz w:val="22"/>
      <w:szCs w:val="22"/>
      <w:lang w:val="sk-SK" w:eastAsia="en-US"/>
    </w:rPr>
  </w:style>
  <w:style w:type="paragraph" w:customStyle="1" w:styleId="CommentFwdQuotedText">
    <w:name w:val="CommentFwdQuotedText"/>
    <w:basedOn w:val="Normal"/>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tte-added">
    <w:name w:val="diff-tte-added"/>
    <w:basedOn w:val="DefaultParagraphFont"/>
    <w:rPr>
      <w:b/>
      <w:i/>
    </w:rPr>
  </w:style>
  <w:style w:type="character" w:customStyle="1" w:styleId="diff-tte-removed">
    <w:name w:val="diff-tte-removed"/>
    <w:basedOn w:val="DefaultParagraphFont"/>
    <w:rPr>
      <w:strike/>
    </w:rPr>
  </w:style>
  <w:style w:type="paragraph" w:customStyle="1" w:styleId="Default">
    <w:name w:val="Default"/>
    <w:pPr>
      <w:autoSpaceDE w:val="0"/>
      <w:autoSpaceDN w:val="0"/>
      <w:adjustRightInd w:val="0"/>
    </w:pPr>
    <w:rPr>
      <w:rFonts w:ascii="Cambria" w:eastAsia="Calibri" w:hAnsi="Cambria" w:cs="Cambria"/>
      <w:color w:val="000000"/>
      <w:sz w:val="24"/>
      <w:szCs w:val="24"/>
      <w:lang w:val="sk-SK" w:eastAsia="en-US"/>
    </w:rPr>
  </w:style>
  <w:style w:type="paragraph" w:customStyle="1" w:styleId="TableParagraph">
    <w:name w:val="Table Paragraph"/>
    <w:basedOn w:val="Normal"/>
    <w:uiPriority w:val="1"/>
    <w:qFormat/>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pPr>
      <w:widowControl/>
      <w:spacing w:after="160" w:line="240" w:lineRule="exact"/>
    </w:pPr>
    <w:rPr>
      <w:sz w:val="20"/>
      <w:vertAlign w:val="superscript"/>
      <w:lang w:val="en-GB"/>
    </w:rPr>
  </w:style>
  <w:style w:type="character" w:styleId="Emphasis">
    <w:name w:val="Emphasis"/>
    <w:basedOn w:val="DefaultParagraphFont"/>
    <w:uiPriority w:val="20"/>
    <w:qFormat/>
    <w:rPr>
      <w:i/>
      <w:iCs/>
    </w:rPr>
  </w:style>
  <w:style w:type="character" w:customStyle="1" w:styleId="Hyperlink1">
    <w:name w:val="Hyperlink1"/>
    <w:basedOn w:val="DefaultParagraphFont"/>
    <w:uiPriority w:val="99"/>
    <w:unhideWhenUsed/>
    <w:rPr>
      <w:color w:val="0000FF"/>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nresolvedMention2">
    <w:name w:val="Unresolved Mention2"/>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28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01980-8998-4FA9-AD3A-1BCBD11CF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2024-04-11T15:48:00Z</dcterms:created>
  <dcterms:modified xsi:type="dcterms:W3CDTF">2024-04-11T15:48:00Z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P9_TA(2024)0061_</vt:lpwstr>
  </property>
  <property fmtid="{D5CDD505-2E9C-101B-9397-08002B2CF9AE}" pid="4" name="&lt;Type&gt;">
    <vt:lpwstr>RR</vt:lpwstr>
  </property>
</Properties>
</file>