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12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1263" w:rsidRDefault="003277D2" w:rsidP="0010095E">
            <w:pPr>
              <w:pStyle w:val="EPName"/>
            </w:pPr>
            <w:r w:rsidRPr="000E1263">
              <w:t>Euroopa Parlament</w:t>
            </w:r>
          </w:p>
          <w:p w:rsidR="00751A4A" w:rsidRPr="000E12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26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E1263" w:rsidRDefault="00187494" w:rsidP="0010095E">
            <w:pPr>
              <w:pStyle w:val="EPLogo"/>
            </w:pPr>
            <w:r w:rsidRPr="000E12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1263" w:rsidRDefault="00D058B8" w:rsidP="004C5D52">
      <w:pPr>
        <w:pStyle w:val="LineTop"/>
      </w:pPr>
    </w:p>
    <w:p w:rsidR="00680577" w:rsidRPr="000E1263" w:rsidRDefault="003277D2" w:rsidP="00680577">
      <w:pPr>
        <w:pStyle w:val="EPBodyTA1"/>
      </w:pPr>
      <w:r w:rsidRPr="000E1263">
        <w:t>VASTUVÕETUD TEKSTID</w:t>
      </w:r>
    </w:p>
    <w:p w:rsidR="00D058B8" w:rsidRPr="000E1263" w:rsidRDefault="00D058B8" w:rsidP="00D058B8">
      <w:pPr>
        <w:pStyle w:val="LineBottom"/>
      </w:pPr>
    </w:p>
    <w:p w:rsidR="003277D2" w:rsidRPr="000E1263" w:rsidRDefault="003277D2" w:rsidP="003277D2">
      <w:pPr>
        <w:pStyle w:val="ATHeading1"/>
      </w:pPr>
      <w:bookmarkStart w:id="0" w:name="TANumber"/>
      <w:r w:rsidRPr="000E1263">
        <w:t>P9_TA(2024)00</w:t>
      </w:r>
      <w:r w:rsidR="00AB7B1E" w:rsidRPr="000E1263">
        <w:t>64</w:t>
      </w:r>
      <w:bookmarkEnd w:id="0"/>
    </w:p>
    <w:p w:rsidR="003277D2" w:rsidRPr="000E1263" w:rsidRDefault="00520852" w:rsidP="003277D2">
      <w:pPr>
        <w:pStyle w:val="ATHeading2"/>
      </w:pPr>
      <w:bookmarkStart w:id="1" w:name="title"/>
      <w:r w:rsidRPr="000E1263">
        <w:t>Alternatiivsete investeerimisfondide valitsejate (AIFM) direktiivi ja v</w:t>
      </w:r>
      <w:r w:rsidRPr="000E1263">
        <w:rPr>
          <w:bCs/>
        </w:rPr>
        <w:t>abalt võõrandatavatesse väärtpaberitesse ühiseks investeeringuks loodud ettevõtjate (eurofondid) direktiivi muutmine</w:t>
      </w:r>
      <w:bookmarkEnd w:id="1"/>
    </w:p>
    <w:p w:rsidR="003277D2" w:rsidRPr="000E1263" w:rsidRDefault="003277D2" w:rsidP="003277D2">
      <w:pPr>
        <w:rPr>
          <w:i/>
          <w:vanish/>
        </w:rPr>
      </w:pPr>
      <w:r w:rsidRPr="000E1263">
        <w:rPr>
          <w:i/>
        </w:rPr>
        <w:fldChar w:fldCharType="begin"/>
      </w:r>
      <w:r w:rsidRPr="000E1263">
        <w:rPr>
          <w:i/>
        </w:rPr>
        <w:instrText xml:space="preserve"> TC"(</w:instrText>
      </w:r>
      <w:bookmarkStart w:id="2" w:name="DocNumber"/>
      <w:r w:rsidRPr="000E1263">
        <w:rPr>
          <w:i/>
        </w:rPr>
        <w:instrText>A9-0020/2023</w:instrText>
      </w:r>
      <w:bookmarkEnd w:id="2"/>
      <w:r w:rsidRPr="000E1263">
        <w:rPr>
          <w:i/>
        </w:rPr>
        <w:instrText xml:space="preserve"> - Raportöör: Isabel Benjumea Benjumea)"\l3 \n&gt; \* MERGEFORMAT </w:instrText>
      </w:r>
      <w:r w:rsidRPr="000E1263">
        <w:rPr>
          <w:i/>
        </w:rPr>
        <w:fldChar w:fldCharType="end"/>
      </w:r>
    </w:p>
    <w:p w:rsidR="003277D2" w:rsidRPr="000E1263" w:rsidRDefault="003277D2" w:rsidP="003277D2">
      <w:pPr>
        <w:rPr>
          <w:vanish/>
        </w:rPr>
      </w:pPr>
      <w:bookmarkStart w:id="3" w:name="Commission"/>
      <w:r w:rsidRPr="000E1263">
        <w:rPr>
          <w:vanish/>
        </w:rPr>
        <w:t>Majandus- ja rahanduskomisjon</w:t>
      </w:r>
      <w:bookmarkEnd w:id="3"/>
    </w:p>
    <w:p w:rsidR="003277D2" w:rsidRPr="000E1263" w:rsidRDefault="003277D2" w:rsidP="003277D2">
      <w:pPr>
        <w:rPr>
          <w:vanish/>
        </w:rPr>
      </w:pPr>
      <w:bookmarkStart w:id="4" w:name="PE"/>
      <w:r w:rsidRPr="000E1263">
        <w:rPr>
          <w:vanish/>
        </w:rPr>
        <w:t>PE732.549</w:t>
      </w:r>
      <w:bookmarkEnd w:id="4"/>
    </w:p>
    <w:p w:rsidR="003277D2" w:rsidRPr="000E1263" w:rsidRDefault="00520852" w:rsidP="00520852">
      <w:pPr>
        <w:pStyle w:val="ATHeading3"/>
      </w:pPr>
      <w:bookmarkStart w:id="5" w:name="Sujet"/>
      <w:r w:rsidRPr="000E1263">
        <w:t xml:space="preserve">Euroopa Parlamendi </w:t>
      </w:r>
      <w:r w:rsidR="00515C6F" w:rsidRPr="000E1263">
        <w:t>7</w:t>
      </w:r>
      <w:r w:rsidR="003277D2" w:rsidRPr="000E1263">
        <w:t>.</w:t>
      </w:r>
      <w:r w:rsidRPr="000E1263">
        <w:t> veebruari 2024. </w:t>
      </w:r>
      <w:r w:rsidR="003277D2" w:rsidRPr="000E1263">
        <w:t>aasta seadusandlik resolutsioon ettepaneku kohta võtta vastu Euroopa Parlamendi ja nõukogu direktiiv, millega muudetakse direktiive 2011/61/EL ja 2009/65/EÜ seoses ülesannete delegeerimise kokkulepete, likviidsusriski juhtimise, järelevalvelise aruandluse, depositooriumi- ja hoidmisteenuste osutamise ning alternatiivsete investeerimisfondide poolt laenude väljastamisega</w:t>
      </w:r>
      <w:bookmarkEnd w:id="5"/>
      <w:r w:rsidR="003277D2" w:rsidRPr="000E1263">
        <w:t xml:space="preserve"> </w:t>
      </w:r>
      <w:bookmarkStart w:id="6" w:name="References"/>
      <w:r w:rsidR="003277D2" w:rsidRPr="000E1263">
        <w:t>(COM(2021)0721 – C9-0439/2021 – 2021/0376(COD))</w:t>
      </w:r>
      <w:bookmarkEnd w:id="6"/>
    </w:p>
    <w:p w:rsidR="00520852" w:rsidRPr="000E1263" w:rsidRDefault="004909EB" w:rsidP="00596ACA">
      <w:pPr>
        <w:pStyle w:val="EPComma"/>
        <w:spacing w:before="0" w:after="0"/>
        <w:rPr>
          <w:b/>
        </w:rPr>
      </w:pPr>
      <w:bookmarkStart w:id="7" w:name="TextBodyBegin"/>
      <w:bookmarkEnd w:id="7"/>
      <w:r w:rsidRPr="000E1263">
        <w:rPr>
          <w:b/>
        </w:rPr>
        <w:t>(Seadusandlik tavamenetlus: esimene lugemine)</w:t>
      </w:r>
    </w:p>
    <w:p w:rsidR="004909EB" w:rsidRPr="000E1263" w:rsidRDefault="004909EB" w:rsidP="004909EB">
      <w:pPr>
        <w:pStyle w:val="EPComma"/>
      </w:pPr>
      <w:r w:rsidRPr="000E1263">
        <w:rPr>
          <w:i/>
        </w:rPr>
        <w:t>Euroopa Parlament</w:t>
      </w:r>
      <w:r w:rsidRPr="000E1263">
        <w:t>,</w:t>
      </w:r>
    </w:p>
    <w:p w:rsidR="004909EB" w:rsidRPr="000E1263" w:rsidRDefault="004909EB" w:rsidP="00596ACA">
      <w:pPr>
        <w:pStyle w:val="NormalHanging12a"/>
      </w:pPr>
      <w:r w:rsidRPr="000E1263">
        <w:t>–</w:t>
      </w:r>
      <w:r w:rsidRPr="000E1263">
        <w:tab/>
        <w:t>võttes arvesse komisjoni ettepanekut Euroopa Parlamendile ja nõukogule (COM(2021)0721),</w:t>
      </w:r>
    </w:p>
    <w:p w:rsidR="004909EB" w:rsidRPr="000E1263" w:rsidRDefault="004909EB" w:rsidP="00596ACA">
      <w:pPr>
        <w:pStyle w:val="NormalHanging12a"/>
      </w:pPr>
      <w:r w:rsidRPr="000E1263">
        <w:t>–</w:t>
      </w:r>
      <w:r w:rsidRPr="000E1263">
        <w:tab/>
        <w:t xml:space="preserve">võttes arvesse Euroopa </w:t>
      </w:r>
      <w:r w:rsidR="00520852" w:rsidRPr="000E1263">
        <w:t>Liidu toimimise lepingu artikli 294 lõiget </w:t>
      </w:r>
      <w:r w:rsidRPr="000E1263">
        <w:t>2 ja artikli 53 lõiget 1, mille alusel komisjon esitas ette</w:t>
      </w:r>
      <w:r w:rsidR="00520852" w:rsidRPr="000E1263">
        <w:t>paneku Euroopa Parlamendile (C9</w:t>
      </w:r>
      <w:r w:rsidR="00520852" w:rsidRPr="000E1263">
        <w:noBreakHyphen/>
      </w:r>
      <w:r w:rsidRPr="000E1263">
        <w:t>0439/2021),</w:t>
      </w:r>
    </w:p>
    <w:p w:rsidR="004909EB" w:rsidRPr="000E1263" w:rsidRDefault="004909EB" w:rsidP="00596ACA">
      <w:pPr>
        <w:pStyle w:val="NormalHanging12a"/>
      </w:pPr>
      <w:r w:rsidRPr="000E1263">
        <w:t>–</w:t>
      </w:r>
      <w:r w:rsidRPr="000E1263">
        <w:tab/>
        <w:t xml:space="preserve">võttes arvesse Euroopa </w:t>
      </w:r>
      <w:r w:rsidR="00520852" w:rsidRPr="000E1263">
        <w:t>Liidu toimimise lepingu artikli 294 lõiget </w:t>
      </w:r>
      <w:r w:rsidRPr="000E1263">
        <w:t>3,</w:t>
      </w:r>
    </w:p>
    <w:p w:rsidR="009433B9" w:rsidRPr="000E1263" w:rsidRDefault="009433B9" w:rsidP="00596ACA">
      <w:pPr>
        <w:pStyle w:val="NormalHanging12a"/>
      </w:pPr>
      <w:r w:rsidRPr="000E1263">
        <w:t>–</w:t>
      </w:r>
      <w:r w:rsidRPr="000E1263">
        <w:tab/>
        <w:t>võttes arvesse vastutava komisjoni poolt kodukorra artikli 74 lõike 4 alusel heaks kiidetud esialgset kokkulepet ja nõukogu esindaja poolt 9. novembri 2023. aasta kirjas võetud kohustust kiita Euroopa Parlamendi seisukoht heaks vastavalt Euroopa Liidu toimimise lepingu artikli 294 lõikele 4;</w:t>
      </w:r>
    </w:p>
    <w:p w:rsidR="004909EB" w:rsidRPr="000E1263" w:rsidRDefault="004909EB" w:rsidP="00596ACA">
      <w:pPr>
        <w:pStyle w:val="NormalHanging12a"/>
      </w:pPr>
      <w:r w:rsidRPr="000E1263">
        <w:t>–</w:t>
      </w:r>
      <w:r w:rsidRPr="000E1263">
        <w:tab/>
        <w:t>võt</w:t>
      </w:r>
      <w:r w:rsidR="00520852" w:rsidRPr="000E1263">
        <w:t>tes arvesse kodukorra artikl</w:t>
      </w:r>
      <w:r w:rsidR="00776391" w:rsidRPr="000E1263">
        <w:t>it</w:t>
      </w:r>
      <w:r w:rsidR="00520852" w:rsidRPr="000E1263">
        <w:t> 59</w:t>
      </w:r>
      <w:r w:rsidRPr="000E1263">
        <w:t>,</w:t>
      </w:r>
    </w:p>
    <w:p w:rsidR="004909EB" w:rsidRPr="000E1263" w:rsidRDefault="004909EB" w:rsidP="00596ACA">
      <w:pPr>
        <w:pStyle w:val="NormalHanging12a"/>
      </w:pPr>
      <w:r w:rsidRPr="000E1263">
        <w:t>–</w:t>
      </w:r>
      <w:r w:rsidRPr="000E1263">
        <w:tab/>
        <w:t>võttes arvesse majandus- ja</w:t>
      </w:r>
      <w:r w:rsidR="00520852" w:rsidRPr="000E1263">
        <w:t xml:space="preserve"> rahanduskomisjoni raportit (A9</w:t>
      </w:r>
      <w:r w:rsidR="00520852" w:rsidRPr="000E1263">
        <w:noBreakHyphen/>
      </w:r>
      <w:r w:rsidRPr="000E1263">
        <w:t>0020/2023),</w:t>
      </w:r>
    </w:p>
    <w:p w:rsidR="004909EB" w:rsidRPr="000E1263" w:rsidRDefault="004909EB" w:rsidP="00596ACA">
      <w:pPr>
        <w:pStyle w:val="NormalHanging12a"/>
      </w:pPr>
      <w:r w:rsidRPr="000E1263">
        <w:t>1.</w:t>
      </w:r>
      <w:r w:rsidRPr="000E1263">
        <w:tab/>
        <w:t>võtab vastu allpool toodud esimese lugemise seisukoha;</w:t>
      </w:r>
    </w:p>
    <w:p w:rsidR="004909EB" w:rsidRPr="000E1263" w:rsidRDefault="009433B9" w:rsidP="00596ACA">
      <w:pPr>
        <w:pStyle w:val="NormalHanging12a"/>
      </w:pPr>
      <w:r w:rsidRPr="000E1263">
        <w:t>2</w:t>
      </w:r>
      <w:r w:rsidR="004909EB" w:rsidRPr="000E1263">
        <w:t>.</w:t>
      </w:r>
      <w:r w:rsidR="004909EB" w:rsidRPr="000E1263">
        <w:tab/>
        <w:t xml:space="preserve">palub komisjonil ettepaneku uuesti Euroopa Parlamendile saata, kui komisjon asendab </w:t>
      </w:r>
      <w:r w:rsidRPr="000E1263">
        <w:t xml:space="preserve">selle uue </w:t>
      </w:r>
      <w:r w:rsidR="004909EB" w:rsidRPr="000E1263">
        <w:t>ettepaneku</w:t>
      </w:r>
      <w:r w:rsidRPr="000E1263">
        <w:t>ga</w:t>
      </w:r>
      <w:r w:rsidR="004909EB" w:rsidRPr="000E1263">
        <w:t>, muudab seda oluliselt või kavatseb seda oluliselt muuta;</w:t>
      </w:r>
    </w:p>
    <w:p w:rsidR="00596ACA" w:rsidRDefault="009433B9" w:rsidP="00596ACA">
      <w:pPr>
        <w:pStyle w:val="NormalHanging12a"/>
        <w:sectPr w:rsidR="00596ACA" w:rsidSect="00F91588">
          <w:pgSz w:w="11906" w:h="16838"/>
          <w:pgMar w:top="1134" w:right="1134" w:bottom="1134" w:left="1134" w:header="567" w:footer="567" w:gutter="0"/>
          <w:cols w:space="720"/>
          <w:titlePg/>
          <w:docGrid w:linePitch="360"/>
        </w:sectPr>
      </w:pPr>
      <w:r w:rsidRPr="000E1263">
        <w:t>3</w:t>
      </w:r>
      <w:r w:rsidR="004909EB" w:rsidRPr="000E1263">
        <w:t>.</w:t>
      </w:r>
      <w:r w:rsidR="004909EB" w:rsidRPr="000E1263">
        <w:tab/>
        <w:t>teeb presidendile ülesandeks edastada Euroopa Parlamendi seisukoht nõukogule ja komisjonile ning liikmesriikide parlamentidele.</w:t>
      </w:r>
    </w:p>
    <w:p w:rsidR="00515C6F" w:rsidRPr="000E1263" w:rsidRDefault="00515C6F" w:rsidP="00515C6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E1263">
        <w:rPr>
          <w:rFonts w:eastAsia="Calibri"/>
          <w:b/>
          <w:bCs/>
          <w:color w:val="000000"/>
          <w:szCs w:val="24"/>
        </w:rPr>
        <w:lastRenderedPageBreak/>
        <w:t>P9_TC1-COD(2021)0376</w:t>
      </w:r>
    </w:p>
    <w:p w:rsidR="00515C6F" w:rsidRPr="000E1263" w:rsidRDefault="00515C6F" w:rsidP="00515C6F">
      <w:pPr>
        <w:spacing w:after="240"/>
        <w:rPr>
          <w:b/>
        </w:rPr>
      </w:pPr>
      <w:r w:rsidRPr="000E1263">
        <w:rPr>
          <w:b/>
          <w:noProof/>
        </w:rPr>
        <w:t xml:space="preserve">Euroopa Parlamendi seisukoht, vastu võetud esimesel lugemisel 7. veebruaril 2024. aastal eesmärgiga võtta vastu Euroopa Parlamendi ja nõukogu </w:t>
      </w:r>
      <w:r w:rsidRPr="000E1263">
        <w:rPr>
          <w:b/>
        </w:rPr>
        <w:t>direktiiv (EL) </w:t>
      </w:r>
      <w:r w:rsidR="00030B5F" w:rsidRPr="000E1263">
        <w:rPr>
          <w:b/>
        </w:rPr>
        <w:t>2024</w:t>
      </w:r>
      <w:r w:rsidRPr="000E1263">
        <w:rPr>
          <w:b/>
        </w:rPr>
        <w:t>/…, millega muudetakse direktiive 2011/61/EL ja 2009/65/EÜ seoses ülesannete delegeerimise kokkulepete, likviidsusriski juhtimise, järelevalvelise aruandluse, depositooriumi- ja hoidmisteenuste osutamise ning alternatiivsete investeerimisfondide poolt laenude väljastamisega</w:t>
      </w:r>
      <w:bookmarkStart w:id="8" w:name="_GoBack"/>
      <w:bookmarkEnd w:id="8"/>
    </w:p>
    <w:p w:rsidR="00515C6F" w:rsidRDefault="00515C6F" w:rsidP="00515C6F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  <w:rPr>
          <w:rFonts w:eastAsiaTheme="minorHAnsi"/>
          <w:b/>
          <w:szCs w:val="22"/>
          <w:lang w:eastAsia="en-US"/>
        </w:rPr>
      </w:pPr>
      <w:r w:rsidRPr="00596ACA">
        <w:rPr>
          <w:rFonts w:eastAsiaTheme="minorHAnsi"/>
          <w:b/>
          <w:szCs w:val="22"/>
          <w:lang w:eastAsia="en-US"/>
        </w:rPr>
        <w:t>(EMPs kohaldatav tekst)</w:t>
      </w:r>
    </w:p>
    <w:p w:rsidR="00C725C2" w:rsidRPr="00484B01" w:rsidRDefault="00C725C2" w:rsidP="00C725C2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2024/927</w:t>
      </w:r>
      <w:r w:rsidRPr="00484B01">
        <w:rPr>
          <w:i/>
        </w:rPr>
        <w:t>) lõplikule kujule).</w:t>
      </w:r>
    </w:p>
    <w:sectPr w:rsidR="00C725C2" w:rsidRPr="00484B01" w:rsidSect="00C725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852" w:rsidRPr="003C4ECB" w:rsidRDefault="00520852">
      <w:r w:rsidRPr="003C4ECB">
        <w:separator/>
      </w:r>
    </w:p>
  </w:endnote>
  <w:endnote w:type="continuationSeparator" w:id="0">
    <w:p w:rsidR="00520852" w:rsidRPr="003C4ECB" w:rsidRDefault="00520852">
      <w:r w:rsidRPr="003C4E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596ACA" w:rsidRDefault="00520852" w:rsidP="00596A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596ACA" w:rsidRDefault="00520852" w:rsidP="00596A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3C4ECB" w:rsidRDefault="005208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852" w:rsidRPr="003C4ECB" w:rsidRDefault="00520852">
      <w:r w:rsidRPr="003C4ECB">
        <w:separator/>
      </w:r>
    </w:p>
  </w:footnote>
  <w:footnote w:type="continuationSeparator" w:id="0">
    <w:p w:rsidR="00520852" w:rsidRPr="003C4ECB" w:rsidRDefault="00520852">
      <w:r w:rsidRPr="003C4E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3C4ECB" w:rsidRDefault="005208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753DAE" w:rsidRDefault="0052085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852" w:rsidRPr="00753DAE" w:rsidRDefault="005208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2C24F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A0FE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ET"/>
    <w:docVar w:name="dvnumam" w:val="0"/>
    <w:docVar w:name="dvpe" w:val="732.549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e 2011/61/EL ja 2009/65/EÜ seoses ülesannete delegeerimise kokkulepete, likviidsusriski juhtimise, järelevalvelise aruandluse, depositooriumi- ja hoidmisteenuste osutamise ning alternatiivsete investeerimisfondide poolt laenude väljastamisega(COM(2021)0721 – C9-0439/2021 – 2021/0376(COD))"/>
    <w:docVar w:name="strSubDir" w:val="A9-"/>
    <w:docVar w:name="TXTLANGUE" w:val="ET"/>
    <w:docVar w:name="TXTLANGUEMIN" w:val="et"/>
    <w:docVar w:name="TXTROUTE" w:val="RR\A9-0020/2023ET.docx"/>
  </w:docVars>
  <w:rsids>
    <w:rsidRoot w:val="003277D2"/>
    <w:rsid w:val="00002272"/>
    <w:rsid w:val="00030B5F"/>
    <w:rsid w:val="00064002"/>
    <w:rsid w:val="000677B9"/>
    <w:rsid w:val="000831BA"/>
    <w:rsid w:val="000A42CC"/>
    <w:rsid w:val="000E1263"/>
    <w:rsid w:val="000E7DD9"/>
    <w:rsid w:val="0010095E"/>
    <w:rsid w:val="00125B37"/>
    <w:rsid w:val="00187494"/>
    <w:rsid w:val="001F32AE"/>
    <w:rsid w:val="00241A2C"/>
    <w:rsid w:val="002767FF"/>
    <w:rsid w:val="002B18FE"/>
    <w:rsid w:val="002B5493"/>
    <w:rsid w:val="003277D2"/>
    <w:rsid w:val="00343214"/>
    <w:rsid w:val="00361C00"/>
    <w:rsid w:val="00395FA1"/>
    <w:rsid w:val="003C4ECB"/>
    <w:rsid w:val="003E15D4"/>
    <w:rsid w:val="00411CCE"/>
    <w:rsid w:val="0041666E"/>
    <w:rsid w:val="00421060"/>
    <w:rsid w:val="00471C19"/>
    <w:rsid w:val="004867E3"/>
    <w:rsid w:val="004909EB"/>
    <w:rsid w:val="00494A28"/>
    <w:rsid w:val="004C0004"/>
    <w:rsid w:val="004C5D52"/>
    <w:rsid w:val="0050519A"/>
    <w:rsid w:val="005072A1"/>
    <w:rsid w:val="00514517"/>
    <w:rsid w:val="00515C6F"/>
    <w:rsid w:val="00520852"/>
    <w:rsid w:val="00545827"/>
    <w:rsid w:val="00560270"/>
    <w:rsid w:val="00596ACA"/>
    <w:rsid w:val="005C2568"/>
    <w:rsid w:val="006037C0"/>
    <w:rsid w:val="006631B6"/>
    <w:rsid w:val="00680577"/>
    <w:rsid w:val="006A2984"/>
    <w:rsid w:val="006F74FA"/>
    <w:rsid w:val="00731ADD"/>
    <w:rsid w:val="00734777"/>
    <w:rsid w:val="00747932"/>
    <w:rsid w:val="00751A4A"/>
    <w:rsid w:val="00753DAE"/>
    <w:rsid w:val="00756632"/>
    <w:rsid w:val="00762C74"/>
    <w:rsid w:val="0077639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3B9"/>
    <w:rsid w:val="009509D8"/>
    <w:rsid w:val="00950B64"/>
    <w:rsid w:val="00981893"/>
    <w:rsid w:val="00A1687D"/>
    <w:rsid w:val="00A43E52"/>
    <w:rsid w:val="00A4678D"/>
    <w:rsid w:val="00A778C7"/>
    <w:rsid w:val="00A808B9"/>
    <w:rsid w:val="00AB441E"/>
    <w:rsid w:val="00AB6293"/>
    <w:rsid w:val="00AB7B1E"/>
    <w:rsid w:val="00AD5E64"/>
    <w:rsid w:val="00AE0928"/>
    <w:rsid w:val="00AF3B82"/>
    <w:rsid w:val="00B12E95"/>
    <w:rsid w:val="00B22876"/>
    <w:rsid w:val="00B558F0"/>
    <w:rsid w:val="00BC75B5"/>
    <w:rsid w:val="00BD48FE"/>
    <w:rsid w:val="00BD7BD8"/>
    <w:rsid w:val="00BE6ADC"/>
    <w:rsid w:val="00C05BFE"/>
    <w:rsid w:val="00C23CD4"/>
    <w:rsid w:val="00C61C0C"/>
    <w:rsid w:val="00C725C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58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C07CF"/>
  <w15:chartTrackingRefBased/>
  <w15:docId w15:val="{07752DBD-1753-470B-80C1-5BD33195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909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9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909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9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9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9EB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9EB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4909EB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4909EB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4909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909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909EB"/>
    <w:pPr>
      <w:spacing w:before="480" w:after="240"/>
    </w:pPr>
  </w:style>
  <w:style w:type="paragraph" w:customStyle="1" w:styleId="TOCPage">
    <w:name w:val="TOC Page"/>
    <w:basedOn w:val="Normal"/>
    <w:next w:val="TOC1"/>
    <w:rsid w:val="004909E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909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909EB"/>
    <w:rPr>
      <w:b/>
    </w:rPr>
  </w:style>
  <w:style w:type="paragraph" w:customStyle="1" w:styleId="NormalBold12a">
    <w:name w:val="NormalBold12a"/>
    <w:basedOn w:val="Normal"/>
    <w:rsid w:val="004909E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909E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909EB"/>
    <w:pPr>
      <w:spacing w:after="480"/>
      <w:ind w:left="1417"/>
    </w:pPr>
  </w:style>
  <w:style w:type="paragraph" w:customStyle="1" w:styleId="CoverNormal">
    <w:name w:val="CoverNormal"/>
    <w:basedOn w:val="Normal"/>
    <w:rsid w:val="004909EB"/>
    <w:pPr>
      <w:ind w:left="1418"/>
    </w:pPr>
  </w:style>
  <w:style w:type="paragraph" w:customStyle="1" w:styleId="NormalCenter12a">
    <w:name w:val="NormalCenter12a"/>
    <w:basedOn w:val="Normal"/>
    <w:rsid w:val="004909EB"/>
    <w:pPr>
      <w:spacing w:after="240"/>
      <w:jc w:val="center"/>
    </w:pPr>
  </w:style>
  <w:style w:type="paragraph" w:customStyle="1" w:styleId="CoverReference">
    <w:name w:val="CoverReference"/>
    <w:basedOn w:val="Normal"/>
    <w:rsid w:val="004909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909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909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909E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909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9EB"/>
    <w:rPr>
      <w:sz w:val="24"/>
      <w:lang w:val="et-EE"/>
    </w:rPr>
  </w:style>
  <w:style w:type="paragraph" w:customStyle="1" w:styleId="AmNumberTabs">
    <w:name w:val="AmNumberTabs"/>
    <w:basedOn w:val="Normal"/>
    <w:rsid w:val="004909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909EB"/>
    <w:pPr>
      <w:spacing w:before="720" w:after="240"/>
      <w:jc w:val="center"/>
    </w:pPr>
  </w:style>
  <w:style w:type="paragraph" w:customStyle="1" w:styleId="EPBody">
    <w:name w:val="EPBody"/>
    <w:basedOn w:val="Normal"/>
    <w:rsid w:val="004909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909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909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909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909EB"/>
    <w:rPr>
      <w:sz w:val="18"/>
    </w:rPr>
  </w:style>
  <w:style w:type="paragraph" w:styleId="ListNumber">
    <w:name w:val="List Number"/>
    <w:basedOn w:val="Normal"/>
    <w:rsid w:val="004909E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4909E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4909EB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4909E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909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909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909E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4909EB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4909EB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4909EB"/>
    <w:rPr>
      <w:rFonts w:ascii="Segoe UI" w:eastAsiaTheme="minorHAnsi" w:hAnsi="Segoe UI" w:cs="Segoe UI"/>
      <w:sz w:val="18"/>
      <w:szCs w:val="18"/>
      <w:lang w:val="et-EE" w:eastAsia="en-US"/>
    </w:rPr>
  </w:style>
  <w:style w:type="character" w:styleId="CommentReference">
    <w:name w:val="annotation reference"/>
    <w:basedOn w:val="DefaultParagraphFont"/>
    <w:uiPriority w:val="99"/>
    <w:unhideWhenUsed/>
    <w:rsid w:val="00490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9EB"/>
    <w:pPr>
      <w:widowControl/>
      <w:spacing w:after="160"/>
    </w:pPr>
    <w:rPr>
      <w:rFonts w:asciiTheme="minorHAnsi" w:eastAsiaTheme="minorHAnsi" w:hAnsiTheme="minorHAnsi" w:cstheme="minorBidi"/>
      <w:sz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09EB"/>
    <w:rPr>
      <w:rFonts w:asciiTheme="minorHAnsi" w:eastAsiaTheme="minorHAnsi" w:hAnsiTheme="minorHAnsi" w:cstheme="minorBidi"/>
      <w:lang w:val="en-US" w:eastAsia="en-US"/>
    </w:rPr>
  </w:style>
  <w:style w:type="paragraph" w:customStyle="1" w:styleId="norm">
    <w:name w:val="norm"/>
    <w:basedOn w:val="Normal"/>
    <w:rsid w:val="004909EB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4909EB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4909EB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4909EB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4909EB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 w:eastAsia="en-US"/>
    </w:rPr>
  </w:style>
  <w:style w:type="paragraph" w:customStyle="1" w:styleId="tbl-norm">
    <w:name w:val="tbl-norm"/>
    <w:basedOn w:val="Normal"/>
    <w:rsid w:val="004909EB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4909EB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909EB"/>
    <w:pPr>
      <w:spacing w:before="120" w:after="120"/>
      <w:jc w:val="both"/>
    </w:pPr>
    <w:rPr>
      <w:rFonts w:ascii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4909EB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Revision">
    <w:name w:val="Revision"/>
    <w:hidden/>
    <w:uiPriority w:val="99"/>
    <w:semiHidden/>
    <w:rsid w:val="004909EB"/>
    <w:rPr>
      <w:rFonts w:eastAsiaTheme="minorHAnsi"/>
      <w:sz w:val="24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09E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909E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909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909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4909E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909EB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4909EB"/>
  </w:style>
  <w:style w:type="table" w:styleId="GridTable4-Accent1">
    <w:name w:val="Grid Table 4 Accent 1"/>
    <w:basedOn w:val="TableNormal"/>
    <w:uiPriority w:val="49"/>
    <w:rsid w:val="004909EB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4909E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4909EB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909EB"/>
    <w:rPr>
      <w:rFonts w:asciiTheme="majorHAnsi" w:eastAsiaTheme="majorEastAsia" w:hAnsiTheme="majorHAnsi" w:cstheme="majorBidi"/>
      <w:spacing w:val="-10"/>
      <w:kern w:val="28"/>
      <w:sz w:val="56"/>
      <w:szCs w:val="56"/>
      <w:lang w:val="et-EE" w:eastAsia="en-US"/>
    </w:rPr>
  </w:style>
  <w:style w:type="paragraph" w:styleId="Footer">
    <w:name w:val="footer"/>
    <w:basedOn w:val="Normal"/>
    <w:link w:val="FooterChar"/>
    <w:uiPriority w:val="99"/>
    <w:unhideWhenUsed/>
    <w:rsid w:val="004909E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09EB"/>
    <w:rPr>
      <w:rFonts w:eastAsiaTheme="minorHAnsi"/>
      <w:sz w:val="24"/>
      <w:szCs w:val="22"/>
      <w:lang w:val="et-EE" w:eastAsia="en-US"/>
    </w:rPr>
  </w:style>
  <w:style w:type="paragraph" w:styleId="TOC4">
    <w:name w:val="toc 4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909E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909E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909E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909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909E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909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4909E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909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909E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909E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909E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909E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909E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909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90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909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909E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909E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909E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909EB"/>
    <w:pPr>
      <w:numPr>
        <w:numId w:val="7"/>
      </w:numPr>
    </w:pPr>
  </w:style>
  <w:style w:type="paragraph" w:customStyle="1" w:styleId="Tiret1">
    <w:name w:val="Tiret 1"/>
    <w:basedOn w:val="Point1"/>
    <w:rsid w:val="004909EB"/>
    <w:pPr>
      <w:numPr>
        <w:numId w:val="8"/>
      </w:numPr>
    </w:pPr>
  </w:style>
  <w:style w:type="paragraph" w:customStyle="1" w:styleId="Tiret2">
    <w:name w:val="Tiret 2"/>
    <w:basedOn w:val="Point2"/>
    <w:rsid w:val="004909EB"/>
    <w:pPr>
      <w:numPr>
        <w:numId w:val="9"/>
      </w:numPr>
    </w:pPr>
  </w:style>
  <w:style w:type="paragraph" w:customStyle="1" w:styleId="Tiret3">
    <w:name w:val="Tiret 3"/>
    <w:basedOn w:val="Point3"/>
    <w:rsid w:val="004909EB"/>
    <w:pPr>
      <w:numPr>
        <w:numId w:val="10"/>
      </w:numPr>
    </w:pPr>
  </w:style>
  <w:style w:type="paragraph" w:customStyle="1" w:styleId="Tiret4">
    <w:name w:val="Tiret 4"/>
    <w:basedOn w:val="Point4"/>
    <w:rsid w:val="004909EB"/>
    <w:pPr>
      <w:numPr>
        <w:numId w:val="11"/>
      </w:numPr>
    </w:pPr>
  </w:style>
  <w:style w:type="paragraph" w:customStyle="1" w:styleId="PointDouble0">
    <w:name w:val="PointDouble 0"/>
    <w:basedOn w:val="Normal"/>
    <w:rsid w:val="004909E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909E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909E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909E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909E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909E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909E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909E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909E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909E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909EB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909EB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909EB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909EB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90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90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90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90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909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909E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909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909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909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909E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909E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909E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4909E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909E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909E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909EB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909EB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909EB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909EB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909EB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909EB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909EB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909EB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909EB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909EB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909EB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909EB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909EB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909EB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909E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909E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909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909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909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909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909E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4909E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4909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909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909E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909E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909E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909E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909EB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909E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909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909E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09E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09E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09E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909E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09E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909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909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909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09E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909E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909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4909E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909E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909E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909E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909E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909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909E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909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909E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909EB"/>
  </w:style>
  <w:style w:type="paragraph" w:customStyle="1" w:styleId="StatutPagedecouverture">
    <w:name w:val="Statut (Page de couverture)"/>
    <w:basedOn w:val="Statut"/>
    <w:next w:val="TypedudocumentPagedecouverture"/>
    <w:rsid w:val="004909EB"/>
  </w:style>
  <w:style w:type="paragraph" w:customStyle="1" w:styleId="TitreobjetPagedecouverture">
    <w:name w:val="Titre objet (Page de couverture)"/>
    <w:basedOn w:val="Titreobjet"/>
    <w:next w:val="IntrtEEEPagedecouverture"/>
    <w:rsid w:val="004909E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909EB"/>
  </w:style>
  <w:style w:type="paragraph" w:customStyle="1" w:styleId="Volume">
    <w:name w:val="Volume"/>
    <w:basedOn w:val="Normal"/>
    <w:next w:val="Confidentialit"/>
    <w:rsid w:val="004909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909EB"/>
    <w:pPr>
      <w:spacing w:after="240"/>
    </w:pPr>
  </w:style>
  <w:style w:type="paragraph" w:customStyle="1" w:styleId="Accompagnant">
    <w:name w:val="Accompagnant"/>
    <w:basedOn w:val="Normal"/>
    <w:next w:val="Typeacteprincipal"/>
    <w:rsid w:val="004909E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909E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909E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909EB"/>
  </w:style>
  <w:style w:type="paragraph" w:customStyle="1" w:styleId="AccompagnantPagedecouverture">
    <w:name w:val="Accompagnant (Page de couverture)"/>
    <w:basedOn w:val="Accompagnant"/>
    <w:next w:val="TypeacteprincipalPagedecouverture"/>
    <w:rsid w:val="004909E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909EB"/>
  </w:style>
  <w:style w:type="paragraph" w:customStyle="1" w:styleId="ObjetacteprincipalPagedecouverture">
    <w:name w:val="Objet acte principal (Page de couverture)"/>
    <w:basedOn w:val="Objetacteprincipal"/>
    <w:next w:val="Rfrencecroise"/>
    <w:rsid w:val="004909EB"/>
  </w:style>
  <w:style w:type="paragraph" w:customStyle="1" w:styleId="LanguesfaisantfoiPagedecouverture">
    <w:name w:val="Langues faisant foi (Page de couverture)"/>
    <w:basedOn w:val="Normal"/>
    <w:next w:val="Normal"/>
    <w:rsid w:val="004909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909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909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909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4909E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4909E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4909E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4909EB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4909EB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4909EB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4909EB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909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909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909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4909EB"/>
    <w:pPr>
      <w:autoSpaceDE w:val="0"/>
      <w:autoSpaceDN w:val="0"/>
    </w:pPr>
    <w:rPr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909EB"/>
    <w:rPr>
      <w:sz w:val="19"/>
      <w:szCs w:val="19"/>
      <w:lang w:val="en-US" w:eastAsia="en-US"/>
    </w:rPr>
  </w:style>
  <w:style w:type="paragraph" w:customStyle="1" w:styleId="Normal12a">
    <w:name w:val="Normal12a"/>
    <w:basedOn w:val="Normal"/>
    <w:rsid w:val="004909EB"/>
    <w:pPr>
      <w:spacing w:after="240"/>
    </w:pPr>
  </w:style>
  <w:style w:type="paragraph" w:customStyle="1" w:styleId="RollCallVotes">
    <w:name w:val="RollCallVotes"/>
    <w:basedOn w:val="Normal"/>
    <w:rsid w:val="004909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909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909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909E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15C6F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515C6F"/>
    <w:pPr>
      <w:spacing w:before="240" w:after="240"/>
      <w:jc w:val="right"/>
    </w:pPr>
  </w:style>
  <w:style w:type="paragraph" w:customStyle="1" w:styleId="AmDateTab">
    <w:name w:val="AmDateTab"/>
    <w:basedOn w:val="Normal"/>
    <w:rsid w:val="00515C6F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15C6F"/>
  </w:style>
  <w:style w:type="paragraph" w:customStyle="1" w:styleId="Sous-titreobjet">
    <w:name w:val="Sous-titre objet"/>
    <w:basedOn w:val="Normal"/>
    <w:rsid w:val="00515C6F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515C6F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515C6F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515C6F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515C6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15C6F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515C6F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515C6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15C6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15C6F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515C6F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515C6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15C6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15C6F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15C6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515C6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515C6F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15C6F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15C6F"/>
    <w:pPr>
      <w:spacing w:before="120"/>
    </w:pPr>
  </w:style>
  <w:style w:type="paragraph" w:customStyle="1" w:styleId="TitlePar3">
    <w:name w:val="TitlePar 3"/>
    <w:basedOn w:val="TitlePar2"/>
    <w:qFormat/>
    <w:rsid w:val="00515C6F"/>
    <w:rPr>
      <w:b w:val="0"/>
      <w:i/>
    </w:rPr>
  </w:style>
  <w:style w:type="paragraph" w:customStyle="1" w:styleId="SubsectionTitle">
    <w:name w:val="SubsectionTitle"/>
    <w:basedOn w:val="SectionTitle"/>
    <w:qFormat/>
    <w:rsid w:val="00515C6F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515C6F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515C6F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515C6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515C6F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515C6F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515C6F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515C6F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515C6F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515C6F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515C6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515C6F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515C6F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515C6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515C6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515C6F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515C6F"/>
  </w:style>
  <w:style w:type="paragraph" w:customStyle="1" w:styleId="CM4">
    <w:name w:val="CM4"/>
    <w:basedOn w:val="Normal"/>
    <w:next w:val="Normal"/>
    <w:uiPriority w:val="99"/>
    <w:rsid w:val="00515C6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515C6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5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329EF-6DF4-4E9C-AAC8-AEECEF71C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2024-04-15T09:55:00Z</dcterms:created>
  <dcterms:modified xsi:type="dcterms:W3CDTF">2024-04-15T09:55:00Z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LastEdited with">
    <vt:lpwstr>9.17.1 Build [20240111]</vt:lpwstr>
  </property>
  <property fmtid="{D5CDD505-2E9C-101B-9397-08002B2CF9AE}" pid="7" name="FooterPath">
    <vt:lpwstr>RR\A9-0020/2023ET.docx</vt:lpwstr>
  </property>
</Properties>
</file>