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0E8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0E8F" w:rsidRDefault="0040767E" w:rsidP="0010095E">
            <w:pPr>
              <w:pStyle w:val="EPName"/>
            </w:pPr>
            <w:r w:rsidRPr="00F10E8F">
              <w:t>Europski parlament</w:t>
            </w:r>
          </w:p>
          <w:p w:rsidR="00751A4A" w:rsidRPr="00F10E8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05FE">
              <w:t>2019</w:t>
            </w:r>
            <w:r w:rsidRPr="00F10E8F">
              <w:t>-</w:t>
            </w:r>
            <w:r w:rsidRPr="002C05F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10E8F" w:rsidRDefault="00187494" w:rsidP="0010095E">
            <w:pPr>
              <w:pStyle w:val="EPLogo"/>
            </w:pPr>
            <w:r w:rsidRPr="00F10E8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0E8F" w:rsidRDefault="00D058B8" w:rsidP="004C5D52">
      <w:pPr>
        <w:pStyle w:val="LineTop"/>
      </w:pPr>
    </w:p>
    <w:p w:rsidR="00680577" w:rsidRPr="00F10E8F" w:rsidRDefault="0040767E" w:rsidP="00680577">
      <w:pPr>
        <w:pStyle w:val="EPBodyTA1"/>
      </w:pPr>
      <w:r w:rsidRPr="00F10E8F">
        <w:t>USVOJENI TEKSTOVI</w:t>
      </w:r>
    </w:p>
    <w:p w:rsidR="00D058B8" w:rsidRPr="00F10E8F" w:rsidRDefault="00D058B8" w:rsidP="00D058B8">
      <w:pPr>
        <w:pStyle w:val="LineBottom"/>
      </w:pPr>
    </w:p>
    <w:p w:rsidR="0040767E" w:rsidRPr="00F10E8F" w:rsidRDefault="0040767E" w:rsidP="0040767E">
      <w:pPr>
        <w:pStyle w:val="ATHeading1"/>
      </w:pPr>
      <w:bookmarkStart w:id="0" w:name="TANumber"/>
      <w:r w:rsidRPr="00F10E8F">
        <w:t>P</w:t>
      </w:r>
      <w:r w:rsidRPr="002C05FE">
        <w:t>9</w:t>
      </w:r>
      <w:r w:rsidRPr="00F10E8F">
        <w:t>_TA(</w:t>
      </w:r>
      <w:r w:rsidRPr="002C05FE">
        <w:t>2024</w:t>
      </w:r>
      <w:r w:rsidRPr="00F10E8F">
        <w:t>)</w:t>
      </w:r>
      <w:r w:rsidRPr="002C05FE">
        <w:t>00</w:t>
      </w:r>
      <w:r w:rsidR="00F10E8F" w:rsidRPr="002C05FE">
        <w:t>64</w:t>
      </w:r>
      <w:bookmarkEnd w:id="0"/>
    </w:p>
    <w:p w:rsidR="0040767E" w:rsidRPr="00F10E8F" w:rsidRDefault="0040767E" w:rsidP="0040767E">
      <w:pPr>
        <w:pStyle w:val="ATHeading2"/>
      </w:pPr>
      <w:bookmarkStart w:id="1" w:name="title"/>
      <w:r w:rsidRPr="00F10E8F">
        <w:t>Izmjene Direktive o upraviteljima alternativnih investicijskih fondova (AIFMD) i Direktive o subjektima za zajednička ulaganja u prenosive vrijednosne papire (UCITSD)</w:t>
      </w:r>
      <w:bookmarkEnd w:id="1"/>
    </w:p>
    <w:p w:rsidR="0040767E" w:rsidRPr="00F10E8F" w:rsidRDefault="0040767E" w:rsidP="0040767E">
      <w:pPr>
        <w:rPr>
          <w:i/>
          <w:vanish/>
        </w:rPr>
      </w:pPr>
      <w:r w:rsidRPr="00F10E8F">
        <w:rPr>
          <w:i/>
        </w:rPr>
        <w:fldChar w:fldCharType="begin"/>
      </w:r>
      <w:r w:rsidRPr="00F10E8F">
        <w:rPr>
          <w:i/>
        </w:rPr>
        <w:instrText xml:space="preserve"> TC"(</w:instrText>
      </w:r>
      <w:bookmarkStart w:id="2" w:name="DocNumber"/>
      <w:r w:rsidRPr="00F10E8F">
        <w:rPr>
          <w:i/>
        </w:rPr>
        <w:instrText>A</w:instrText>
      </w:r>
      <w:r w:rsidRPr="002C05FE">
        <w:rPr>
          <w:i/>
        </w:rPr>
        <w:instrText>9</w:instrText>
      </w:r>
      <w:r w:rsidRPr="00F10E8F">
        <w:rPr>
          <w:i/>
        </w:rPr>
        <w:instrText>-</w:instrText>
      </w:r>
      <w:r w:rsidRPr="002C05FE">
        <w:rPr>
          <w:i/>
        </w:rPr>
        <w:instrText>0020</w:instrText>
      </w:r>
      <w:r w:rsidRPr="00F10E8F">
        <w:rPr>
          <w:i/>
        </w:rPr>
        <w:instrText>/</w:instrText>
      </w:r>
      <w:r w:rsidRPr="002C05FE">
        <w:rPr>
          <w:i/>
        </w:rPr>
        <w:instrText>2023</w:instrText>
      </w:r>
      <w:bookmarkEnd w:id="2"/>
      <w:r w:rsidRPr="00F10E8F">
        <w:rPr>
          <w:i/>
        </w:rPr>
        <w:instrText xml:space="preserve"> - Izvjestitelj</w:instrText>
      </w:r>
      <w:r w:rsidR="00604276" w:rsidRPr="00F10E8F">
        <w:rPr>
          <w:i/>
        </w:rPr>
        <w:instrText>ica</w:instrText>
      </w:r>
      <w:r w:rsidRPr="00F10E8F">
        <w:rPr>
          <w:i/>
        </w:rPr>
        <w:instrText xml:space="preserve">: </w:instrText>
      </w:r>
      <w:proofErr w:type="spellStart"/>
      <w:r w:rsidRPr="00F10E8F">
        <w:rPr>
          <w:i/>
        </w:rPr>
        <w:instrText>Isabel</w:instrText>
      </w:r>
      <w:proofErr w:type="spellEnd"/>
      <w:r w:rsidRPr="00F10E8F">
        <w:rPr>
          <w:i/>
        </w:rPr>
        <w:instrText xml:space="preserve"> </w:instrText>
      </w:r>
      <w:proofErr w:type="spellStart"/>
      <w:r w:rsidRPr="00F10E8F">
        <w:rPr>
          <w:i/>
        </w:rPr>
        <w:instrText>Benjumea</w:instrText>
      </w:r>
      <w:proofErr w:type="spellEnd"/>
      <w:r w:rsidRPr="00F10E8F">
        <w:rPr>
          <w:i/>
        </w:rPr>
        <w:instrText xml:space="preserve"> </w:instrText>
      </w:r>
      <w:proofErr w:type="spellStart"/>
      <w:r w:rsidRPr="00F10E8F">
        <w:rPr>
          <w:i/>
        </w:rPr>
        <w:instrText>Benjumea</w:instrText>
      </w:r>
      <w:proofErr w:type="spellEnd"/>
      <w:r w:rsidRPr="00F10E8F">
        <w:rPr>
          <w:i/>
        </w:rPr>
        <w:instrText>)"\l</w:instrText>
      </w:r>
      <w:r w:rsidRPr="002C05FE">
        <w:rPr>
          <w:i/>
        </w:rPr>
        <w:instrText>3</w:instrText>
      </w:r>
      <w:r w:rsidRPr="00F10E8F">
        <w:rPr>
          <w:i/>
        </w:rPr>
        <w:instrText xml:space="preserve"> \n&gt; \* MERGEFORMAT </w:instrText>
      </w:r>
      <w:r w:rsidRPr="00F10E8F">
        <w:rPr>
          <w:i/>
        </w:rPr>
        <w:fldChar w:fldCharType="end"/>
      </w:r>
    </w:p>
    <w:p w:rsidR="0040767E" w:rsidRPr="00F10E8F" w:rsidRDefault="0040767E" w:rsidP="0040767E">
      <w:pPr>
        <w:rPr>
          <w:vanish/>
        </w:rPr>
      </w:pPr>
      <w:bookmarkStart w:id="3" w:name="Commission"/>
      <w:r w:rsidRPr="00F10E8F">
        <w:rPr>
          <w:vanish/>
        </w:rPr>
        <w:t>Odbor za ekonomsku i monetarnu politiku</w:t>
      </w:r>
      <w:bookmarkEnd w:id="3"/>
    </w:p>
    <w:p w:rsidR="0040767E" w:rsidRPr="00F10E8F" w:rsidRDefault="0040767E" w:rsidP="0040767E">
      <w:pPr>
        <w:rPr>
          <w:vanish/>
        </w:rPr>
      </w:pPr>
      <w:bookmarkStart w:id="4" w:name="PE"/>
      <w:r w:rsidRPr="00F10E8F">
        <w:rPr>
          <w:vanish/>
        </w:rPr>
        <w:t>PE</w:t>
      </w:r>
      <w:r w:rsidRPr="002C05FE">
        <w:rPr>
          <w:vanish/>
        </w:rPr>
        <w:t>732</w:t>
      </w:r>
      <w:r w:rsidRPr="00F10E8F">
        <w:rPr>
          <w:vanish/>
        </w:rPr>
        <w:t>.</w:t>
      </w:r>
      <w:r w:rsidRPr="002C05FE">
        <w:rPr>
          <w:vanish/>
        </w:rPr>
        <w:t>549</w:t>
      </w:r>
      <w:bookmarkEnd w:id="4"/>
    </w:p>
    <w:p w:rsidR="0040767E" w:rsidRPr="00F10E8F" w:rsidRDefault="0040767E" w:rsidP="0040767E">
      <w:pPr>
        <w:pStyle w:val="ATHeading3"/>
      </w:pPr>
      <w:bookmarkStart w:id="5" w:name="Sujet"/>
      <w:r w:rsidRPr="00F10E8F">
        <w:t>Zakonodavna rezolucija Europskog parlamenta od</w:t>
      </w:r>
      <w:r w:rsidR="0018126D" w:rsidRPr="00F10E8F">
        <w:t xml:space="preserve"> </w:t>
      </w:r>
      <w:r w:rsidR="006B5C11" w:rsidRPr="002C05FE">
        <w:t>7</w:t>
      </w:r>
      <w:r w:rsidR="0018126D" w:rsidRPr="00F10E8F">
        <w:t>.</w:t>
      </w:r>
      <w:r w:rsidRPr="00F10E8F">
        <w:t xml:space="preserve"> </w:t>
      </w:r>
      <w:r w:rsidR="0018126D" w:rsidRPr="00F10E8F">
        <w:t>veljače</w:t>
      </w:r>
      <w:r w:rsidRPr="00F10E8F">
        <w:t xml:space="preserve"> </w:t>
      </w:r>
      <w:r w:rsidRPr="002C05FE">
        <w:t>2024</w:t>
      </w:r>
      <w:r w:rsidRPr="00F10E8F">
        <w:t xml:space="preserve">. o Prijedlogu direktive Europskog parlamenta i Vijeća o izmjeni direktiva </w:t>
      </w:r>
      <w:r w:rsidRPr="002C05FE">
        <w:t>2011</w:t>
      </w:r>
      <w:r w:rsidRPr="00F10E8F">
        <w:t>/</w:t>
      </w:r>
      <w:r w:rsidRPr="002C05FE">
        <w:t>61</w:t>
      </w:r>
      <w:r w:rsidRPr="00F10E8F">
        <w:t xml:space="preserve">/EU i </w:t>
      </w:r>
      <w:r w:rsidRPr="002C05FE">
        <w:t>2009</w:t>
      </w:r>
      <w:r w:rsidRPr="00F10E8F">
        <w:t>/</w:t>
      </w:r>
      <w:r w:rsidRPr="002C05FE">
        <w:t>65</w:t>
      </w:r>
      <w:r w:rsidRPr="00F10E8F">
        <w:t>/EZ u pogledu postupaka delegiranja, upravljanja rizikom likvidnosti, nadzornog izvješćivanja, pružanja usluga depozitara i skrbništva te odobravanja zajmova od strane alternativnih investicijskih fondova</w:t>
      </w:r>
      <w:bookmarkEnd w:id="5"/>
      <w:r w:rsidRPr="00F10E8F">
        <w:t xml:space="preserve"> </w:t>
      </w:r>
      <w:bookmarkStart w:id="6" w:name="References"/>
      <w:r w:rsidRPr="00F10E8F">
        <w:t>(COM(</w:t>
      </w:r>
      <w:r w:rsidRPr="002C05FE">
        <w:t>2021</w:t>
      </w:r>
      <w:r w:rsidRPr="00F10E8F">
        <w:t>)</w:t>
      </w:r>
      <w:r w:rsidRPr="002C05FE">
        <w:t>0721</w:t>
      </w:r>
      <w:r w:rsidRPr="00F10E8F">
        <w:t xml:space="preserve"> – C</w:t>
      </w:r>
      <w:r w:rsidRPr="002C05FE">
        <w:t>9</w:t>
      </w:r>
      <w:r w:rsidRPr="00F10E8F">
        <w:t>-</w:t>
      </w:r>
      <w:r w:rsidRPr="002C05FE">
        <w:t>0439</w:t>
      </w:r>
      <w:r w:rsidRPr="00F10E8F">
        <w:t>/</w:t>
      </w:r>
      <w:r w:rsidRPr="002C05FE">
        <w:t>2021</w:t>
      </w:r>
      <w:r w:rsidRPr="00F10E8F">
        <w:t xml:space="preserve"> – </w:t>
      </w:r>
      <w:r w:rsidRPr="002C05FE">
        <w:t>2021</w:t>
      </w:r>
      <w:r w:rsidRPr="00F10E8F">
        <w:t>/</w:t>
      </w:r>
      <w:r w:rsidRPr="002C05FE">
        <w:t>0376</w:t>
      </w:r>
      <w:r w:rsidRPr="00F10E8F">
        <w:t>(COD))</w:t>
      </w:r>
      <w:bookmarkEnd w:id="6"/>
    </w:p>
    <w:p w:rsidR="006C4888" w:rsidRPr="00F10E8F" w:rsidRDefault="006C4888" w:rsidP="006C4888">
      <w:pPr>
        <w:pStyle w:val="NormalBold"/>
      </w:pPr>
      <w:bookmarkStart w:id="7" w:name="TextBodyBegin"/>
      <w:bookmarkEnd w:id="7"/>
      <w:r w:rsidRPr="00F10E8F">
        <w:t>(Redovni zakonodavni postupak: prvo čitanje)</w:t>
      </w:r>
    </w:p>
    <w:p w:rsidR="006C4888" w:rsidRPr="00F10E8F" w:rsidRDefault="006C4888" w:rsidP="006C4888">
      <w:pPr>
        <w:pStyle w:val="EPComma"/>
      </w:pPr>
      <w:r w:rsidRPr="00F10E8F">
        <w:rPr>
          <w:i/>
        </w:rPr>
        <w:t>Europski parlament</w:t>
      </w:r>
      <w:r w:rsidRPr="00F10E8F">
        <w:t>,</w:t>
      </w:r>
    </w:p>
    <w:p w:rsidR="006C4888" w:rsidRPr="00F10E8F" w:rsidRDefault="006C4888" w:rsidP="0018126D">
      <w:pPr>
        <w:pStyle w:val="NormalHanging12a"/>
      </w:pPr>
      <w:r w:rsidRPr="00F10E8F">
        <w:t>–</w:t>
      </w:r>
      <w:r w:rsidRPr="00F10E8F">
        <w:tab/>
        <w:t>uzimajući u obzir Prijedlog Komisije upućen Europskom parlamentu i Vijeću (COM(</w:t>
      </w:r>
      <w:r w:rsidRPr="002C05FE">
        <w:t>2021</w:t>
      </w:r>
      <w:r w:rsidRPr="00F10E8F">
        <w:t>)</w:t>
      </w:r>
      <w:r w:rsidRPr="002C05FE">
        <w:t>0721</w:t>
      </w:r>
      <w:r w:rsidRPr="00F10E8F">
        <w:t>),</w:t>
      </w:r>
    </w:p>
    <w:p w:rsidR="006C4888" w:rsidRPr="00F10E8F" w:rsidRDefault="006C4888" w:rsidP="0018126D">
      <w:pPr>
        <w:pStyle w:val="NormalHanging12a"/>
      </w:pPr>
      <w:r w:rsidRPr="00F10E8F">
        <w:t>–</w:t>
      </w:r>
      <w:r w:rsidRPr="00F10E8F">
        <w:tab/>
        <w:t xml:space="preserve">uzimajući u obzir članak </w:t>
      </w:r>
      <w:r w:rsidRPr="002C05FE">
        <w:t>294</w:t>
      </w:r>
      <w:r w:rsidRPr="00F10E8F">
        <w:t xml:space="preserve">. stavak </w:t>
      </w:r>
      <w:r w:rsidRPr="002C05FE">
        <w:t>2</w:t>
      </w:r>
      <w:r w:rsidRPr="00F10E8F">
        <w:t xml:space="preserve">. i članak </w:t>
      </w:r>
      <w:r w:rsidRPr="002C05FE">
        <w:t>53</w:t>
      </w:r>
      <w:r w:rsidRPr="00F10E8F">
        <w:t xml:space="preserve">. stavak </w:t>
      </w:r>
      <w:r w:rsidRPr="002C05FE">
        <w:t>1</w:t>
      </w:r>
      <w:r w:rsidRPr="00F10E8F">
        <w:t>. Ugovora o funkcioniranju Europske unije, u skladu s kojima je Komisija podnijela Prijedlog Parlamentu (C</w:t>
      </w:r>
      <w:r w:rsidRPr="002C05FE">
        <w:t>9</w:t>
      </w:r>
      <w:r w:rsidRPr="00F10E8F">
        <w:noBreakHyphen/>
      </w:r>
      <w:r w:rsidRPr="002C05FE">
        <w:t>0439</w:t>
      </w:r>
      <w:r w:rsidRPr="00F10E8F">
        <w:t>/</w:t>
      </w:r>
      <w:r w:rsidRPr="002C05FE">
        <w:t>2021</w:t>
      </w:r>
      <w:r w:rsidRPr="00F10E8F">
        <w:t>),</w:t>
      </w:r>
    </w:p>
    <w:p w:rsidR="00462A0B" w:rsidRPr="00F10E8F" w:rsidRDefault="006C4888" w:rsidP="0018126D">
      <w:pPr>
        <w:pStyle w:val="NormalHanging12a"/>
      </w:pPr>
      <w:r w:rsidRPr="00F10E8F">
        <w:t>–</w:t>
      </w:r>
      <w:r w:rsidRPr="00F10E8F">
        <w:tab/>
        <w:t xml:space="preserve">uzimajući u obzir članak </w:t>
      </w:r>
      <w:r w:rsidRPr="002C05FE">
        <w:t>294</w:t>
      </w:r>
      <w:r w:rsidRPr="00F10E8F">
        <w:t xml:space="preserve">. stavak </w:t>
      </w:r>
      <w:r w:rsidRPr="002C05FE">
        <w:t>3</w:t>
      </w:r>
      <w:r w:rsidRPr="00F10E8F">
        <w:t>. Ugovora o funkcioniranju Europske unije,</w:t>
      </w:r>
    </w:p>
    <w:p w:rsidR="0018126D" w:rsidRPr="00F10E8F" w:rsidRDefault="00462A0B" w:rsidP="0018126D">
      <w:pPr>
        <w:pStyle w:val="NormalHanging12a"/>
      </w:pPr>
      <w:r w:rsidRPr="00F10E8F">
        <w:t>–</w:t>
      </w:r>
      <w:r w:rsidRPr="00F10E8F">
        <w:tab/>
      </w:r>
      <w:r w:rsidR="0018126D" w:rsidRPr="00F10E8F">
        <w:t xml:space="preserve">uzimajući u obzir privremeni sporazum koji je odobrio nadležni odbor u skladu s člankom </w:t>
      </w:r>
      <w:r w:rsidR="0018126D" w:rsidRPr="002C05FE">
        <w:t>74</w:t>
      </w:r>
      <w:r w:rsidR="0018126D" w:rsidRPr="00F10E8F">
        <w:t xml:space="preserve">. stavkom </w:t>
      </w:r>
      <w:r w:rsidR="0018126D" w:rsidRPr="002C05FE">
        <w:t>4</w:t>
      </w:r>
      <w:r w:rsidR="0018126D" w:rsidRPr="00F10E8F">
        <w:t xml:space="preserve">. Poslovnika te činjenicu da se predstavnik Vijeća pismom od </w:t>
      </w:r>
      <w:r w:rsidR="0018126D" w:rsidRPr="002C05FE">
        <w:t>9</w:t>
      </w:r>
      <w:r w:rsidR="0018126D" w:rsidRPr="00F10E8F">
        <w:t xml:space="preserve">. studenoga </w:t>
      </w:r>
      <w:r w:rsidR="0018126D" w:rsidRPr="002C05FE">
        <w:t>2023</w:t>
      </w:r>
      <w:r w:rsidR="0018126D" w:rsidRPr="00F10E8F">
        <w:t xml:space="preserve">. obvezao prihvatiti stajalište Europskog parlamenta u skladu s člankom </w:t>
      </w:r>
      <w:r w:rsidR="0018126D" w:rsidRPr="002C05FE">
        <w:t>294</w:t>
      </w:r>
      <w:r w:rsidR="0018126D" w:rsidRPr="00F10E8F">
        <w:t xml:space="preserve">. stavkom </w:t>
      </w:r>
      <w:r w:rsidR="0018126D" w:rsidRPr="002C05FE">
        <w:t>4</w:t>
      </w:r>
      <w:r w:rsidR="0018126D" w:rsidRPr="00F10E8F">
        <w:t>. Ugovora o funkcioniranju Europske unije,</w:t>
      </w:r>
    </w:p>
    <w:p w:rsidR="006C4888" w:rsidRPr="00F10E8F" w:rsidRDefault="006C4888" w:rsidP="0018126D">
      <w:pPr>
        <w:pStyle w:val="NormalHanging12a"/>
      </w:pPr>
      <w:r w:rsidRPr="00F10E8F">
        <w:t>–</w:t>
      </w:r>
      <w:r w:rsidRPr="00F10E8F">
        <w:tab/>
        <w:t>uzimajući u obzir član</w:t>
      </w:r>
      <w:r w:rsidR="0018126D" w:rsidRPr="00F10E8F">
        <w:t>ak</w:t>
      </w:r>
      <w:r w:rsidRPr="00F10E8F">
        <w:t xml:space="preserve"> </w:t>
      </w:r>
      <w:r w:rsidRPr="002C05FE">
        <w:t>59</w:t>
      </w:r>
      <w:r w:rsidRPr="00F10E8F">
        <w:t>. Poslovnika,</w:t>
      </w:r>
    </w:p>
    <w:p w:rsidR="006C4888" w:rsidRPr="00F10E8F" w:rsidRDefault="006C4888" w:rsidP="0018126D">
      <w:pPr>
        <w:pStyle w:val="NormalHanging12a"/>
      </w:pPr>
      <w:r w:rsidRPr="00F10E8F">
        <w:t>–</w:t>
      </w:r>
      <w:r w:rsidRPr="00F10E8F">
        <w:tab/>
        <w:t>uzimajući u obzir izvješće Odbora za ekonomsku i monetarnu politiku (A</w:t>
      </w:r>
      <w:r w:rsidRPr="002C05FE">
        <w:t>9</w:t>
      </w:r>
      <w:r w:rsidRPr="00F10E8F">
        <w:noBreakHyphen/>
      </w:r>
      <w:r w:rsidRPr="002C05FE">
        <w:t>0020</w:t>
      </w:r>
      <w:r w:rsidRPr="00F10E8F">
        <w:t>/</w:t>
      </w:r>
      <w:r w:rsidRPr="002C05FE">
        <w:t>2023</w:t>
      </w:r>
      <w:r w:rsidRPr="00F10E8F">
        <w:t>),</w:t>
      </w:r>
    </w:p>
    <w:p w:rsidR="006C4888" w:rsidRPr="00F10E8F" w:rsidRDefault="006C4888" w:rsidP="006C4888">
      <w:pPr>
        <w:pStyle w:val="NormalHanging12a"/>
      </w:pPr>
      <w:r w:rsidRPr="002C05FE">
        <w:t>1</w:t>
      </w:r>
      <w:r w:rsidRPr="00F10E8F">
        <w:t>.</w:t>
      </w:r>
      <w:r w:rsidRPr="00F10E8F">
        <w:tab/>
        <w:t>usvaja sljedeće stajalište u prvom čitanju;</w:t>
      </w:r>
    </w:p>
    <w:p w:rsidR="006C4888" w:rsidRPr="00F10E8F" w:rsidRDefault="0018126D" w:rsidP="006C4888">
      <w:pPr>
        <w:pStyle w:val="NormalHanging12a"/>
      </w:pPr>
      <w:r w:rsidRPr="002C05FE">
        <w:t>2</w:t>
      </w:r>
      <w:r w:rsidR="006C4888" w:rsidRPr="00F10E8F">
        <w:t>.</w:t>
      </w:r>
      <w:r w:rsidR="006C4888" w:rsidRPr="00F10E8F">
        <w:tab/>
        <w:t>poziva Komisiju da predmet ponovno uputi Parlamentu ako zamijeni, bitno izmijeni ili namjerava bitno izmijeniti svoj Prijedlog;</w:t>
      </w:r>
    </w:p>
    <w:p w:rsidR="006C4888" w:rsidRPr="00F10E8F" w:rsidRDefault="0018126D" w:rsidP="006C4888">
      <w:pPr>
        <w:pStyle w:val="NormalHanging12a"/>
      </w:pPr>
      <w:r w:rsidRPr="002C05FE">
        <w:lastRenderedPageBreak/>
        <w:t>3</w:t>
      </w:r>
      <w:r w:rsidR="006C4888" w:rsidRPr="00F10E8F">
        <w:t>.</w:t>
      </w:r>
      <w:r w:rsidR="006C4888" w:rsidRPr="00F10E8F">
        <w:tab/>
        <w:t>nalaže svojoj predsjednici da stajalište Parlamenta proslijedi Vijeću, Komisiji i nacionalnim parlamentima.</w:t>
      </w:r>
    </w:p>
    <w:p w:rsidR="0018126D" w:rsidRPr="00F10E8F" w:rsidRDefault="0018126D" w:rsidP="006C4888">
      <w:pPr>
        <w:spacing w:before="120" w:after="120"/>
        <w:sectPr w:rsidR="0018126D" w:rsidRPr="00F10E8F" w:rsidSect="00A64742">
          <w:footerReference w:type="even" r:id="rId9"/>
          <w:footerReference w:type="first" r:id="rId10"/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:rsidR="006B5C11" w:rsidRPr="00F10E8F" w:rsidRDefault="006B5C11" w:rsidP="006B5C1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F10E8F">
        <w:rPr>
          <w:rFonts w:eastAsia="Calibri"/>
          <w:b/>
          <w:bCs/>
          <w:color w:val="000000"/>
          <w:szCs w:val="24"/>
        </w:rPr>
        <w:lastRenderedPageBreak/>
        <w:t>P</w:t>
      </w:r>
      <w:r w:rsidRPr="002C05FE">
        <w:rPr>
          <w:rFonts w:eastAsia="Calibri"/>
          <w:b/>
          <w:bCs/>
          <w:color w:val="000000"/>
          <w:szCs w:val="24"/>
        </w:rPr>
        <w:t>9</w:t>
      </w:r>
      <w:r w:rsidRPr="00F10E8F">
        <w:rPr>
          <w:rFonts w:eastAsia="Calibri"/>
          <w:b/>
          <w:bCs/>
          <w:color w:val="000000"/>
          <w:szCs w:val="24"/>
        </w:rPr>
        <w:t>_TC</w:t>
      </w:r>
      <w:r w:rsidRPr="002C05FE">
        <w:rPr>
          <w:rFonts w:eastAsia="Calibri"/>
          <w:b/>
          <w:bCs/>
          <w:color w:val="000000"/>
          <w:szCs w:val="24"/>
        </w:rPr>
        <w:t>1</w:t>
      </w:r>
      <w:r w:rsidRPr="00F10E8F">
        <w:rPr>
          <w:rFonts w:eastAsia="Calibri"/>
          <w:b/>
          <w:bCs/>
          <w:color w:val="000000"/>
          <w:szCs w:val="24"/>
        </w:rPr>
        <w:t>-COD(</w:t>
      </w:r>
      <w:r w:rsidRPr="002C05FE">
        <w:rPr>
          <w:rFonts w:eastAsia="Calibri"/>
          <w:b/>
          <w:bCs/>
          <w:color w:val="000000"/>
          <w:szCs w:val="24"/>
        </w:rPr>
        <w:t>2021</w:t>
      </w:r>
      <w:r w:rsidRPr="00F10E8F">
        <w:rPr>
          <w:rFonts w:eastAsia="Calibri"/>
          <w:b/>
          <w:bCs/>
          <w:color w:val="000000"/>
          <w:szCs w:val="24"/>
        </w:rPr>
        <w:t>)</w:t>
      </w:r>
      <w:r w:rsidRPr="002C05FE">
        <w:rPr>
          <w:rFonts w:eastAsia="Calibri"/>
          <w:b/>
          <w:bCs/>
          <w:color w:val="000000"/>
          <w:szCs w:val="24"/>
        </w:rPr>
        <w:t>0376</w:t>
      </w:r>
    </w:p>
    <w:p w:rsidR="006B5C11" w:rsidRPr="00F10E8F" w:rsidRDefault="006B5C11" w:rsidP="00F10E8F">
      <w:pPr>
        <w:rPr>
          <w:rFonts w:eastAsiaTheme="minorHAnsi"/>
          <w:b/>
          <w:szCs w:val="22"/>
          <w:lang w:eastAsia="en-US"/>
        </w:rPr>
      </w:pPr>
      <w:r w:rsidRPr="00F10E8F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 w:rsidRPr="002C05FE">
        <w:rPr>
          <w:rFonts w:eastAsia="Calibri"/>
          <w:b/>
          <w:szCs w:val="24"/>
          <w:lang w:eastAsia="en-US"/>
        </w:rPr>
        <w:t>7</w:t>
      </w:r>
      <w:r w:rsidRPr="00F10E8F">
        <w:rPr>
          <w:rFonts w:eastAsia="Calibri"/>
          <w:b/>
          <w:szCs w:val="24"/>
          <w:lang w:eastAsia="en-US"/>
        </w:rPr>
        <w:t xml:space="preserve">. veljače </w:t>
      </w:r>
      <w:r w:rsidRPr="002C05FE">
        <w:rPr>
          <w:rFonts w:eastAsia="Calibri"/>
          <w:b/>
          <w:szCs w:val="24"/>
          <w:lang w:eastAsia="en-US"/>
        </w:rPr>
        <w:t>2024</w:t>
      </w:r>
      <w:r w:rsidRPr="00F10E8F">
        <w:rPr>
          <w:rFonts w:eastAsia="Calibri"/>
          <w:b/>
          <w:szCs w:val="24"/>
          <w:lang w:eastAsia="en-US"/>
        </w:rPr>
        <w:t xml:space="preserve">. radi donošenja Direktive (EU) </w:t>
      </w:r>
      <w:r w:rsidRPr="002C05FE">
        <w:rPr>
          <w:rFonts w:eastAsia="Calibri"/>
          <w:b/>
          <w:szCs w:val="24"/>
          <w:lang w:eastAsia="en-US"/>
        </w:rPr>
        <w:t>2024</w:t>
      </w:r>
      <w:r w:rsidRPr="00F10E8F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F10E8F">
        <w:rPr>
          <w:rFonts w:eastAsiaTheme="minorHAnsi"/>
          <w:b/>
          <w:szCs w:val="22"/>
          <w:lang w:eastAsia="en-US"/>
        </w:rPr>
        <w:t xml:space="preserve">o izmjeni direktiva </w:t>
      </w:r>
      <w:r w:rsidRPr="002C05FE">
        <w:rPr>
          <w:rFonts w:eastAsiaTheme="minorHAnsi"/>
          <w:b/>
          <w:szCs w:val="22"/>
          <w:lang w:eastAsia="en-US"/>
        </w:rPr>
        <w:t>2011</w:t>
      </w:r>
      <w:r w:rsidRPr="00F10E8F">
        <w:rPr>
          <w:rFonts w:eastAsiaTheme="minorHAnsi"/>
          <w:b/>
          <w:szCs w:val="22"/>
          <w:lang w:eastAsia="en-US"/>
        </w:rPr>
        <w:t>/</w:t>
      </w:r>
      <w:r w:rsidRPr="002C05FE">
        <w:rPr>
          <w:rFonts w:eastAsiaTheme="minorHAnsi"/>
          <w:b/>
          <w:szCs w:val="22"/>
          <w:lang w:eastAsia="en-US"/>
        </w:rPr>
        <w:t>61</w:t>
      </w:r>
      <w:r w:rsidRPr="00F10E8F">
        <w:rPr>
          <w:rFonts w:eastAsiaTheme="minorHAnsi"/>
          <w:b/>
          <w:szCs w:val="22"/>
          <w:lang w:eastAsia="en-US"/>
        </w:rPr>
        <w:t xml:space="preserve">/EU i </w:t>
      </w:r>
      <w:r w:rsidRPr="002C05FE">
        <w:rPr>
          <w:rFonts w:eastAsiaTheme="minorHAnsi"/>
          <w:b/>
          <w:szCs w:val="22"/>
          <w:lang w:eastAsia="en-US"/>
        </w:rPr>
        <w:t>2009</w:t>
      </w:r>
      <w:r w:rsidRPr="00F10E8F">
        <w:rPr>
          <w:rFonts w:eastAsiaTheme="minorHAnsi"/>
          <w:b/>
          <w:szCs w:val="22"/>
          <w:lang w:eastAsia="en-US"/>
        </w:rPr>
        <w:t>/</w:t>
      </w:r>
      <w:r w:rsidRPr="002C05FE">
        <w:rPr>
          <w:rFonts w:eastAsiaTheme="minorHAnsi"/>
          <w:b/>
          <w:szCs w:val="22"/>
          <w:lang w:eastAsia="en-US"/>
        </w:rPr>
        <w:t>65</w:t>
      </w:r>
      <w:r w:rsidRPr="00F10E8F">
        <w:rPr>
          <w:rFonts w:eastAsiaTheme="minorHAnsi"/>
          <w:b/>
          <w:szCs w:val="22"/>
          <w:lang w:eastAsia="en-US"/>
        </w:rPr>
        <w:t>/EZ u pogledu postupaka delegiranja, upravljanja rizikom likvidnosti, nadzornog izvješćivanja, pružanja usluga depozitara i skrbništva te odobravanja zajmova od strane alternativnih investicijskih fondova</w:t>
      </w:r>
    </w:p>
    <w:p w:rsidR="006B5C11" w:rsidRDefault="006B5C11" w:rsidP="00F10E8F">
      <w:pPr>
        <w:widowControl/>
        <w:tabs>
          <w:tab w:val="left" w:pos="851"/>
          <w:tab w:val="left" w:pos="1418"/>
          <w:tab w:val="left" w:pos="1985"/>
          <w:tab w:val="left" w:pos="2552"/>
        </w:tabs>
        <w:spacing w:before="240" w:line="360" w:lineRule="auto"/>
        <w:jc w:val="center"/>
        <w:rPr>
          <w:rFonts w:eastAsiaTheme="minorHAnsi"/>
          <w:szCs w:val="22"/>
          <w:lang w:eastAsia="en-US"/>
        </w:rPr>
      </w:pPr>
      <w:r w:rsidRPr="00F10E8F">
        <w:rPr>
          <w:rFonts w:eastAsiaTheme="minorHAnsi"/>
          <w:szCs w:val="22"/>
          <w:lang w:eastAsia="en-US"/>
        </w:rPr>
        <w:t>(Tekst značajan za EGP)</w:t>
      </w:r>
    </w:p>
    <w:p w:rsidR="009B3569" w:rsidRPr="00F10E8F" w:rsidRDefault="009B3569" w:rsidP="00552E3B">
      <w:pPr>
        <w:widowControl/>
        <w:tabs>
          <w:tab w:val="left" w:pos="851"/>
          <w:tab w:val="left" w:pos="1418"/>
          <w:tab w:val="left" w:pos="1985"/>
          <w:tab w:val="left" w:pos="2552"/>
        </w:tabs>
        <w:spacing w:before="240"/>
        <w:rPr>
          <w:rFonts w:eastAsiaTheme="minorHAnsi"/>
          <w:szCs w:val="22"/>
          <w:lang w:eastAsia="en-US"/>
        </w:rPr>
      </w:pPr>
      <w:bookmarkStart w:id="9" w:name="_GoBack"/>
      <w:r w:rsidRPr="007A7ED7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bookmarkEnd w:id="9"/>
      <w:r>
        <w:rPr>
          <w:rFonts w:eastAsia="Calibri"/>
          <w:i/>
          <w:szCs w:val="24"/>
          <w:lang w:eastAsia="en-US"/>
        </w:rPr>
        <w:t xml:space="preserve">Direktivi </w:t>
      </w:r>
      <w:r w:rsidRPr="009B3569">
        <w:rPr>
          <w:rFonts w:eastAsia="Calibri"/>
          <w:i/>
          <w:szCs w:val="24"/>
          <w:lang w:eastAsia="en-US"/>
        </w:rPr>
        <w:t>(EU) 2024/927).</w:t>
      </w:r>
    </w:p>
    <w:sectPr w:rsidR="009B3569" w:rsidRPr="00F10E8F" w:rsidSect="009B356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DBE" w:rsidRPr="00A64742" w:rsidRDefault="00CB1DBE">
      <w:r w:rsidRPr="00A64742">
        <w:separator/>
      </w:r>
    </w:p>
  </w:endnote>
  <w:endnote w:type="continuationSeparator" w:id="0">
    <w:p w:rsidR="00CB1DBE" w:rsidRPr="00A64742" w:rsidRDefault="00CB1DBE">
      <w:r w:rsidRPr="00A647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DBE" w:rsidRPr="00A64742" w:rsidRDefault="00CB1DBE" w:rsidP="006B5C11">
    <w:pPr>
      <w:pStyle w:val="EPFooter"/>
    </w:pPr>
    <w:r w:rsidRPr="00A64742">
      <w:t>PE</w:t>
    </w:r>
    <w:r w:rsidRPr="00A64742">
      <w:rPr>
        <w:rStyle w:val="HideTWBExt"/>
      </w:rPr>
      <w:t>&lt;</w:t>
    </w:r>
    <w:proofErr w:type="spellStart"/>
    <w:r w:rsidRPr="00A64742">
      <w:rPr>
        <w:rStyle w:val="HideTWBExt"/>
      </w:rPr>
      <w:t>NoPE</w:t>
    </w:r>
    <w:proofErr w:type="spellEnd"/>
    <w:r w:rsidRPr="00A64742">
      <w:rPr>
        <w:rStyle w:val="HideTWBExt"/>
      </w:rPr>
      <w:t>&gt;</w:t>
    </w:r>
    <w:r w:rsidRPr="00A64742">
      <w:t>732.549</w:t>
    </w:r>
    <w:r w:rsidRPr="00A64742">
      <w:rPr>
        <w:rStyle w:val="HideTWBExt"/>
      </w:rPr>
      <w:t>&lt;/</w:t>
    </w:r>
    <w:proofErr w:type="spellStart"/>
    <w:r w:rsidRPr="00A64742">
      <w:rPr>
        <w:rStyle w:val="HideTWBExt"/>
      </w:rPr>
      <w:t>NoPE</w:t>
    </w:r>
    <w:proofErr w:type="spellEnd"/>
    <w:r w:rsidRPr="00A64742">
      <w:rPr>
        <w:rStyle w:val="HideTWBExt"/>
      </w:rPr>
      <w:t>&gt;&lt;Version&gt;</w:t>
    </w:r>
    <w:r w:rsidRPr="00A64742">
      <w:t>v02-00</w:t>
    </w:r>
    <w:r w:rsidRPr="00A64742">
      <w:rPr>
        <w:rStyle w:val="HideTWBExt"/>
      </w:rPr>
      <w:t>&lt;/</w:t>
    </w:r>
    <w:proofErr w:type="spellStart"/>
    <w:r w:rsidRPr="00A64742">
      <w:rPr>
        <w:rStyle w:val="HideTWBExt"/>
      </w:rPr>
      <w:t>Version</w:t>
    </w:r>
    <w:proofErr w:type="spellEnd"/>
    <w:r w:rsidRPr="00A64742">
      <w:rPr>
        <w:rStyle w:val="HideTWBExt"/>
      </w:rPr>
      <w:t>&gt;</w:t>
    </w:r>
    <w:r w:rsidRPr="00A64742">
      <w:tab/>
    </w:r>
    <w:r w:rsidRPr="00A64742">
      <w:fldChar w:fldCharType="begin"/>
    </w:r>
    <w:r w:rsidRPr="00A64742">
      <w:instrText xml:space="preserve"> PAGE  \* MERGEFORMAT </w:instrText>
    </w:r>
    <w:r w:rsidRPr="00A64742">
      <w:fldChar w:fldCharType="separate"/>
    </w:r>
    <w:r w:rsidRPr="00A64742">
      <w:rPr>
        <w:noProof/>
      </w:rPr>
      <w:t>2</w:t>
    </w:r>
    <w:r w:rsidRPr="00A64742">
      <w:fldChar w:fldCharType="end"/>
    </w:r>
    <w:r w:rsidRPr="00A64742">
      <w:t>/</w:t>
    </w:r>
    <w:fldSimple w:instr=" NUMPAGES  \* MERGEFORMAT ">
      <w:r w:rsidRPr="00A64742">
        <w:rPr>
          <w:noProof/>
        </w:rPr>
        <w:t>3</w:t>
      </w:r>
    </w:fldSimple>
    <w:r w:rsidRPr="00A64742">
      <w:tab/>
    </w:r>
    <w:r w:rsidRPr="00A64742">
      <w:rPr>
        <w:rStyle w:val="HideTWBExt"/>
      </w:rPr>
      <w:t>&lt;PathFdR&gt;</w:t>
    </w:r>
    <w:r w:rsidRPr="00A64742">
      <w:t>RR\1271937HR.docx</w:t>
    </w:r>
    <w:r w:rsidRPr="00A64742">
      <w:rPr>
        <w:rStyle w:val="HideTWBExt"/>
      </w:rPr>
      <w:t>&lt;/</w:t>
    </w:r>
    <w:proofErr w:type="spellStart"/>
    <w:r w:rsidRPr="00A64742">
      <w:rPr>
        <w:rStyle w:val="HideTWBExt"/>
      </w:rPr>
      <w:t>PathFdR</w:t>
    </w:r>
    <w:proofErr w:type="spellEnd"/>
    <w:r w:rsidRPr="00A64742">
      <w:rPr>
        <w:rStyle w:val="HideTWBExt"/>
      </w:rPr>
      <w:t>&gt;</w:t>
    </w:r>
  </w:p>
  <w:p w:rsidR="00CB1DBE" w:rsidRPr="00A64742" w:rsidRDefault="00CB1DBE" w:rsidP="006B5C11">
    <w:pPr>
      <w:pStyle w:val="EPFooter2"/>
    </w:pPr>
    <w:r w:rsidRPr="00A64742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DBE" w:rsidRPr="00A64742" w:rsidRDefault="00CB1DBE" w:rsidP="006B5C11">
    <w:pPr>
      <w:pStyle w:val="EPFooter"/>
    </w:pPr>
    <w:r w:rsidRPr="00A64742">
      <w:rPr>
        <w:rStyle w:val="HideTWBExt"/>
      </w:rPr>
      <w:t>&lt;PathFdR&gt;</w:t>
    </w:r>
    <w:r w:rsidRPr="00A64742">
      <w:t>RR\1271937HR.docx</w:t>
    </w:r>
    <w:r w:rsidRPr="00A64742">
      <w:rPr>
        <w:rStyle w:val="HideTWBExt"/>
      </w:rPr>
      <w:t>&lt;/</w:t>
    </w:r>
    <w:proofErr w:type="spellStart"/>
    <w:r w:rsidRPr="00A64742">
      <w:rPr>
        <w:rStyle w:val="HideTWBExt"/>
      </w:rPr>
      <w:t>PathFdR</w:t>
    </w:r>
    <w:proofErr w:type="spellEnd"/>
    <w:r w:rsidRPr="00A64742">
      <w:rPr>
        <w:rStyle w:val="HideTWBExt"/>
      </w:rPr>
      <w:t>&gt;</w:t>
    </w:r>
    <w:r w:rsidRPr="00A64742">
      <w:tab/>
    </w:r>
    <w:r w:rsidRPr="00A64742">
      <w:tab/>
      <w:t>PE</w:t>
    </w:r>
    <w:r w:rsidRPr="00A64742">
      <w:rPr>
        <w:rStyle w:val="HideTWBExt"/>
      </w:rPr>
      <w:t>&lt;</w:t>
    </w:r>
    <w:proofErr w:type="spellStart"/>
    <w:r w:rsidRPr="00A64742">
      <w:rPr>
        <w:rStyle w:val="HideTWBExt"/>
      </w:rPr>
      <w:t>NoPE</w:t>
    </w:r>
    <w:proofErr w:type="spellEnd"/>
    <w:r w:rsidRPr="00A64742">
      <w:rPr>
        <w:rStyle w:val="HideTWBExt"/>
      </w:rPr>
      <w:t>&gt;</w:t>
    </w:r>
    <w:r w:rsidRPr="00A64742">
      <w:t>732.549</w:t>
    </w:r>
    <w:r w:rsidRPr="00A64742">
      <w:rPr>
        <w:rStyle w:val="HideTWBExt"/>
      </w:rPr>
      <w:t>&lt;/</w:t>
    </w:r>
    <w:proofErr w:type="spellStart"/>
    <w:r w:rsidRPr="00A64742">
      <w:rPr>
        <w:rStyle w:val="HideTWBExt"/>
      </w:rPr>
      <w:t>NoPE</w:t>
    </w:r>
    <w:proofErr w:type="spellEnd"/>
    <w:r w:rsidRPr="00A64742">
      <w:rPr>
        <w:rStyle w:val="HideTWBExt"/>
      </w:rPr>
      <w:t>&gt;&lt;Version&gt;</w:t>
    </w:r>
    <w:r w:rsidRPr="00A64742">
      <w:t>v02-00</w:t>
    </w:r>
    <w:r w:rsidRPr="00A64742">
      <w:rPr>
        <w:rStyle w:val="HideTWBExt"/>
      </w:rPr>
      <w:t>&lt;/</w:t>
    </w:r>
    <w:proofErr w:type="spellStart"/>
    <w:r w:rsidRPr="00A64742">
      <w:rPr>
        <w:rStyle w:val="HideTWBExt"/>
      </w:rPr>
      <w:t>Version</w:t>
    </w:r>
    <w:proofErr w:type="spellEnd"/>
    <w:r w:rsidRPr="00A64742">
      <w:rPr>
        <w:rStyle w:val="HideTWBExt"/>
      </w:rPr>
      <w:t>&gt;</w:t>
    </w:r>
  </w:p>
  <w:p w:rsidR="00CB1DBE" w:rsidRPr="00A64742" w:rsidRDefault="00CB1DBE" w:rsidP="006B5C11">
    <w:pPr>
      <w:pStyle w:val="EPFooter2"/>
    </w:pPr>
    <w:r w:rsidRPr="00A64742">
      <w:t>HR</w:t>
    </w:r>
    <w:r w:rsidRPr="00A64742">
      <w:tab/>
    </w:r>
    <w:r w:rsidRPr="00A64742">
      <w:rPr>
        <w:b w:val="0"/>
        <w:i/>
        <w:color w:val="C0C0C0"/>
        <w:sz w:val="22"/>
      </w:rPr>
      <w:t>Ujedinjena u raznolikosti</w:t>
    </w:r>
    <w:r w:rsidRPr="00A64742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DBE" w:rsidRPr="00A64742" w:rsidRDefault="00CB1DB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DBE" w:rsidRPr="00A64742" w:rsidRDefault="00CB1DB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DBE" w:rsidRPr="00A64742" w:rsidRDefault="00CB1DB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DBE" w:rsidRPr="00A64742" w:rsidRDefault="00CB1DBE">
      <w:r w:rsidRPr="00A64742">
        <w:separator/>
      </w:r>
    </w:p>
  </w:footnote>
  <w:footnote w:type="continuationSeparator" w:id="0">
    <w:p w:rsidR="00CB1DBE" w:rsidRPr="00A64742" w:rsidRDefault="00CB1DBE">
      <w:r w:rsidRPr="00A647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DBE" w:rsidRPr="00A64742" w:rsidRDefault="00CB1D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DBE" w:rsidRPr="00A64742" w:rsidRDefault="00CB1DB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DBE" w:rsidRPr="00A64742" w:rsidRDefault="00CB1D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7CC022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16C6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2D3A80"/>
    <w:multiLevelType w:val="hybridMultilevel"/>
    <w:tmpl w:val="83526E14"/>
    <w:lvl w:ilvl="0" w:tplc="BD98E8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530C4A69"/>
    <w:multiLevelType w:val="hybridMultilevel"/>
    <w:tmpl w:val="F0B0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A330CA8"/>
    <w:multiLevelType w:val="hybridMultilevel"/>
    <w:tmpl w:val="7B90BF7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6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0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2" w15:restartNumberingAfterBreak="0">
    <w:nsid w:val="6CEF555B"/>
    <w:multiLevelType w:val="hybridMultilevel"/>
    <w:tmpl w:val="AD122044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6"/>
  </w:num>
  <w:num w:numId="3">
    <w:abstractNumId w:val="2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</w:num>
  <w:num w:numId="7">
    <w:abstractNumId w:val="27"/>
  </w:num>
  <w:num w:numId="8">
    <w:abstractNumId w:val="18"/>
  </w:num>
  <w:num w:numId="9">
    <w:abstractNumId w:val="31"/>
  </w:num>
  <w:num w:numId="10">
    <w:abstractNumId w:val="15"/>
  </w:num>
  <w:num w:numId="11">
    <w:abstractNumId w:val="19"/>
  </w:num>
  <w:num w:numId="12">
    <w:abstractNumId w:val="21"/>
  </w:num>
  <w:num w:numId="13">
    <w:abstractNumId w:val="25"/>
  </w:num>
  <w:num w:numId="14">
    <w:abstractNumId w:val="26"/>
  </w:num>
  <w:num w:numId="15">
    <w:abstractNumId w:val="14"/>
  </w:num>
  <w:num w:numId="16">
    <w:abstractNumId w:val="23"/>
  </w:num>
  <w:num w:numId="17">
    <w:abstractNumId w:val="2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1"/>
  </w:num>
  <w:num w:numId="29">
    <w:abstractNumId w:val="30"/>
  </w:num>
  <w:num w:numId="30">
    <w:abstractNumId w:val="28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2"/>
  </w:num>
  <w:num w:numId="34">
    <w:abstractNumId w:val="22"/>
  </w:num>
  <w:num w:numId="35">
    <w:abstractNumId w:val="17"/>
  </w:num>
  <w:num w:numId="36">
    <w:abstractNumId w:val="24"/>
  </w:num>
  <w:num w:numId="37">
    <w:abstractNumId w:val="3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HR"/>
    <w:docVar w:name="dvnumam" w:val="0"/>
    <w:docVar w:name="dvpe" w:val="732.549"/>
    <w:docVar w:name="dvrapporteur" w:val="Izvjestitelj: "/>
    <w:docVar w:name="dvstar" w:val="***I"/>
    <w:docVar w:name="dvtitre" w:val="Zakonodavna rezolucija Europskog parlamenta od .... 2024. o Prijedlogu direktive Europskog parlamenta i Vijeća o izmjeni direktiva 2011/61/EU i 2009/65/EZ u pogledu postupaka delegiranja, upravljanja rizikom likvidnosti, nadzornog izvješćivanja, pružanja usluga depozitara i skrbništva te odobravanja zajmova od strane alternativnih investicijskih fondova(COM(2021)0721 – C9-0439/2021 – 2021/0376(COD))"/>
  </w:docVars>
  <w:rsids>
    <w:rsidRoot w:val="0040767E"/>
    <w:rsid w:val="00002272"/>
    <w:rsid w:val="000446BD"/>
    <w:rsid w:val="00064002"/>
    <w:rsid w:val="000677B9"/>
    <w:rsid w:val="000831BA"/>
    <w:rsid w:val="000A42CC"/>
    <w:rsid w:val="000E7DD9"/>
    <w:rsid w:val="0010095E"/>
    <w:rsid w:val="00125B37"/>
    <w:rsid w:val="001271EF"/>
    <w:rsid w:val="00174F7E"/>
    <w:rsid w:val="0018126D"/>
    <w:rsid w:val="00187494"/>
    <w:rsid w:val="001F32AE"/>
    <w:rsid w:val="00253F14"/>
    <w:rsid w:val="002767FF"/>
    <w:rsid w:val="002B18FE"/>
    <w:rsid w:val="002B5493"/>
    <w:rsid w:val="002C05FE"/>
    <w:rsid w:val="00343214"/>
    <w:rsid w:val="00361C00"/>
    <w:rsid w:val="00395FA1"/>
    <w:rsid w:val="003E15D4"/>
    <w:rsid w:val="0040767E"/>
    <w:rsid w:val="00411CCE"/>
    <w:rsid w:val="0041666E"/>
    <w:rsid w:val="00421060"/>
    <w:rsid w:val="00462A0B"/>
    <w:rsid w:val="00471C19"/>
    <w:rsid w:val="004867E3"/>
    <w:rsid w:val="00494A28"/>
    <w:rsid w:val="004C0004"/>
    <w:rsid w:val="004C5D52"/>
    <w:rsid w:val="0050519A"/>
    <w:rsid w:val="00506B7F"/>
    <w:rsid w:val="005072A1"/>
    <w:rsid w:val="00514517"/>
    <w:rsid w:val="00526395"/>
    <w:rsid w:val="00545827"/>
    <w:rsid w:val="00552E3B"/>
    <w:rsid w:val="00560270"/>
    <w:rsid w:val="005C2568"/>
    <w:rsid w:val="006037C0"/>
    <w:rsid w:val="00604276"/>
    <w:rsid w:val="006631B6"/>
    <w:rsid w:val="00680577"/>
    <w:rsid w:val="006B5C11"/>
    <w:rsid w:val="006C4888"/>
    <w:rsid w:val="006F74FA"/>
    <w:rsid w:val="007128E9"/>
    <w:rsid w:val="00731ADD"/>
    <w:rsid w:val="00734777"/>
    <w:rsid w:val="00747932"/>
    <w:rsid w:val="00751A4A"/>
    <w:rsid w:val="00756632"/>
    <w:rsid w:val="00762C74"/>
    <w:rsid w:val="0078038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569"/>
    <w:rsid w:val="00A1687D"/>
    <w:rsid w:val="00A43E52"/>
    <w:rsid w:val="00A4678D"/>
    <w:rsid w:val="00A6474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1DB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21F5"/>
    <w:rsid w:val="00EB006A"/>
    <w:rsid w:val="00EB4772"/>
    <w:rsid w:val="00ED169E"/>
    <w:rsid w:val="00ED4235"/>
    <w:rsid w:val="00F04346"/>
    <w:rsid w:val="00F075DC"/>
    <w:rsid w:val="00F10E8F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87D60-718C-43A2-98A1-392B30BE7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C488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88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C488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88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88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888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888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888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888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6C488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C488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C488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C4888"/>
    <w:pPr>
      <w:spacing w:after="120"/>
    </w:pPr>
  </w:style>
  <w:style w:type="paragraph" w:customStyle="1" w:styleId="PageHeading">
    <w:name w:val="PageHeading"/>
    <w:basedOn w:val="Normal"/>
    <w:rsid w:val="006C488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C4888"/>
    <w:rPr>
      <w:b/>
    </w:rPr>
  </w:style>
  <w:style w:type="paragraph" w:customStyle="1" w:styleId="NormalBold12a">
    <w:name w:val="NormalBold12a"/>
    <w:basedOn w:val="Normal"/>
    <w:rsid w:val="006C4888"/>
    <w:pPr>
      <w:spacing w:after="240"/>
    </w:pPr>
    <w:rPr>
      <w:b/>
    </w:rPr>
  </w:style>
  <w:style w:type="paragraph" w:customStyle="1" w:styleId="AmJustText">
    <w:name w:val="AmJustText"/>
    <w:basedOn w:val="Normal"/>
    <w:rsid w:val="006C488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C488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C4888"/>
    <w:pPr>
      <w:spacing w:after="480"/>
      <w:ind w:left="1417"/>
    </w:pPr>
  </w:style>
  <w:style w:type="paragraph" w:customStyle="1" w:styleId="CoverNormal">
    <w:name w:val="CoverNormal"/>
    <w:basedOn w:val="Normal"/>
    <w:rsid w:val="006C4888"/>
    <w:pPr>
      <w:ind w:left="1418"/>
    </w:pPr>
  </w:style>
  <w:style w:type="paragraph" w:customStyle="1" w:styleId="AmCrossRef">
    <w:name w:val="AmCrossRef"/>
    <w:basedOn w:val="Normal"/>
    <w:rsid w:val="006C488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C488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C488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C488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C488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C488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C48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888"/>
    <w:rPr>
      <w:sz w:val="24"/>
      <w:lang w:val="hr-HR"/>
    </w:rPr>
  </w:style>
  <w:style w:type="paragraph" w:customStyle="1" w:styleId="AmOrLang">
    <w:name w:val="AmOrLang"/>
    <w:basedOn w:val="Normal"/>
    <w:rsid w:val="006C488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C488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C48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C4888"/>
    <w:pPr>
      <w:spacing w:before="240"/>
    </w:pPr>
    <w:rPr>
      <w:b/>
    </w:rPr>
  </w:style>
  <w:style w:type="paragraph" w:customStyle="1" w:styleId="EPBody">
    <w:name w:val="EPBody"/>
    <w:basedOn w:val="Normal"/>
    <w:rsid w:val="006C488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C488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C4888"/>
    <w:pPr>
      <w:spacing w:before="480" w:after="240"/>
    </w:pPr>
  </w:style>
  <w:style w:type="paragraph" w:customStyle="1" w:styleId="Lgendesigne">
    <w:name w:val="Légende signe"/>
    <w:basedOn w:val="Normal"/>
    <w:rsid w:val="006C488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C488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C4888"/>
    <w:rPr>
      <w:sz w:val="18"/>
    </w:rPr>
  </w:style>
  <w:style w:type="paragraph" w:styleId="Footer">
    <w:name w:val="footer"/>
    <w:basedOn w:val="Normal"/>
    <w:link w:val="FooterChar"/>
    <w:uiPriority w:val="99"/>
    <w:rsid w:val="006C48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888"/>
    <w:rPr>
      <w:sz w:val="24"/>
      <w:lang w:val="hr-HR"/>
    </w:rPr>
  </w:style>
  <w:style w:type="paragraph" w:styleId="BalloonText">
    <w:name w:val="Balloon Text"/>
    <w:basedOn w:val="Normal"/>
    <w:link w:val="BalloonTextChar"/>
    <w:unhideWhenUsed/>
    <w:rsid w:val="006C48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C4888"/>
    <w:rPr>
      <w:rFonts w:ascii="Segoe UI" w:hAnsi="Segoe UI" w:cs="Segoe UI"/>
      <w:sz w:val="18"/>
      <w:szCs w:val="18"/>
      <w:lang w:val="hr-HR"/>
    </w:rPr>
  </w:style>
  <w:style w:type="numbering" w:customStyle="1" w:styleId="NoList1">
    <w:name w:val="No List1"/>
    <w:next w:val="NoList"/>
    <w:uiPriority w:val="99"/>
    <w:semiHidden/>
    <w:unhideWhenUsed/>
    <w:rsid w:val="006C4888"/>
  </w:style>
  <w:style w:type="paragraph" w:customStyle="1" w:styleId="EntPE">
    <w:name w:val="EntPE"/>
    <w:basedOn w:val="Normal12"/>
    <w:rsid w:val="006C4888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C4888"/>
    <w:pPr>
      <w:spacing w:after="240"/>
    </w:pPr>
    <w:rPr>
      <w:noProof/>
    </w:rPr>
  </w:style>
  <w:style w:type="paragraph" w:customStyle="1" w:styleId="CommitteeAM">
    <w:name w:val="CommitteeAM"/>
    <w:basedOn w:val="Normal"/>
    <w:rsid w:val="006C488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C488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C4888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6C4888"/>
    <w:rPr>
      <w:noProof/>
      <w:sz w:val="24"/>
      <w:lang w:val="hr-HR"/>
    </w:rPr>
  </w:style>
  <w:style w:type="table" w:customStyle="1" w:styleId="TableGrid1">
    <w:name w:val="Table Grid1"/>
    <w:basedOn w:val="TableNormal"/>
    <w:next w:val="TableGrid"/>
    <w:rsid w:val="006C4888"/>
    <w:pPr>
      <w:widowControl w:val="0"/>
    </w:pPr>
    <w:rPr>
      <w:lang w:val="hr-H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Left">
    <w:name w:val="PELeft"/>
    <w:basedOn w:val="Normal"/>
    <w:rsid w:val="006C488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C4888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6C4888"/>
    <w:pPr>
      <w:spacing w:after="120"/>
    </w:pPr>
  </w:style>
  <w:style w:type="paragraph" w:customStyle="1" w:styleId="Normal12Italic">
    <w:name w:val="Normal12Italic"/>
    <w:basedOn w:val="Normal12"/>
    <w:rsid w:val="006C4888"/>
    <w:rPr>
      <w:i/>
    </w:rPr>
  </w:style>
  <w:style w:type="character" w:customStyle="1" w:styleId="NormalBoldChar">
    <w:name w:val="NormalBold Char"/>
    <w:basedOn w:val="DefaultParagraphFont"/>
    <w:link w:val="NormalBold"/>
    <w:rsid w:val="006C4888"/>
    <w:rPr>
      <w:b/>
      <w:sz w:val="24"/>
      <w:lang w:val="hr-HR"/>
    </w:rPr>
  </w:style>
  <w:style w:type="paragraph" w:customStyle="1" w:styleId="JustificationTitle">
    <w:name w:val="JustificationTitle"/>
    <w:basedOn w:val="Normal"/>
    <w:next w:val="Normal12"/>
    <w:rsid w:val="006C488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C4888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6C4888"/>
    <w:rPr>
      <w:sz w:val="24"/>
      <w:lang w:val="hr-HR"/>
    </w:rPr>
  </w:style>
  <w:style w:type="paragraph" w:customStyle="1" w:styleId="ColumnHeading">
    <w:name w:val="ColumnHeading"/>
    <w:basedOn w:val="Normal"/>
    <w:rsid w:val="006C488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C48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C4888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6C488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6C4888"/>
    <w:rPr>
      <w:rFonts w:ascii="Arial" w:cs="Arial"/>
      <w:b w:val="0"/>
      <w:i/>
      <w:color w:val="C0C0C0"/>
      <w:sz w:val="22"/>
    </w:rPr>
  </w:style>
  <w:style w:type="paragraph" w:customStyle="1" w:styleId="msonormal0">
    <w:name w:val="msonormal"/>
    <w:basedOn w:val="Normal"/>
    <w:rsid w:val="006C4888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6C4888"/>
    <w:pPr>
      <w:ind w:left="1417"/>
    </w:pPr>
    <w:rPr>
      <w:b/>
    </w:rPr>
  </w:style>
  <w:style w:type="paragraph" w:customStyle="1" w:styleId="Normal2">
    <w:name w:val="Normal2"/>
    <w:basedOn w:val="Normal"/>
    <w:qFormat/>
    <w:rsid w:val="006C4888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6C4888"/>
    <w:rPr>
      <w:i/>
    </w:rPr>
  </w:style>
  <w:style w:type="paragraph" w:customStyle="1" w:styleId="NormalBoldItalic6a">
    <w:name w:val="NormalBoldItalic6a"/>
    <w:basedOn w:val="Normal6a"/>
    <w:qFormat/>
    <w:rsid w:val="006C4888"/>
    <w:rPr>
      <w:b/>
      <w:i/>
    </w:rPr>
  </w:style>
  <w:style w:type="paragraph" w:customStyle="1" w:styleId="NormalBoldItalicCenter6a">
    <w:name w:val="NormalBoldItalicCenter6a"/>
    <w:basedOn w:val="Normal6a"/>
    <w:qFormat/>
    <w:rsid w:val="006C4888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6C4888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hr-HR"/>
    </w:rPr>
  </w:style>
  <w:style w:type="paragraph" w:customStyle="1" w:styleId="EPFooterLandscape">
    <w:name w:val="EPFooterLandscape"/>
    <w:qFormat/>
    <w:rsid w:val="006C4888"/>
    <w:pPr>
      <w:tabs>
        <w:tab w:val="center" w:pos="6804"/>
        <w:tab w:val="right" w:pos="15026"/>
      </w:tabs>
    </w:pPr>
    <w:rPr>
      <w:sz w:val="22"/>
      <w:lang w:val="hr-HR"/>
    </w:rPr>
  </w:style>
  <w:style w:type="character" w:customStyle="1" w:styleId="NormalBI">
    <w:name w:val="NormalBI"/>
    <w:basedOn w:val="DefaultParagraphFont"/>
    <w:uiPriority w:val="1"/>
    <w:qFormat/>
    <w:rsid w:val="006C4888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6C4888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6C4888"/>
    <w:rPr>
      <w:b/>
      <w:bCs w:val="0"/>
    </w:rPr>
  </w:style>
  <w:style w:type="character" w:customStyle="1" w:styleId="Italic">
    <w:name w:val="Italic"/>
    <w:uiPriority w:val="1"/>
    <w:qFormat/>
    <w:rsid w:val="006C4888"/>
    <w:rPr>
      <w:i/>
      <w:iCs w:val="0"/>
    </w:rPr>
  </w:style>
  <w:style w:type="character" w:customStyle="1" w:styleId="BoldItalic">
    <w:name w:val="BoldItalic"/>
    <w:uiPriority w:val="1"/>
    <w:qFormat/>
    <w:rsid w:val="006C4888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6C4888"/>
    <w:rPr>
      <w:u w:val="single"/>
    </w:rPr>
  </w:style>
  <w:style w:type="character" w:customStyle="1" w:styleId="Sub">
    <w:name w:val="Sub"/>
    <w:uiPriority w:val="1"/>
    <w:qFormat/>
    <w:rsid w:val="006C4888"/>
    <w:rPr>
      <w:vertAlign w:val="subscript"/>
    </w:rPr>
  </w:style>
  <w:style w:type="character" w:customStyle="1" w:styleId="Sup">
    <w:name w:val="Sup"/>
    <w:uiPriority w:val="1"/>
    <w:qFormat/>
    <w:rsid w:val="006C4888"/>
    <w:rPr>
      <w:vertAlign w:val="superscript"/>
    </w:rPr>
  </w:style>
  <w:style w:type="character" w:customStyle="1" w:styleId="SupBoldItalic">
    <w:name w:val="SupBoldItalic"/>
    <w:uiPriority w:val="1"/>
    <w:qFormat/>
    <w:rsid w:val="006C4888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6C4888"/>
    <w:rPr>
      <w:b/>
      <w:bCs w:val="0"/>
      <w:i/>
      <w:iCs w:val="0"/>
      <w:vertAlign w:val="subscript"/>
    </w:rPr>
  </w:style>
  <w:style w:type="character" w:styleId="CommentReference">
    <w:name w:val="annotation reference"/>
    <w:basedOn w:val="DefaultParagraphFont"/>
    <w:uiPriority w:val="99"/>
    <w:rsid w:val="006C4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C488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4888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C4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C4888"/>
    <w:rPr>
      <w:b/>
      <w:bCs/>
      <w:lang w:val="hr-HR"/>
    </w:rPr>
  </w:style>
  <w:style w:type="paragraph" w:customStyle="1" w:styleId="NormalCenter12a">
    <w:name w:val="NormalCenter12a"/>
    <w:basedOn w:val="Normal"/>
    <w:rsid w:val="006C4888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6C4888"/>
    <w:pPr>
      <w:spacing w:before="720" w:after="240"/>
      <w:jc w:val="center"/>
    </w:pPr>
  </w:style>
  <w:style w:type="paragraph" w:styleId="ListNumber">
    <w:name w:val="List Number"/>
    <w:basedOn w:val="Normal"/>
    <w:rsid w:val="006C4888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6C4888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6C4888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6C4888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6C4888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6C4888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6C4888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6C4888"/>
    <w:pPr>
      <w:widowControl/>
      <w:spacing w:before="100" w:beforeAutospacing="1" w:after="100" w:afterAutospacing="1"/>
    </w:pPr>
    <w:rPr>
      <w:szCs w:val="24"/>
    </w:rPr>
  </w:style>
  <w:style w:type="paragraph" w:customStyle="1" w:styleId="norm">
    <w:name w:val="norm"/>
    <w:basedOn w:val="Normal"/>
    <w:rsid w:val="006C4888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6C4888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ListDash1">
    <w:name w:val="List Dash 1"/>
    <w:basedOn w:val="Text1"/>
    <w:rsid w:val="006C4888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6C4888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6C4888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6C4888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6C4888"/>
    <w:rPr>
      <w:rFonts w:eastAsiaTheme="minorHAnsi"/>
      <w:sz w:val="24"/>
      <w:szCs w:val="22"/>
      <w:lang w:val="hr-HR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4888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6C4888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6C4888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6C4888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6C488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C4888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0">
    <w:name w:val="italic"/>
    <w:basedOn w:val="DefaultParagraphFont"/>
    <w:rsid w:val="006C4888"/>
  </w:style>
  <w:style w:type="table" w:styleId="GridTable4-Accent1">
    <w:name w:val="Grid Table 4 Accent 1"/>
    <w:basedOn w:val="TableNormal"/>
    <w:uiPriority w:val="49"/>
    <w:rsid w:val="006C4888"/>
    <w:rPr>
      <w:rFonts w:asciiTheme="minorHAnsi" w:eastAsiaTheme="minorHAnsi" w:hAnsiTheme="minorHAnsi" w:cstheme="minorBidi"/>
      <w:lang w:val="hr-HR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6C4888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6C4888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C4888"/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en-US"/>
    </w:rPr>
  </w:style>
  <w:style w:type="paragraph" w:styleId="TOC4">
    <w:name w:val="toc 4"/>
    <w:basedOn w:val="Normal"/>
    <w:next w:val="Normal"/>
    <w:uiPriority w:val="39"/>
    <w:unhideWhenUsed/>
    <w:rsid w:val="006C4888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C4888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C4888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C4888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C4888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C4888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6C4888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6C4888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6C488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6C4888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6C488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6C4888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6C4888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6C4888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6C4888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6C4888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6C4888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6C4888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6C4888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C488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C488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6C4888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6C4888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6C4888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6C4888"/>
    <w:pPr>
      <w:numPr>
        <w:numId w:val="7"/>
      </w:numPr>
    </w:pPr>
  </w:style>
  <w:style w:type="paragraph" w:customStyle="1" w:styleId="Tiret1">
    <w:name w:val="Tiret 1"/>
    <w:basedOn w:val="Point1"/>
    <w:rsid w:val="006C4888"/>
    <w:pPr>
      <w:numPr>
        <w:numId w:val="8"/>
      </w:numPr>
    </w:pPr>
  </w:style>
  <w:style w:type="paragraph" w:customStyle="1" w:styleId="Tiret2">
    <w:name w:val="Tiret 2"/>
    <w:basedOn w:val="Point2"/>
    <w:rsid w:val="006C4888"/>
    <w:pPr>
      <w:numPr>
        <w:numId w:val="9"/>
      </w:numPr>
    </w:pPr>
  </w:style>
  <w:style w:type="paragraph" w:customStyle="1" w:styleId="Tiret3">
    <w:name w:val="Tiret 3"/>
    <w:basedOn w:val="Point3"/>
    <w:rsid w:val="006C4888"/>
    <w:pPr>
      <w:numPr>
        <w:numId w:val="10"/>
      </w:numPr>
    </w:pPr>
  </w:style>
  <w:style w:type="paragraph" w:customStyle="1" w:styleId="Tiret4">
    <w:name w:val="Tiret 4"/>
    <w:basedOn w:val="Point4"/>
    <w:rsid w:val="006C4888"/>
    <w:pPr>
      <w:numPr>
        <w:numId w:val="11"/>
      </w:numPr>
    </w:pPr>
  </w:style>
  <w:style w:type="paragraph" w:customStyle="1" w:styleId="PointDouble0">
    <w:name w:val="PointDouble 0"/>
    <w:basedOn w:val="Normal"/>
    <w:rsid w:val="006C4888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6C4888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6C4888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6C4888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6C4888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6C4888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6C4888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6C4888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6C4888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6C4888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6C4888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6C4888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6C4888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6C4888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C488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C488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C488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C488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6C488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C4888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C488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C488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C488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C4888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C4888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C4888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C4888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6C488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C4888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6C4888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6C4888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6C4888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6C4888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6C4888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6C4888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6C4888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6C4888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6C4888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6C4888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6C4888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6C4888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6C4888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6C4888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6C4888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6C4888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6C4888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6C488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6C4888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6C4888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6C4888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6C488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6C4888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6C4888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6C4888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6C488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6C488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6C488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C4888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6C4888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6C4888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6C4888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6C4888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6C4888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C4888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6C488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6C488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C488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C488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C488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C488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C4888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C488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6C488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6C488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C488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C4888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C4888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6C4888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6C488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6C4888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6C4888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6C4888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C488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6C4888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6C488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6C488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C4888"/>
  </w:style>
  <w:style w:type="paragraph" w:customStyle="1" w:styleId="StatutPagedecouverture">
    <w:name w:val="Statut (Page de couverture)"/>
    <w:basedOn w:val="Statut"/>
    <w:next w:val="TypedudocumentPagedecouverture"/>
    <w:rsid w:val="006C4888"/>
  </w:style>
  <w:style w:type="paragraph" w:customStyle="1" w:styleId="TitreobjetPagedecouverture">
    <w:name w:val="Titre objet (Page de couverture)"/>
    <w:basedOn w:val="Titreobjet"/>
    <w:next w:val="IntrtEEEPagedecouverture"/>
    <w:rsid w:val="006C488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6C4888"/>
  </w:style>
  <w:style w:type="paragraph" w:customStyle="1" w:styleId="Volume">
    <w:name w:val="Volume"/>
    <w:basedOn w:val="Normal"/>
    <w:next w:val="Confidentialit"/>
    <w:rsid w:val="006C4888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C4888"/>
    <w:pPr>
      <w:spacing w:after="240"/>
    </w:pPr>
  </w:style>
  <w:style w:type="paragraph" w:customStyle="1" w:styleId="Accompagnant">
    <w:name w:val="Accompagnant"/>
    <w:basedOn w:val="Normal"/>
    <w:next w:val="Typeacteprincipal"/>
    <w:rsid w:val="006C4888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6C4888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6C4888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6C4888"/>
  </w:style>
  <w:style w:type="paragraph" w:customStyle="1" w:styleId="AccompagnantPagedecouverture">
    <w:name w:val="Accompagnant (Page de couverture)"/>
    <w:basedOn w:val="Accompagnant"/>
    <w:next w:val="TypeacteprincipalPagedecouverture"/>
    <w:rsid w:val="006C488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C4888"/>
  </w:style>
  <w:style w:type="paragraph" w:customStyle="1" w:styleId="ObjetacteprincipalPagedecouverture">
    <w:name w:val="Objet acte principal (Page de couverture)"/>
    <w:basedOn w:val="Objetacteprincipal"/>
    <w:next w:val="Rfrencecroise"/>
    <w:rsid w:val="006C4888"/>
  </w:style>
  <w:style w:type="paragraph" w:customStyle="1" w:styleId="LanguesfaisantfoiPagedecouverture">
    <w:name w:val="Langues faisant foi (Page de couverture)"/>
    <w:basedOn w:val="Normal"/>
    <w:next w:val="Normal"/>
    <w:rsid w:val="006C488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6C488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6C488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6C488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6C4888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6C4888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6C4888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6C4888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6C4888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6C4888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6C4888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C488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C488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C488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6C4888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C4888"/>
    <w:rPr>
      <w:sz w:val="19"/>
      <w:szCs w:val="19"/>
      <w:lang w:val="hr-HR" w:eastAsia="en-US"/>
    </w:rPr>
  </w:style>
  <w:style w:type="paragraph" w:customStyle="1" w:styleId="Normal12a">
    <w:name w:val="Normal12a"/>
    <w:basedOn w:val="Normal"/>
    <w:rsid w:val="006C4888"/>
    <w:pPr>
      <w:spacing w:after="240"/>
    </w:pPr>
  </w:style>
  <w:style w:type="paragraph" w:customStyle="1" w:styleId="RollCallVotes">
    <w:name w:val="RollCallVotes"/>
    <w:basedOn w:val="Normal"/>
    <w:rsid w:val="006C488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C488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C488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C4888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6B5C11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6B5C11"/>
    <w:pPr>
      <w:tabs>
        <w:tab w:val="right" w:pos="9072"/>
      </w:tabs>
    </w:pPr>
  </w:style>
  <w:style w:type="paragraph" w:styleId="Subtitle">
    <w:name w:val="Subtitle"/>
    <w:basedOn w:val="Normal"/>
    <w:next w:val="Normal"/>
    <w:link w:val="SubtitleChar"/>
    <w:uiPriority w:val="11"/>
    <w:qFormat/>
    <w:rsid w:val="006B5C11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B5C11"/>
    <w:rPr>
      <w:rFonts w:ascii="Arial" w:hAnsi="Arial" w:cs="Arial"/>
      <w:sz w:val="24"/>
      <w:szCs w:val="24"/>
      <w:lang w:val="hr-HR" w:eastAsia="en-US"/>
    </w:rPr>
  </w:style>
  <w:style w:type="character" w:styleId="Strong">
    <w:name w:val="Strong"/>
    <w:uiPriority w:val="22"/>
    <w:qFormat/>
    <w:rsid w:val="006B5C11"/>
    <w:rPr>
      <w:b/>
      <w:bCs/>
    </w:rPr>
  </w:style>
  <w:style w:type="paragraph" w:styleId="ListParagraph">
    <w:name w:val="List Paragraph"/>
    <w:basedOn w:val="Normal"/>
    <w:uiPriority w:val="34"/>
    <w:qFormat/>
    <w:rsid w:val="006B5C11"/>
    <w:pPr>
      <w:ind w:left="720"/>
      <w:contextualSpacing/>
    </w:pPr>
    <w:rPr>
      <w:rFonts w:eastAsia="Calibr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B5C11"/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B5C11"/>
    <w:rPr>
      <w:rFonts w:eastAsia="Calibr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C11"/>
    <w:pPr>
      <w:ind w:left="720" w:right="720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C11"/>
    <w:rPr>
      <w:rFonts w:eastAsia="Calibr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6B5C11"/>
    <w:rPr>
      <w:i/>
      <w:color w:val="5A5A5A"/>
    </w:rPr>
  </w:style>
  <w:style w:type="character" w:styleId="IntenseEmphasis">
    <w:name w:val="Intense Emphasis"/>
    <w:uiPriority w:val="21"/>
    <w:qFormat/>
    <w:rsid w:val="006B5C11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6B5C11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6B5C11"/>
    <w:rPr>
      <w:b/>
      <w:sz w:val="24"/>
      <w:u w:val="single"/>
    </w:rPr>
  </w:style>
  <w:style w:type="character" w:styleId="BookTitle">
    <w:name w:val="Book Title"/>
    <w:uiPriority w:val="33"/>
    <w:qFormat/>
    <w:rsid w:val="006B5C11"/>
    <w:rPr>
      <w:rFonts w:ascii="Cambria" w:eastAsia="Times New Roman" w:hAnsi="Cambria"/>
      <w:b/>
      <w:i/>
      <w:sz w:val="24"/>
      <w:szCs w:val="24"/>
    </w:rPr>
  </w:style>
  <w:style w:type="paragraph" w:customStyle="1" w:styleId="EPFooterPF">
    <w:name w:val="EPFooterPF"/>
    <w:basedOn w:val="Normal"/>
    <w:rsid w:val="006B5C11"/>
    <w:pPr>
      <w:tabs>
        <w:tab w:val="center" w:pos="4820"/>
        <w:tab w:val="center" w:pos="7371"/>
        <w:tab w:val="right" w:pos="9639"/>
      </w:tabs>
    </w:pPr>
    <w:rPr>
      <w:szCs w:val="24"/>
      <w:lang w:eastAsia="en-US"/>
    </w:rPr>
  </w:style>
  <w:style w:type="paragraph" w:customStyle="1" w:styleId="Normale">
    <w:name w:val="Normale"/>
    <w:qFormat/>
    <w:rsid w:val="006B5C11"/>
    <w:pPr>
      <w:spacing w:before="120" w:after="120" w:line="360" w:lineRule="auto"/>
      <w:jc w:val="both"/>
    </w:pPr>
    <w:rPr>
      <w:rFonts w:eastAsiaTheme="minorHAnsi"/>
      <w:sz w:val="24"/>
      <w:szCs w:val="22"/>
      <w:lang w:val="hr-HR" w:eastAsia="en-US"/>
    </w:rPr>
  </w:style>
  <w:style w:type="paragraph" w:customStyle="1" w:styleId="Sous-titreobjet">
    <w:name w:val="Sous-titre objet"/>
    <w:basedOn w:val="Normal"/>
    <w:rsid w:val="006B5C11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6B5C11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6B5C11"/>
    <w:pPr>
      <w:widowControl/>
      <w:numPr>
        <w:ilvl w:val="1"/>
        <w:numId w:val="31"/>
      </w:numPr>
      <w:spacing w:before="120" w:after="120" w:line="360" w:lineRule="auto"/>
      <w:jc w:val="both"/>
    </w:pPr>
    <w:rPr>
      <w:szCs w:val="24"/>
      <w:lang w:eastAsia="de-DE"/>
    </w:rPr>
  </w:style>
  <w:style w:type="character" w:customStyle="1" w:styleId="Strikethrough">
    <w:name w:val="Strikethrough"/>
    <w:uiPriority w:val="1"/>
    <w:qFormat/>
    <w:rsid w:val="006B5C11"/>
    <w:rPr>
      <w:rFonts w:ascii="Times New Roman" w:hAnsi="Times New Roman"/>
      <w:strike/>
      <w:dstrike w:val="0"/>
      <w:sz w:val="24"/>
    </w:rPr>
  </w:style>
  <w:style w:type="character" w:customStyle="1" w:styleId="BoldItalicFootnote">
    <w:name w:val="BoldItalicFootnote"/>
    <w:basedOn w:val="BoldItalic"/>
    <w:uiPriority w:val="1"/>
    <w:qFormat/>
    <w:rsid w:val="006B5C11"/>
    <w:rPr>
      <w:rFonts w:ascii="Times New Roman" w:hAnsi="Times New Roman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6B5C11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6B5C11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6B5C11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6B5C11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6B5C11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6B5C11"/>
    <w:pPr>
      <w:spacing w:before="120"/>
    </w:pPr>
  </w:style>
  <w:style w:type="paragraph" w:customStyle="1" w:styleId="TitlePar3">
    <w:name w:val="TitlePar 3"/>
    <w:basedOn w:val="TitlePar2"/>
    <w:qFormat/>
    <w:rsid w:val="006B5C11"/>
    <w:rPr>
      <w:b w:val="0"/>
      <w:i/>
    </w:rPr>
  </w:style>
  <w:style w:type="paragraph" w:customStyle="1" w:styleId="SubsectionTitle">
    <w:name w:val="SubsectionTitle"/>
    <w:basedOn w:val="SectionTitle"/>
    <w:qFormat/>
    <w:rsid w:val="006B5C11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6B5C11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6B5C11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6B5C11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6B5C11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6B5C11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6B5C11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6B5C11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6B5C11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6B5C11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6B5C11"/>
    <w:rPr>
      <w:rFonts w:ascii="Times New Roman" w:hAnsi="Times New Roman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6B5C11"/>
    <w:rPr>
      <w:rFonts w:ascii="Times New Roman" w:hAnsi="Times New Roman"/>
      <w:i/>
      <w:iCs w:val="0"/>
      <w:vertAlign w:val="superscript"/>
    </w:rPr>
  </w:style>
  <w:style w:type="paragraph" w:customStyle="1" w:styleId="Point6">
    <w:name w:val="Point 6"/>
    <w:basedOn w:val="Point5"/>
    <w:qFormat/>
    <w:rsid w:val="006B5C11"/>
    <w:pPr>
      <w:spacing w:line="360" w:lineRule="auto"/>
      <w:ind w:left="4253"/>
    </w:pPr>
  </w:style>
  <w:style w:type="paragraph" w:customStyle="1" w:styleId="CM1">
    <w:name w:val="CM1"/>
    <w:basedOn w:val="Normal"/>
    <w:next w:val="Normal"/>
    <w:uiPriority w:val="99"/>
    <w:rsid w:val="006B5C11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6B5C11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6B5C11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6B5C11"/>
  </w:style>
  <w:style w:type="paragraph" w:customStyle="1" w:styleId="CM4">
    <w:name w:val="CM4"/>
    <w:basedOn w:val="Normal"/>
    <w:next w:val="Normal"/>
    <w:uiPriority w:val="99"/>
    <w:rsid w:val="006B5C11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rsid w:val="006B5C1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hr-HR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5C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EE873-FE23-447D-9413-EED1AB414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2024-04-16T08:08:00Z</dcterms:created>
  <dcterms:modified xsi:type="dcterms:W3CDTF">2024-04-16T08:08:00Z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