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C5E9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C5E9D" w:rsidRDefault="00ED4F64" w:rsidP="0010095E">
            <w:pPr>
              <w:pStyle w:val="EPName"/>
            </w:pPr>
            <w:r w:rsidRPr="004C5E9D">
              <w:t>Parlamento europeo</w:t>
            </w:r>
          </w:p>
          <w:p w:rsidR="00751A4A" w:rsidRPr="004C5E9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378E">
              <w:t>2019</w:t>
            </w:r>
            <w:r w:rsidRPr="004C5E9D">
              <w:t>-</w:t>
            </w:r>
            <w:r w:rsidRPr="00F2378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C5E9D" w:rsidRDefault="00187494" w:rsidP="0010095E">
            <w:pPr>
              <w:pStyle w:val="EPLogo"/>
            </w:pPr>
            <w:r w:rsidRPr="004C5E9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C5E9D" w:rsidRDefault="00D058B8" w:rsidP="004C5D52">
      <w:pPr>
        <w:pStyle w:val="LineTop"/>
      </w:pPr>
    </w:p>
    <w:p w:rsidR="00680577" w:rsidRPr="004C5E9D" w:rsidRDefault="00ED4F64" w:rsidP="00680577">
      <w:pPr>
        <w:pStyle w:val="EPBodyTA1"/>
      </w:pPr>
      <w:r w:rsidRPr="004C5E9D">
        <w:t>TESTI APPROVATI</w:t>
      </w:r>
    </w:p>
    <w:p w:rsidR="00D058B8" w:rsidRPr="004C5E9D" w:rsidRDefault="00D058B8" w:rsidP="00D058B8">
      <w:pPr>
        <w:pStyle w:val="LineBottom"/>
      </w:pPr>
    </w:p>
    <w:p w:rsidR="00ED4F64" w:rsidRPr="004C5E9D" w:rsidRDefault="00ED4F64" w:rsidP="00ED4F64">
      <w:pPr>
        <w:pStyle w:val="ATHeading1"/>
      </w:pPr>
      <w:bookmarkStart w:id="0" w:name="TANumber"/>
      <w:r w:rsidRPr="004C5E9D">
        <w:t>P</w:t>
      </w:r>
      <w:r w:rsidRPr="00F2378E">
        <w:t>9</w:t>
      </w:r>
      <w:r w:rsidRPr="004C5E9D">
        <w:t>_</w:t>
      </w:r>
      <w:proofErr w:type="gramStart"/>
      <w:r w:rsidRPr="004C5E9D">
        <w:t>TA(</w:t>
      </w:r>
      <w:proofErr w:type="gramEnd"/>
      <w:r w:rsidRPr="00F2378E">
        <w:t>2024</w:t>
      </w:r>
      <w:r w:rsidRPr="004C5E9D">
        <w:t>)</w:t>
      </w:r>
      <w:r w:rsidRPr="00F2378E">
        <w:t>00</w:t>
      </w:r>
      <w:bookmarkEnd w:id="0"/>
      <w:r w:rsidR="004C5E9D" w:rsidRPr="00F2378E">
        <w:t>64</w:t>
      </w:r>
    </w:p>
    <w:p w:rsidR="00ED4F64" w:rsidRPr="004C5E9D" w:rsidRDefault="00ED4F64" w:rsidP="00ED4F64">
      <w:pPr>
        <w:pStyle w:val="ATHeading2"/>
      </w:pPr>
      <w:bookmarkStart w:id="1" w:name="title"/>
      <w:r w:rsidRPr="004C5E9D">
        <w:t>Modifiche della direttiva sui gestori di fondi di investimento alternativi (GEFIA) e della direttiva relativa a taluni organismi d'investimento collettivo in valori mobiliari (OICVM)</w:t>
      </w:r>
      <w:bookmarkEnd w:id="1"/>
    </w:p>
    <w:p w:rsidR="00ED4F64" w:rsidRPr="004C5E9D" w:rsidRDefault="00ED4F64" w:rsidP="00ED4F64">
      <w:pPr>
        <w:rPr>
          <w:i/>
          <w:vanish/>
        </w:rPr>
      </w:pPr>
      <w:r w:rsidRPr="004C5E9D">
        <w:rPr>
          <w:i/>
        </w:rPr>
        <w:fldChar w:fldCharType="begin"/>
      </w:r>
      <w:r w:rsidRPr="004C5E9D">
        <w:rPr>
          <w:i/>
        </w:rPr>
        <w:instrText xml:space="preserve"> TC"(</w:instrText>
      </w:r>
      <w:bookmarkStart w:id="2" w:name="DocNumber"/>
      <w:r w:rsidRPr="004C5E9D">
        <w:rPr>
          <w:i/>
        </w:rPr>
        <w:instrText>A</w:instrText>
      </w:r>
      <w:r w:rsidRPr="00F2378E">
        <w:rPr>
          <w:i/>
        </w:rPr>
        <w:instrText>9</w:instrText>
      </w:r>
      <w:r w:rsidRPr="004C5E9D">
        <w:rPr>
          <w:i/>
        </w:rPr>
        <w:instrText>-</w:instrText>
      </w:r>
      <w:r w:rsidRPr="00F2378E">
        <w:rPr>
          <w:i/>
        </w:rPr>
        <w:instrText>0020</w:instrText>
      </w:r>
      <w:r w:rsidRPr="004C5E9D">
        <w:rPr>
          <w:i/>
        </w:rPr>
        <w:instrText>/</w:instrText>
      </w:r>
      <w:r w:rsidRPr="00F2378E">
        <w:rPr>
          <w:i/>
        </w:rPr>
        <w:instrText>2023</w:instrText>
      </w:r>
      <w:bookmarkEnd w:id="2"/>
      <w:r w:rsidRPr="004C5E9D">
        <w:rPr>
          <w:i/>
        </w:rPr>
        <w:instrText xml:space="preserve"> - Relatrice: Isabel </w:instrText>
      </w:r>
      <w:proofErr w:type="spellStart"/>
      <w:r w:rsidRPr="004C5E9D">
        <w:rPr>
          <w:i/>
        </w:rPr>
        <w:instrText>Benjumea</w:instrText>
      </w:r>
      <w:proofErr w:type="spellEnd"/>
      <w:r w:rsidRPr="004C5E9D">
        <w:rPr>
          <w:i/>
        </w:rPr>
        <w:instrText xml:space="preserve"> </w:instrText>
      </w:r>
      <w:proofErr w:type="spellStart"/>
      <w:r w:rsidRPr="004C5E9D">
        <w:rPr>
          <w:i/>
        </w:rPr>
        <w:instrText>Benjumea</w:instrText>
      </w:r>
      <w:proofErr w:type="spellEnd"/>
      <w:r w:rsidRPr="004C5E9D">
        <w:rPr>
          <w:i/>
        </w:rPr>
        <w:instrText>)"\l</w:instrText>
      </w:r>
      <w:r w:rsidRPr="00F2378E">
        <w:rPr>
          <w:i/>
        </w:rPr>
        <w:instrText>3</w:instrText>
      </w:r>
      <w:r w:rsidRPr="004C5E9D">
        <w:rPr>
          <w:i/>
        </w:rPr>
        <w:instrText xml:space="preserve"> \n&gt; \* MERGEFORMAT </w:instrText>
      </w:r>
      <w:r w:rsidRPr="004C5E9D">
        <w:rPr>
          <w:i/>
        </w:rPr>
        <w:fldChar w:fldCharType="end"/>
      </w:r>
    </w:p>
    <w:p w:rsidR="00ED4F64" w:rsidRPr="004C5E9D" w:rsidRDefault="00ED4F64" w:rsidP="00ED4F64">
      <w:pPr>
        <w:rPr>
          <w:vanish/>
        </w:rPr>
      </w:pPr>
      <w:bookmarkStart w:id="3" w:name="Commission"/>
      <w:r w:rsidRPr="004C5E9D">
        <w:rPr>
          <w:vanish/>
        </w:rPr>
        <w:t>Commissione per i problemi economici e monetari</w:t>
      </w:r>
      <w:bookmarkEnd w:id="3"/>
    </w:p>
    <w:p w:rsidR="00ED4F64" w:rsidRPr="004C5E9D" w:rsidRDefault="00ED4F64" w:rsidP="00ED4F64">
      <w:pPr>
        <w:rPr>
          <w:vanish/>
        </w:rPr>
      </w:pPr>
      <w:bookmarkStart w:id="4" w:name="PE"/>
      <w:r w:rsidRPr="004C5E9D">
        <w:rPr>
          <w:vanish/>
        </w:rPr>
        <w:t>PE</w:t>
      </w:r>
      <w:r w:rsidRPr="00F2378E">
        <w:rPr>
          <w:vanish/>
        </w:rPr>
        <w:t>732</w:t>
      </w:r>
      <w:r w:rsidRPr="004C5E9D">
        <w:rPr>
          <w:vanish/>
        </w:rPr>
        <w:t>.</w:t>
      </w:r>
      <w:r w:rsidRPr="00F2378E">
        <w:rPr>
          <w:vanish/>
        </w:rPr>
        <w:t>549</w:t>
      </w:r>
      <w:bookmarkEnd w:id="4"/>
    </w:p>
    <w:p w:rsidR="00ED4F64" w:rsidRPr="004C5E9D" w:rsidRDefault="00ED4F64" w:rsidP="00AB0393">
      <w:pPr>
        <w:pStyle w:val="ATHeading3"/>
      </w:pPr>
      <w:bookmarkStart w:id="5" w:name="Sujet"/>
      <w:r w:rsidRPr="004C5E9D">
        <w:t xml:space="preserve">Risoluzione legislativa del Parlamento europeo del </w:t>
      </w:r>
      <w:r w:rsidR="007562C4" w:rsidRPr="00F2378E">
        <w:t>7</w:t>
      </w:r>
      <w:r w:rsidR="005C76F4" w:rsidRPr="004C5E9D">
        <w:t xml:space="preserve"> </w:t>
      </w:r>
      <w:r w:rsidRPr="004C5E9D">
        <w:t xml:space="preserve">febbraio </w:t>
      </w:r>
      <w:r w:rsidRPr="00F2378E">
        <w:t>2024</w:t>
      </w:r>
      <w:r w:rsidRPr="004C5E9D">
        <w:t xml:space="preserve"> sulla proposta di direttiva del Parlamento europeo e del Consiglio che modifica le direttive </w:t>
      </w:r>
      <w:r w:rsidRPr="00F2378E">
        <w:t>2011</w:t>
      </w:r>
      <w:r w:rsidRPr="004C5E9D">
        <w:t>/</w:t>
      </w:r>
      <w:r w:rsidRPr="00F2378E">
        <w:t>61</w:t>
      </w:r>
      <w:r w:rsidRPr="004C5E9D">
        <w:t xml:space="preserve">/UE e </w:t>
      </w:r>
      <w:r w:rsidRPr="00F2378E">
        <w:t>2009</w:t>
      </w:r>
      <w:r w:rsidRPr="004C5E9D">
        <w:t>/</w:t>
      </w:r>
      <w:r w:rsidRPr="00F2378E">
        <w:t>65</w:t>
      </w:r>
      <w:r w:rsidRPr="004C5E9D">
        <w:t>/CE per quanto riguarda gli accordi di delega, la gestione del rischio di liquidità, le segnalazioni a fini di vigilanza, la fornitura dei servizi di custodia e di depositario e la concessione di prestiti da parte di fondi di investimento alternativi</w:t>
      </w:r>
      <w:bookmarkEnd w:id="5"/>
      <w:r w:rsidRPr="004C5E9D">
        <w:t xml:space="preserve"> </w:t>
      </w:r>
      <w:bookmarkStart w:id="6" w:name="References"/>
      <w:r w:rsidRPr="004C5E9D">
        <w:t>(</w:t>
      </w:r>
      <w:proofErr w:type="gramStart"/>
      <w:r w:rsidRPr="004C5E9D">
        <w:t>COM(</w:t>
      </w:r>
      <w:proofErr w:type="gramEnd"/>
      <w:r w:rsidRPr="00F2378E">
        <w:t>2021</w:t>
      </w:r>
      <w:r w:rsidRPr="004C5E9D">
        <w:t>)</w:t>
      </w:r>
      <w:r w:rsidRPr="00F2378E">
        <w:t>0721</w:t>
      </w:r>
      <w:r w:rsidRPr="004C5E9D">
        <w:t xml:space="preserve"> – C</w:t>
      </w:r>
      <w:r w:rsidRPr="00F2378E">
        <w:t>9</w:t>
      </w:r>
      <w:r w:rsidRPr="004C5E9D">
        <w:t>-</w:t>
      </w:r>
      <w:r w:rsidRPr="00F2378E">
        <w:t>0439</w:t>
      </w:r>
      <w:r w:rsidRPr="004C5E9D">
        <w:t>/</w:t>
      </w:r>
      <w:r w:rsidRPr="00F2378E">
        <w:t>2021</w:t>
      </w:r>
      <w:r w:rsidRPr="004C5E9D">
        <w:t xml:space="preserve"> – </w:t>
      </w:r>
      <w:r w:rsidRPr="00F2378E">
        <w:t>2021</w:t>
      </w:r>
      <w:r w:rsidRPr="004C5E9D">
        <w:t>/</w:t>
      </w:r>
      <w:r w:rsidRPr="00F2378E">
        <w:t>0376</w:t>
      </w:r>
      <w:r w:rsidRPr="004C5E9D">
        <w:t>(COD))</w:t>
      </w:r>
      <w:bookmarkEnd w:id="6"/>
    </w:p>
    <w:p w:rsidR="00745DE2" w:rsidRPr="004C5E9D" w:rsidRDefault="00745DE2" w:rsidP="00745DE2">
      <w:pPr>
        <w:pStyle w:val="EPComma"/>
        <w:rPr>
          <w:b/>
        </w:rPr>
      </w:pPr>
      <w:bookmarkStart w:id="7" w:name="TextBodyBegin"/>
      <w:bookmarkEnd w:id="7"/>
      <w:r w:rsidRPr="004C5E9D">
        <w:rPr>
          <w:b/>
        </w:rPr>
        <w:t>(Procedura legislativa ordinaria: prima lettura)</w:t>
      </w:r>
    </w:p>
    <w:p w:rsidR="00745DE2" w:rsidRPr="004C5E9D" w:rsidRDefault="00745DE2" w:rsidP="00745DE2">
      <w:pPr>
        <w:pStyle w:val="EPComma"/>
      </w:pPr>
      <w:r w:rsidRPr="004C5E9D">
        <w:rPr>
          <w:i/>
          <w:iCs/>
        </w:rPr>
        <w:t>Il Parlamento europeo,</w:t>
      </w:r>
    </w:p>
    <w:p w:rsidR="00745DE2" w:rsidRPr="004C5E9D" w:rsidRDefault="00745DE2" w:rsidP="004C5E9D">
      <w:pPr>
        <w:pStyle w:val="NormalHanging12a"/>
      </w:pPr>
      <w:r w:rsidRPr="004C5E9D">
        <w:t>–</w:t>
      </w:r>
      <w:r w:rsidRPr="004C5E9D">
        <w:tab/>
        <w:t>vista la proposta della Commissione al Parlamento europeo e al Consiglio (</w:t>
      </w:r>
      <w:proofErr w:type="gramStart"/>
      <w:r w:rsidRPr="004C5E9D">
        <w:t>COM(</w:t>
      </w:r>
      <w:proofErr w:type="gramEnd"/>
      <w:r w:rsidRPr="00F2378E">
        <w:t>2021</w:t>
      </w:r>
      <w:r w:rsidRPr="004C5E9D">
        <w:t>)</w:t>
      </w:r>
      <w:r w:rsidRPr="00F2378E">
        <w:t>0721</w:t>
      </w:r>
      <w:r w:rsidRPr="004C5E9D">
        <w:t>),</w:t>
      </w:r>
    </w:p>
    <w:p w:rsidR="00745DE2" w:rsidRPr="004C5E9D" w:rsidRDefault="00745DE2" w:rsidP="004C5E9D">
      <w:pPr>
        <w:pStyle w:val="NormalHanging12a"/>
      </w:pPr>
      <w:r w:rsidRPr="004C5E9D">
        <w:t>–</w:t>
      </w:r>
      <w:r w:rsidRPr="004C5E9D">
        <w:tab/>
        <w:t xml:space="preserve">visti l'articolo </w:t>
      </w:r>
      <w:r w:rsidRPr="00F2378E">
        <w:t>294</w:t>
      </w:r>
      <w:r w:rsidRPr="004C5E9D">
        <w:t xml:space="preserve">, paragrafo </w:t>
      </w:r>
      <w:r w:rsidRPr="00F2378E">
        <w:t>2</w:t>
      </w:r>
      <w:r w:rsidRPr="004C5E9D">
        <w:t xml:space="preserve">, e l'articolo </w:t>
      </w:r>
      <w:r w:rsidRPr="00F2378E">
        <w:t>53</w:t>
      </w:r>
      <w:r w:rsidRPr="004C5E9D">
        <w:t xml:space="preserve">, paragrafo </w:t>
      </w:r>
      <w:r w:rsidRPr="00F2378E">
        <w:t>1</w:t>
      </w:r>
      <w:r w:rsidRPr="004C5E9D">
        <w:t>, del trattato sul funzionamento dell'Unione europea, a norma dei quali la proposta gli è stata presentata dalla Commissione (C</w:t>
      </w:r>
      <w:r w:rsidRPr="00F2378E">
        <w:t>9</w:t>
      </w:r>
      <w:r w:rsidRPr="004C5E9D">
        <w:noBreakHyphen/>
      </w:r>
      <w:r w:rsidRPr="00F2378E">
        <w:t>0439</w:t>
      </w:r>
      <w:r w:rsidRPr="004C5E9D">
        <w:t>/</w:t>
      </w:r>
      <w:r w:rsidRPr="00F2378E">
        <w:t>2021</w:t>
      </w:r>
      <w:r w:rsidRPr="004C5E9D">
        <w:t>),</w:t>
      </w:r>
    </w:p>
    <w:p w:rsidR="00745DE2" w:rsidRPr="004C5E9D" w:rsidRDefault="00745DE2" w:rsidP="004C5E9D">
      <w:pPr>
        <w:pStyle w:val="NormalHanging12a"/>
      </w:pPr>
      <w:r w:rsidRPr="004C5E9D">
        <w:t>–</w:t>
      </w:r>
      <w:r w:rsidRPr="004C5E9D">
        <w:tab/>
        <w:t xml:space="preserve">visto l'articolo </w:t>
      </w:r>
      <w:r w:rsidRPr="00F2378E">
        <w:t>294</w:t>
      </w:r>
      <w:r w:rsidRPr="004C5E9D">
        <w:t xml:space="preserve">, paragrafo </w:t>
      </w:r>
      <w:r w:rsidRPr="00F2378E">
        <w:t>3</w:t>
      </w:r>
      <w:r w:rsidRPr="004C5E9D">
        <w:t>, del trattato sul funzionamento dell'Unione europea,</w:t>
      </w:r>
    </w:p>
    <w:p w:rsidR="00915076" w:rsidRPr="004C5E9D" w:rsidRDefault="00915076" w:rsidP="004C5E9D">
      <w:pPr>
        <w:pStyle w:val="Normal12Hanging"/>
        <w:ind w:left="567" w:hanging="567"/>
      </w:pPr>
      <w:r w:rsidRPr="004C5E9D">
        <w:t>–</w:t>
      </w:r>
      <w:r w:rsidRPr="004C5E9D">
        <w:tab/>
        <w:t xml:space="preserve">visti l'accordo provvisorio approvato dalla commissione competente a norma dell'articolo </w:t>
      </w:r>
      <w:r w:rsidRPr="00F2378E">
        <w:t>74</w:t>
      </w:r>
      <w:r w:rsidRPr="004C5E9D">
        <w:t xml:space="preserve">, paragrafo </w:t>
      </w:r>
      <w:r w:rsidRPr="00F2378E">
        <w:t>4</w:t>
      </w:r>
      <w:r w:rsidRPr="004C5E9D">
        <w:t xml:space="preserve">, del regolamento e l'impegno assunto dal rappresentante del Consiglio, con lettera del </w:t>
      </w:r>
      <w:r w:rsidRPr="00F2378E">
        <w:t>9</w:t>
      </w:r>
      <w:r w:rsidRPr="004C5E9D">
        <w:t xml:space="preserve"> novembre </w:t>
      </w:r>
      <w:r w:rsidRPr="00F2378E">
        <w:t>2023</w:t>
      </w:r>
      <w:r w:rsidRPr="004C5E9D">
        <w:t xml:space="preserve">, di approvare la posizione del Parlamento europeo, in conformità dell'articolo </w:t>
      </w:r>
      <w:r w:rsidRPr="00F2378E">
        <w:t>294</w:t>
      </w:r>
      <w:r w:rsidRPr="004C5E9D">
        <w:t xml:space="preserve">, paragrafo </w:t>
      </w:r>
      <w:r w:rsidRPr="00F2378E">
        <w:t>4</w:t>
      </w:r>
      <w:r w:rsidRPr="004C5E9D">
        <w:t>, del trattato sul funzionamento dell'Unione europea,</w:t>
      </w:r>
    </w:p>
    <w:p w:rsidR="00745DE2" w:rsidRPr="004C5E9D" w:rsidRDefault="00745DE2" w:rsidP="004C5E9D">
      <w:pPr>
        <w:pStyle w:val="NormalHanging12a"/>
      </w:pPr>
      <w:r w:rsidRPr="004C5E9D">
        <w:t>–</w:t>
      </w:r>
      <w:r w:rsidRPr="004C5E9D">
        <w:tab/>
        <w:t>vist</w:t>
      </w:r>
      <w:r w:rsidR="00915076" w:rsidRPr="004C5E9D">
        <w:t>o</w:t>
      </w:r>
      <w:r w:rsidRPr="004C5E9D">
        <w:t xml:space="preserve"> </w:t>
      </w:r>
      <w:r w:rsidR="00915076" w:rsidRPr="004C5E9D">
        <w:t>l’</w:t>
      </w:r>
      <w:r w:rsidRPr="004C5E9D">
        <w:t>articol</w:t>
      </w:r>
      <w:r w:rsidR="00915076" w:rsidRPr="004C5E9D">
        <w:t>o</w:t>
      </w:r>
      <w:r w:rsidRPr="004C5E9D">
        <w:t xml:space="preserve"> </w:t>
      </w:r>
      <w:r w:rsidRPr="00F2378E">
        <w:t>59</w:t>
      </w:r>
      <w:r w:rsidRPr="004C5E9D">
        <w:t xml:space="preserve"> del suo regolamento,</w:t>
      </w:r>
    </w:p>
    <w:p w:rsidR="00745DE2" w:rsidRPr="004C5E9D" w:rsidRDefault="00745DE2" w:rsidP="004C5E9D">
      <w:pPr>
        <w:pStyle w:val="NormalHanging12a"/>
      </w:pPr>
      <w:r w:rsidRPr="004C5E9D">
        <w:t>–</w:t>
      </w:r>
      <w:r w:rsidRPr="004C5E9D">
        <w:tab/>
        <w:t>vista la relazione della commissione per i problemi economici e monetari (A</w:t>
      </w:r>
      <w:r w:rsidRPr="00F2378E">
        <w:t>9</w:t>
      </w:r>
      <w:r w:rsidRPr="004C5E9D">
        <w:t>-</w:t>
      </w:r>
      <w:r w:rsidRPr="00F2378E">
        <w:t>0020</w:t>
      </w:r>
      <w:r w:rsidRPr="004C5E9D">
        <w:t>/</w:t>
      </w:r>
      <w:r w:rsidRPr="00F2378E">
        <w:t>2023</w:t>
      </w:r>
      <w:r w:rsidRPr="004C5E9D">
        <w:t>),</w:t>
      </w:r>
    </w:p>
    <w:p w:rsidR="00745DE2" w:rsidRPr="004C5E9D" w:rsidRDefault="00745DE2" w:rsidP="004C5E9D">
      <w:pPr>
        <w:pStyle w:val="NormalHanging12a"/>
      </w:pPr>
      <w:r w:rsidRPr="00F2378E">
        <w:t>1</w:t>
      </w:r>
      <w:r w:rsidRPr="004C5E9D">
        <w:t>.</w:t>
      </w:r>
      <w:r w:rsidRPr="004C5E9D">
        <w:tab/>
        <w:t>adotta la posizione in prima lettura figurante in appresso;</w:t>
      </w:r>
    </w:p>
    <w:p w:rsidR="00745DE2" w:rsidRPr="004C5E9D" w:rsidRDefault="00915076" w:rsidP="004C5E9D">
      <w:pPr>
        <w:pStyle w:val="NormalHanging12a"/>
      </w:pPr>
      <w:r w:rsidRPr="00F2378E">
        <w:t>2</w:t>
      </w:r>
      <w:r w:rsidR="00745DE2" w:rsidRPr="004C5E9D">
        <w:t>.</w:t>
      </w:r>
      <w:r w:rsidR="00745DE2" w:rsidRPr="004C5E9D">
        <w:tab/>
        <w:t xml:space="preserve">chiede alla Commissione di presentargli nuovamente la proposta qualora la sostituisca, </w:t>
      </w:r>
      <w:r w:rsidR="00745DE2" w:rsidRPr="004C5E9D">
        <w:lastRenderedPageBreak/>
        <w:t>la modifichi sostanzialmente o intenda modificarla sostanzialmente;</w:t>
      </w:r>
    </w:p>
    <w:p w:rsidR="006C4EA8" w:rsidRPr="004C5E9D" w:rsidRDefault="00915076" w:rsidP="006C4EA8">
      <w:pPr>
        <w:pStyle w:val="NormalHanging12a"/>
        <w:sectPr w:rsidR="006C4EA8" w:rsidRPr="004C5E9D" w:rsidSect="00B95438">
          <w:footerReference w:type="even" r:id="rId9"/>
          <w:footerReference w:type="first" r:id="rId10"/>
          <w:footnotePr>
            <w:numRestart w:val="eachPage"/>
          </w:footnotePr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  <w:r w:rsidRPr="00F2378E">
        <w:t>3</w:t>
      </w:r>
      <w:r w:rsidR="00745DE2" w:rsidRPr="004C5E9D">
        <w:t>.</w:t>
      </w:r>
      <w:r w:rsidR="00745DE2" w:rsidRPr="004C5E9D">
        <w:tab/>
        <w:t>incarica la sua Presidente di trasmettere la posizione del Parlamento al Consiglio e alla Commissione nonché ai parlamenti nazionali.</w:t>
      </w:r>
    </w:p>
    <w:p w:rsidR="007562C4" w:rsidRPr="004C5E9D" w:rsidRDefault="007562C4" w:rsidP="007562C4">
      <w:pPr>
        <w:spacing w:before="240"/>
        <w:rPr>
          <w:b/>
        </w:rPr>
      </w:pPr>
      <w:bookmarkStart w:id="8" w:name="TextBodyEnd"/>
      <w:bookmarkEnd w:id="8"/>
      <w:r w:rsidRPr="004C5E9D">
        <w:rPr>
          <w:b/>
        </w:rPr>
        <w:lastRenderedPageBreak/>
        <w:t>P</w:t>
      </w:r>
      <w:r w:rsidRPr="00F2378E">
        <w:rPr>
          <w:b/>
        </w:rPr>
        <w:t>9</w:t>
      </w:r>
      <w:r w:rsidRPr="004C5E9D">
        <w:rPr>
          <w:b/>
        </w:rPr>
        <w:t>_TC</w:t>
      </w:r>
      <w:r w:rsidRPr="00F2378E">
        <w:rPr>
          <w:b/>
        </w:rPr>
        <w:t>1</w:t>
      </w:r>
      <w:r w:rsidRPr="004C5E9D">
        <w:rPr>
          <w:b/>
        </w:rPr>
        <w:t>-</w:t>
      </w:r>
      <w:proofErr w:type="gramStart"/>
      <w:r w:rsidRPr="004C5E9D">
        <w:rPr>
          <w:b/>
        </w:rPr>
        <w:t>COD(</w:t>
      </w:r>
      <w:proofErr w:type="gramEnd"/>
      <w:r w:rsidRPr="00F2378E">
        <w:rPr>
          <w:b/>
        </w:rPr>
        <w:t>2021</w:t>
      </w:r>
      <w:r w:rsidRPr="004C5E9D">
        <w:rPr>
          <w:b/>
        </w:rPr>
        <w:t>)</w:t>
      </w:r>
      <w:r w:rsidRPr="00F2378E">
        <w:rPr>
          <w:b/>
        </w:rPr>
        <w:t>0376</w:t>
      </w:r>
    </w:p>
    <w:p w:rsidR="007562C4" w:rsidRPr="005A4740" w:rsidRDefault="007562C4" w:rsidP="007562C4">
      <w:pPr>
        <w:spacing w:before="360" w:after="360"/>
        <w:rPr>
          <w:rFonts w:eastAsiaTheme="minorHAnsi"/>
          <w:b/>
          <w:szCs w:val="22"/>
          <w:lang w:eastAsia="en-US"/>
        </w:rPr>
      </w:pPr>
      <w:r w:rsidRPr="005A4740">
        <w:rPr>
          <w:b/>
        </w:rPr>
        <w:t xml:space="preserve">Posizione del Parlamento europeo definita in prima lettura il 7 febbraio 2024 in vista dell'adozione della direttiva (UE) 2024/... del Parlamento europeo e del Consiglio </w:t>
      </w:r>
      <w:r w:rsidRPr="005A4740">
        <w:rPr>
          <w:rFonts w:eastAsiaTheme="minorHAnsi"/>
          <w:b/>
          <w:szCs w:val="22"/>
          <w:lang w:eastAsia="en-US"/>
        </w:rPr>
        <w:t>che modifica le direttive 2011/61/UE e 2009/65/CE per quanto riguarda gli accordi di delega, la gestione del rischio di liquidità, le segnalazioni a fini di vigilanza, la fornitura dei servizi di custodia e di depositario e la concessione di prestiti da parte di fondi di investimento alternativi</w:t>
      </w:r>
    </w:p>
    <w:p w:rsidR="007562C4" w:rsidRPr="00D847E0" w:rsidRDefault="007562C4" w:rsidP="005A4740">
      <w:pPr>
        <w:widowControl/>
        <w:tabs>
          <w:tab w:val="left" w:pos="851"/>
          <w:tab w:val="left" w:pos="1418"/>
          <w:tab w:val="left" w:pos="1985"/>
          <w:tab w:val="left" w:pos="2552"/>
        </w:tabs>
        <w:spacing w:before="240" w:after="240" w:line="360" w:lineRule="auto"/>
        <w:jc w:val="center"/>
        <w:rPr>
          <w:rFonts w:eastAsiaTheme="minorHAnsi"/>
          <w:szCs w:val="22"/>
          <w:lang w:eastAsia="en-US"/>
        </w:rPr>
      </w:pPr>
      <w:r w:rsidRPr="004C5E9D">
        <w:rPr>
          <w:rFonts w:eastAsiaTheme="minorHAnsi"/>
          <w:szCs w:val="22"/>
          <w:lang w:eastAsia="en-US"/>
        </w:rPr>
        <w:t>(</w:t>
      </w:r>
      <w:r w:rsidRPr="00D847E0">
        <w:rPr>
          <w:rFonts w:eastAsiaTheme="minorHAnsi"/>
          <w:szCs w:val="22"/>
          <w:lang w:eastAsia="en-US"/>
        </w:rPr>
        <w:t>Testo rilevante ai fini del SEE)</w:t>
      </w:r>
    </w:p>
    <w:p w:rsidR="005A4740" w:rsidRPr="005A4740" w:rsidRDefault="005A4740" w:rsidP="005A4740">
      <w:pPr>
        <w:widowControl/>
        <w:jc w:val="both"/>
        <w:rPr>
          <w:i/>
          <w:szCs w:val="24"/>
        </w:rPr>
      </w:pPr>
      <w:r w:rsidRPr="005A4740">
        <w:rPr>
          <w:i/>
          <w:szCs w:val="24"/>
        </w:rPr>
        <w:t>(Dato l'accordo tra il Parlamento e il Consiglio, la posizione del Parlamento corrisponde all'atto legislativo finale, la direttiva (UE) 2024/</w:t>
      </w:r>
      <w:r>
        <w:rPr>
          <w:i/>
          <w:szCs w:val="24"/>
        </w:rPr>
        <w:t>927</w:t>
      </w:r>
      <w:r w:rsidRPr="005A4740">
        <w:rPr>
          <w:i/>
          <w:szCs w:val="24"/>
        </w:rPr>
        <w:t>)</w:t>
      </w:r>
      <w:r w:rsidR="00D847E0">
        <w:rPr>
          <w:i/>
          <w:szCs w:val="24"/>
        </w:rPr>
        <w:t>.</w:t>
      </w:r>
      <w:bookmarkStart w:id="9" w:name="_GoBack"/>
      <w:bookmarkEnd w:id="9"/>
    </w:p>
    <w:sectPr w:rsidR="005A4740" w:rsidRPr="005A4740" w:rsidSect="005A474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E91" w:rsidRPr="00B95438" w:rsidRDefault="00440E91">
      <w:r w:rsidRPr="00B95438">
        <w:separator/>
      </w:r>
    </w:p>
  </w:endnote>
  <w:endnote w:type="continuationSeparator" w:id="0">
    <w:p w:rsidR="00440E91" w:rsidRPr="00B95438" w:rsidRDefault="00440E91">
      <w:r w:rsidRPr="00B954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E91" w:rsidRPr="00B95438" w:rsidRDefault="00440E91" w:rsidP="00915076">
    <w:pPr>
      <w:pStyle w:val="EPFooter"/>
    </w:pPr>
    <w:r w:rsidRPr="00B95438">
      <w:t>PE</w:t>
    </w:r>
    <w:r w:rsidRPr="00B95438">
      <w:rPr>
        <w:rStyle w:val="HideTWBExt"/>
      </w:rPr>
      <w:t>&lt;</w:t>
    </w:r>
    <w:proofErr w:type="spellStart"/>
    <w:r w:rsidRPr="00B95438">
      <w:rPr>
        <w:rStyle w:val="HideTWBExt"/>
      </w:rPr>
      <w:t>NoPE</w:t>
    </w:r>
    <w:proofErr w:type="spellEnd"/>
    <w:r w:rsidRPr="00B95438">
      <w:rPr>
        <w:rStyle w:val="HideTWBExt"/>
      </w:rPr>
      <w:t>&gt;</w:t>
    </w:r>
    <w:r w:rsidRPr="00B95438">
      <w:t>732.549</w:t>
    </w:r>
    <w:r w:rsidRPr="00B95438">
      <w:rPr>
        <w:rStyle w:val="HideTWBExt"/>
      </w:rPr>
      <w:t>&lt;/</w:t>
    </w:r>
    <w:proofErr w:type="spellStart"/>
    <w:r w:rsidRPr="00B95438">
      <w:rPr>
        <w:rStyle w:val="HideTWBExt"/>
      </w:rPr>
      <w:t>NoPE</w:t>
    </w:r>
    <w:proofErr w:type="spellEnd"/>
    <w:r w:rsidRPr="00B95438">
      <w:rPr>
        <w:rStyle w:val="HideTWBExt"/>
      </w:rPr>
      <w:t>&gt;&lt;Version&gt;</w:t>
    </w:r>
    <w:r w:rsidRPr="00B95438">
      <w:t>v02-00</w:t>
    </w:r>
    <w:r w:rsidRPr="00B95438">
      <w:rPr>
        <w:rStyle w:val="HideTWBExt"/>
      </w:rPr>
      <w:t>&lt;/Version&gt;</w:t>
    </w:r>
    <w:r w:rsidRPr="00B95438">
      <w:tab/>
    </w:r>
    <w:r w:rsidRPr="00B95438">
      <w:fldChar w:fldCharType="begin"/>
    </w:r>
    <w:r w:rsidRPr="00B95438">
      <w:instrText xml:space="preserve"> PAGE  \* MERGEFORMAT </w:instrText>
    </w:r>
    <w:r w:rsidRPr="00B95438">
      <w:fldChar w:fldCharType="separate"/>
    </w:r>
    <w:r w:rsidRPr="00B95438">
      <w:rPr>
        <w:noProof/>
      </w:rPr>
      <w:t>50</w:t>
    </w:r>
    <w:r w:rsidRPr="00B95438">
      <w:fldChar w:fldCharType="end"/>
    </w:r>
    <w:r w:rsidRPr="00B95438">
      <w:t>/</w:t>
    </w:r>
    <w:fldSimple w:instr=" NUMPAGES  \* MERGEFORMAT ">
      <w:r w:rsidRPr="00B95438">
        <w:rPr>
          <w:noProof/>
        </w:rPr>
        <w:t>50</w:t>
      </w:r>
    </w:fldSimple>
    <w:r w:rsidRPr="00B95438">
      <w:tab/>
    </w:r>
    <w:r w:rsidRPr="00B95438">
      <w:rPr>
        <w:rStyle w:val="HideTWBExt"/>
      </w:rPr>
      <w:t>&lt;PathFdR&gt;</w:t>
    </w:r>
    <w:r w:rsidRPr="00B95438">
      <w:t>RR\1271937IT.docx</w:t>
    </w:r>
    <w:r w:rsidRPr="00B95438">
      <w:rPr>
        <w:rStyle w:val="HideTWBExt"/>
      </w:rPr>
      <w:t>&lt;/</w:t>
    </w:r>
    <w:proofErr w:type="spellStart"/>
    <w:r w:rsidRPr="00B95438">
      <w:rPr>
        <w:rStyle w:val="HideTWBExt"/>
      </w:rPr>
      <w:t>PathFdR</w:t>
    </w:r>
    <w:proofErr w:type="spellEnd"/>
    <w:r w:rsidRPr="00B95438">
      <w:rPr>
        <w:rStyle w:val="HideTWBExt"/>
      </w:rPr>
      <w:t>&gt;</w:t>
    </w:r>
  </w:p>
  <w:p w:rsidR="00440E91" w:rsidRPr="00B95438" w:rsidRDefault="00440E91" w:rsidP="00915076">
    <w:pPr>
      <w:pStyle w:val="EPFooter2"/>
    </w:pPr>
    <w:r w:rsidRPr="00B95438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E91" w:rsidRPr="00B95438" w:rsidRDefault="00440E91" w:rsidP="00915076">
    <w:pPr>
      <w:pStyle w:val="EPFooter"/>
    </w:pPr>
    <w:r w:rsidRPr="00B95438">
      <w:rPr>
        <w:rStyle w:val="HideTWBExt"/>
      </w:rPr>
      <w:t>&lt;PathFdR&gt;</w:t>
    </w:r>
    <w:r w:rsidRPr="00B95438">
      <w:t>RR\1271937IT.docx</w:t>
    </w:r>
    <w:r w:rsidRPr="00B95438">
      <w:rPr>
        <w:rStyle w:val="HideTWBExt"/>
      </w:rPr>
      <w:t>&lt;/</w:t>
    </w:r>
    <w:proofErr w:type="spellStart"/>
    <w:r w:rsidRPr="00B95438">
      <w:rPr>
        <w:rStyle w:val="HideTWBExt"/>
      </w:rPr>
      <w:t>PathFdR</w:t>
    </w:r>
    <w:proofErr w:type="spellEnd"/>
    <w:r w:rsidRPr="00B95438">
      <w:rPr>
        <w:rStyle w:val="HideTWBExt"/>
      </w:rPr>
      <w:t>&gt;</w:t>
    </w:r>
    <w:r w:rsidRPr="00B95438">
      <w:tab/>
    </w:r>
    <w:r w:rsidRPr="00B95438">
      <w:tab/>
      <w:t>PE</w:t>
    </w:r>
    <w:r w:rsidRPr="00B95438">
      <w:rPr>
        <w:rStyle w:val="HideTWBExt"/>
      </w:rPr>
      <w:t>&lt;</w:t>
    </w:r>
    <w:proofErr w:type="spellStart"/>
    <w:r w:rsidRPr="00B95438">
      <w:rPr>
        <w:rStyle w:val="HideTWBExt"/>
      </w:rPr>
      <w:t>NoPE</w:t>
    </w:r>
    <w:proofErr w:type="spellEnd"/>
    <w:r w:rsidRPr="00B95438">
      <w:rPr>
        <w:rStyle w:val="HideTWBExt"/>
      </w:rPr>
      <w:t>&gt;</w:t>
    </w:r>
    <w:r w:rsidRPr="00B95438">
      <w:t>732.549</w:t>
    </w:r>
    <w:r w:rsidRPr="00B95438">
      <w:rPr>
        <w:rStyle w:val="HideTWBExt"/>
      </w:rPr>
      <w:t>&lt;/</w:t>
    </w:r>
    <w:proofErr w:type="spellStart"/>
    <w:r w:rsidRPr="00B95438">
      <w:rPr>
        <w:rStyle w:val="HideTWBExt"/>
      </w:rPr>
      <w:t>NoPE</w:t>
    </w:r>
    <w:proofErr w:type="spellEnd"/>
    <w:r w:rsidRPr="00B95438">
      <w:rPr>
        <w:rStyle w:val="HideTWBExt"/>
      </w:rPr>
      <w:t>&gt;&lt;Version&gt;</w:t>
    </w:r>
    <w:r w:rsidRPr="00B95438">
      <w:t>v02-00</w:t>
    </w:r>
    <w:r w:rsidRPr="00B95438">
      <w:rPr>
        <w:rStyle w:val="HideTWBExt"/>
      </w:rPr>
      <w:t>&lt;/Version&gt;</w:t>
    </w:r>
  </w:p>
  <w:p w:rsidR="00440E91" w:rsidRPr="00B95438" w:rsidRDefault="00440E91" w:rsidP="00915076">
    <w:pPr>
      <w:pStyle w:val="EPFooter2"/>
    </w:pPr>
    <w:r w:rsidRPr="00B95438">
      <w:t>IT</w:t>
    </w:r>
    <w:r w:rsidRPr="00B95438">
      <w:tab/>
    </w:r>
    <w:proofErr w:type="spellStart"/>
    <w:r w:rsidRPr="00B95438">
      <w:rPr>
        <w:b w:val="0"/>
        <w:i/>
        <w:color w:val="C0C0C0"/>
        <w:sz w:val="22"/>
      </w:rPr>
      <w:t>Unita</w:t>
    </w:r>
    <w:proofErr w:type="spellEnd"/>
    <w:r w:rsidRPr="00B95438">
      <w:rPr>
        <w:b w:val="0"/>
        <w:i/>
        <w:color w:val="C0C0C0"/>
        <w:sz w:val="22"/>
      </w:rPr>
      <w:t xml:space="preserve"> nella diversità</w:t>
    </w:r>
    <w:r w:rsidRPr="00B95438">
      <w:tab/>
      <w:t>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E91" w:rsidRPr="00B95438" w:rsidRDefault="00440E9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E91" w:rsidRPr="00B95438" w:rsidRDefault="00440E91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E91" w:rsidRPr="00B95438" w:rsidRDefault="00440E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E91" w:rsidRPr="00B95438" w:rsidRDefault="00440E91">
      <w:r w:rsidRPr="00B95438">
        <w:separator/>
      </w:r>
    </w:p>
  </w:footnote>
  <w:footnote w:type="continuationSeparator" w:id="0">
    <w:p w:rsidR="00440E91" w:rsidRPr="00B95438" w:rsidRDefault="00440E91">
      <w:r w:rsidRPr="00B9543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E91" w:rsidRPr="00B95438" w:rsidRDefault="00440E9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E91" w:rsidRPr="00B95438" w:rsidRDefault="00440E9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E91" w:rsidRPr="00B95438" w:rsidRDefault="00440E9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9CEE14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4CC2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A62485E"/>
    <w:multiLevelType w:val="singleLevel"/>
    <w:tmpl w:val="567057D0"/>
    <w:lvl w:ilvl="0">
      <w:start w:val="3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12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2D3A80"/>
    <w:multiLevelType w:val="hybridMultilevel"/>
    <w:tmpl w:val="83526E14"/>
    <w:lvl w:ilvl="0" w:tplc="BD98E8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1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2" w15:restartNumberingAfterBreak="0">
    <w:nsid w:val="530C4A69"/>
    <w:multiLevelType w:val="hybridMultilevel"/>
    <w:tmpl w:val="F0B01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A330CA8"/>
    <w:multiLevelType w:val="hybridMultilevel"/>
    <w:tmpl w:val="7B90BF7A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6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7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8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9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0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2" w15:restartNumberingAfterBreak="0">
    <w:nsid w:val="6CEF555B"/>
    <w:multiLevelType w:val="hybridMultilevel"/>
    <w:tmpl w:val="AD122044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0"/>
  </w:num>
  <w:num w:numId="2">
    <w:abstractNumId w:val="16"/>
  </w:num>
  <w:num w:numId="3">
    <w:abstractNumId w:val="29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  <w:lvlOverride w:ilvl="0">
      <w:startOverride w:val="1"/>
    </w:lvlOverride>
  </w:num>
  <w:num w:numId="7">
    <w:abstractNumId w:val="27"/>
  </w:num>
  <w:num w:numId="8">
    <w:abstractNumId w:val="18"/>
  </w:num>
  <w:num w:numId="9">
    <w:abstractNumId w:val="31"/>
  </w:num>
  <w:num w:numId="10">
    <w:abstractNumId w:val="15"/>
  </w:num>
  <w:num w:numId="11">
    <w:abstractNumId w:val="19"/>
  </w:num>
  <w:num w:numId="12">
    <w:abstractNumId w:val="21"/>
  </w:num>
  <w:num w:numId="13">
    <w:abstractNumId w:val="25"/>
  </w:num>
  <w:num w:numId="14">
    <w:abstractNumId w:val="26"/>
  </w:num>
  <w:num w:numId="15">
    <w:abstractNumId w:val="14"/>
  </w:num>
  <w:num w:numId="16">
    <w:abstractNumId w:val="23"/>
  </w:num>
  <w:num w:numId="17">
    <w:abstractNumId w:val="2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1"/>
  </w:num>
  <w:num w:numId="29">
    <w:abstractNumId w:val="30"/>
  </w:num>
  <w:num w:numId="30">
    <w:abstractNumId w:val="28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12"/>
  </w:num>
  <w:num w:numId="34">
    <w:abstractNumId w:val="22"/>
  </w:num>
  <w:num w:numId="35">
    <w:abstractNumId w:val="17"/>
  </w:num>
  <w:num w:numId="36">
    <w:abstractNumId w:val="24"/>
  </w:num>
  <w:num w:numId="37">
    <w:abstractNumId w:val="3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0/2023"/>
    <w:docVar w:name="dvlangue" w:val="IT"/>
    <w:docVar w:name="dvnumam" w:val="0"/>
    <w:docVar w:name="dvpe" w:val="732.549"/>
    <w:docVar w:name="dvrapporteur" w:val="Relatrice: "/>
    <w:docVar w:name="dvstar" w:val="***I"/>
    <w:docVar w:name="dvtitre" w:val="Risoluzione legislativa del Parlamento europeo del xx febbraio 2024 sulla proposta di direttiva del Parlamento europeo e del Consiglio che modifica le direttive 2011/61/UE e 2009/65/CE per quanto riguarda gli accordi di delega, la gestione del rischio di liquidità, le segnalazioni a fini di vigilanza, la fornitura dei servizi di custodia e di depositario e la concessione di prestiti da parte di fondi di investimento alternativi(COM(2021)0721 – C9-0439/2021 – 2021/0376(COD))"/>
  </w:docVars>
  <w:rsids>
    <w:rsidRoot w:val="00ED4F6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0E91"/>
    <w:rsid w:val="00471C19"/>
    <w:rsid w:val="004867E3"/>
    <w:rsid w:val="00494A28"/>
    <w:rsid w:val="004C0004"/>
    <w:rsid w:val="004C5D52"/>
    <w:rsid w:val="004C5E9D"/>
    <w:rsid w:val="0050519A"/>
    <w:rsid w:val="005072A1"/>
    <w:rsid w:val="00514517"/>
    <w:rsid w:val="00545827"/>
    <w:rsid w:val="00560270"/>
    <w:rsid w:val="005A4740"/>
    <w:rsid w:val="005C2568"/>
    <w:rsid w:val="005C76F4"/>
    <w:rsid w:val="006037C0"/>
    <w:rsid w:val="006631B6"/>
    <w:rsid w:val="00680577"/>
    <w:rsid w:val="006C4EA8"/>
    <w:rsid w:val="006F74FA"/>
    <w:rsid w:val="00731ADD"/>
    <w:rsid w:val="00734777"/>
    <w:rsid w:val="00745DE2"/>
    <w:rsid w:val="00747932"/>
    <w:rsid w:val="00751A4A"/>
    <w:rsid w:val="007562C4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507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0393"/>
    <w:rsid w:val="00AB441E"/>
    <w:rsid w:val="00AB6293"/>
    <w:rsid w:val="00AE0928"/>
    <w:rsid w:val="00AF3B82"/>
    <w:rsid w:val="00B12E95"/>
    <w:rsid w:val="00B22876"/>
    <w:rsid w:val="00B558F0"/>
    <w:rsid w:val="00B9543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47E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4F64"/>
    <w:rsid w:val="00F04346"/>
    <w:rsid w:val="00F075DC"/>
    <w:rsid w:val="00F149E9"/>
    <w:rsid w:val="00F2378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E54D11"/>
  <w15:chartTrackingRefBased/>
  <w15:docId w15:val="{66D514D3-C487-4CDC-87E8-5329043D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uiPriority="10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45DE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5DE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745DE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DE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DE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DE2"/>
    <w:rPr>
      <w:i/>
      <w:sz w:val="22"/>
      <w:lang w:val="it-I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DE2"/>
    <w:rPr>
      <w:rFonts w:ascii="Arial" w:hAnsi="Arial"/>
      <w:sz w:val="24"/>
      <w:lang w:val="it-IT"/>
    </w:rPr>
  </w:style>
  <w:style w:type="character" w:customStyle="1" w:styleId="Heading8Char">
    <w:name w:val="Heading 8 Char"/>
    <w:basedOn w:val="DefaultParagraphFont"/>
    <w:link w:val="Heading8"/>
    <w:semiHidden/>
    <w:rsid w:val="00745DE2"/>
    <w:rPr>
      <w:rFonts w:ascii="Arial" w:hAnsi="Arial"/>
      <w:i/>
      <w:sz w:val="24"/>
      <w:lang w:val="it-IT"/>
    </w:rPr>
  </w:style>
  <w:style w:type="character" w:customStyle="1" w:styleId="Heading9Char">
    <w:name w:val="Heading 9 Char"/>
    <w:basedOn w:val="DefaultParagraphFont"/>
    <w:link w:val="Heading9"/>
    <w:semiHidden/>
    <w:rsid w:val="00745DE2"/>
    <w:rPr>
      <w:rFonts w:ascii="Arial" w:hAnsi="Arial"/>
      <w:b/>
      <w:i/>
      <w:sz w:val="18"/>
      <w:lang w:val="it-IT"/>
    </w:rPr>
  </w:style>
  <w:style w:type="paragraph" w:styleId="TOCHeading">
    <w:name w:val="TOC Heading"/>
    <w:basedOn w:val="Normal"/>
    <w:next w:val="Normal"/>
    <w:uiPriority w:val="39"/>
    <w:unhideWhenUsed/>
    <w:qFormat/>
    <w:rsid w:val="00745DE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45DE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45DE2"/>
    <w:pPr>
      <w:spacing w:before="480" w:after="240"/>
    </w:pPr>
  </w:style>
  <w:style w:type="paragraph" w:customStyle="1" w:styleId="TOCPage">
    <w:name w:val="TOC Page"/>
    <w:basedOn w:val="Normal"/>
    <w:next w:val="TOC1"/>
    <w:rsid w:val="00745DE2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745DE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45DE2"/>
    <w:rPr>
      <w:b/>
    </w:rPr>
  </w:style>
  <w:style w:type="paragraph" w:customStyle="1" w:styleId="NormalBold12a">
    <w:name w:val="NormalBold12a"/>
    <w:basedOn w:val="Normal"/>
    <w:rsid w:val="00745DE2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45DE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45DE2"/>
    <w:pPr>
      <w:spacing w:after="480"/>
      <w:ind w:left="1417"/>
    </w:pPr>
  </w:style>
  <w:style w:type="paragraph" w:customStyle="1" w:styleId="CoverNormal">
    <w:name w:val="CoverNormal"/>
    <w:basedOn w:val="Normal"/>
    <w:rsid w:val="00745DE2"/>
    <w:pPr>
      <w:ind w:left="1418"/>
    </w:pPr>
  </w:style>
  <w:style w:type="paragraph" w:customStyle="1" w:styleId="NormalCenter12a">
    <w:name w:val="NormalCenter12a"/>
    <w:basedOn w:val="Normal"/>
    <w:rsid w:val="00745DE2"/>
    <w:pPr>
      <w:spacing w:after="240"/>
      <w:jc w:val="center"/>
    </w:pPr>
  </w:style>
  <w:style w:type="paragraph" w:customStyle="1" w:styleId="CoverReference">
    <w:name w:val="CoverReference"/>
    <w:basedOn w:val="Normal"/>
    <w:rsid w:val="00745DE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45DE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45DE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45DE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45D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DE2"/>
    <w:rPr>
      <w:sz w:val="24"/>
      <w:lang w:val="it-IT"/>
    </w:rPr>
  </w:style>
  <w:style w:type="paragraph" w:customStyle="1" w:styleId="AmNumberTabs">
    <w:name w:val="AmNumberTabs"/>
    <w:basedOn w:val="Normal"/>
    <w:rsid w:val="00745DE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45DE2"/>
    <w:pPr>
      <w:spacing w:before="720" w:after="240"/>
      <w:jc w:val="center"/>
    </w:pPr>
  </w:style>
  <w:style w:type="paragraph" w:customStyle="1" w:styleId="EPBody">
    <w:name w:val="EPBody"/>
    <w:basedOn w:val="Normal"/>
    <w:rsid w:val="00745DE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45DE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745DE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45DE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45DE2"/>
    <w:rPr>
      <w:sz w:val="18"/>
    </w:rPr>
  </w:style>
  <w:style w:type="paragraph" w:styleId="ListNumber">
    <w:name w:val="List Number"/>
    <w:basedOn w:val="Normal"/>
    <w:rsid w:val="00745DE2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745DE2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uiPriority w:val="99"/>
    <w:rsid w:val="00745DE2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745DE2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745DE2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745DE2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745DE2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1">
    <w:name w:val="Normal1"/>
    <w:basedOn w:val="Normal"/>
    <w:rsid w:val="00745DE2"/>
    <w:pPr>
      <w:widowControl/>
      <w:spacing w:before="100" w:beforeAutospacing="1" w:after="100" w:afterAutospacing="1"/>
    </w:pPr>
    <w:rPr>
      <w:szCs w:val="24"/>
    </w:rPr>
  </w:style>
  <w:style w:type="paragraph" w:styleId="BalloonText">
    <w:name w:val="Balloon Text"/>
    <w:basedOn w:val="Normal"/>
    <w:link w:val="BalloonTextChar"/>
    <w:unhideWhenUsed/>
    <w:rsid w:val="00745DE2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745DE2"/>
    <w:rPr>
      <w:rFonts w:ascii="Segoe UI" w:eastAsiaTheme="minorHAnsi" w:hAnsi="Segoe UI" w:cs="Segoe UI"/>
      <w:sz w:val="18"/>
      <w:szCs w:val="18"/>
      <w:lang w:val="it-IT" w:eastAsia="en-US"/>
    </w:rPr>
  </w:style>
  <w:style w:type="character" w:styleId="CommentReference">
    <w:name w:val="annotation reference"/>
    <w:basedOn w:val="DefaultParagraphFont"/>
    <w:uiPriority w:val="99"/>
    <w:unhideWhenUsed/>
    <w:rsid w:val="00745D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5DE2"/>
    <w:pPr>
      <w:widowControl/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5DE2"/>
    <w:rPr>
      <w:rFonts w:asciiTheme="minorHAnsi" w:eastAsiaTheme="minorHAnsi" w:hAnsiTheme="minorHAnsi" w:cstheme="minorBidi"/>
      <w:lang w:val="it-IT" w:eastAsia="en-US"/>
    </w:rPr>
  </w:style>
  <w:style w:type="paragraph" w:customStyle="1" w:styleId="norm">
    <w:name w:val="norm"/>
    <w:basedOn w:val="Normal"/>
    <w:rsid w:val="00745DE2"/>
    <w:pPr>
      <w:widowControl/>
      <w:spacing w:before="100" w:beforeAutospacing="1" w:after="100" w:afterAutospacing="1"/>
    </w:pPr>
    <w:rPr>
      <w:szCs w:val="24"/>
    </w:rPr>
  </w:style>
  <w:style w:type="paragraph" w:customStyle="1" w:styleId="AMFTEXTECOURANT">
    <w:name w:val="AMF TEXTE COURANT"/>
    <w:basedOn w:val="Normal"/>
    <w:autoRedefine/>
    <w:qFormat/>
    <w:rsid w:val="00745DE2"/>
    <w:pPr>
      <w:widowControl/>
      <w:jc w:val="both"/>
    </w:pPr>
    <w:rPr>
      <w:rFonts w:ascii="Calibri" w:hAnsi="Calibri" w:cs="Arial"/>
      <w:sz w:val="20"/>
      <w:szCs w:val="22"/>
      <w:lang w:eastAsia="fr-FR"/>
    </w:rPr>
  </w:style>
  <w:style w:type="paragraph" w:customStyle="1" w:styleId="Normal2">
    <w:name w:val="Normal2"/>
    <w:basedOn w:val="Normal"/>
    <w:rsid w:val="00745DE2"/>
    <w:pPr>
      <w:widowControl/>
      <w:spacing w:before="100" w:beforeAutospacing="1" w:after="100" w:afterAutospacing="1"/>
    </w:pPr>
    <w:rPr>
      <w:szCs w:val="24"/>
    </w:rPr>
  </w:style>
  <w:style w:type="paragraph" w:customStyle="1" w:styleId="ListDash1">
    <w:name w:val="List Dash 1"/>
    <w:basedOn w:val="Text1"/>
    <w:rsid w:val="00745DE2"/>
    <w:pPr>
      <w:numPr>
        <w:numId w:val="3"/>
      </w:numPr>
      <w:spacing w:before="0" w:after="240"/>
    </w:pPr>
    <w:rPr>
      <w:rFonts w:eastAsia="Times New Roman"/>
      <w:szCs w:val="20"/>
    </w:rPr>
  </w:style>
  <w:style w:type="paragraph" w:customStyle="1" w:styleId="16Point">
    <w:name w:val="16 Point"/>
    <w:aliases w:val="2001+ Fußnotenzeichen,Exposant 3 Point,Footnote reference number,Odwołanie przypisu,Superscript 6 Point,number"/>
    <w:basedOn w:val="Normal"/>
    <w:uiPriority w:val="99"/>
    <w:qFormat/>
    <w:rsid w:val="00745DE2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bl-norm">
    <w:name w:val="tbl-norm"/>
    <w:basedOn w:val="Normal"/>
    <w:rsid w:val="00745DE2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rsid w:val="00745DE2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45DE2"/>
    <w:pPr>
      <w:spacing w:before="120" w:after="120"/>
      <w:jc w:val="both"/>
    </w:pPr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745DE2"/>
    <w:rPr>
      <w:rFonts w:asciiTheme="minorHAnsi" w:eastAsiaTheme="minorHAnsi" w:hAnsiTheme="minorHAnsi" w:cstheme="minorBidi"/>
      <w:b/>
      <w:bCs/>
      <w:lang w:val="it-IT" w:eastAsia="en-US"/>
    </w:rPr>
  </w:style>
  <w:style w:type="paragraph" w:styleId="Revision">
    <w:name w:val="Revision"/>
    <w:hidden/>
    <w:uiPriority w:val="99"/>
    <w:semiHidden/>
    <w:rsid w:val="00745DE2"/>
    <w:rPr>
      <w:rFonts w:eastAsiaTheme="minorHAnsi"/>
      <w:sz w:val="24"/>
      <w:szCs w:val="22"/>
      <w:lang w:val="it-IT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45DE2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745DE2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745DE2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745DE2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character" w:styleId="FollowedHyperlink">
    <w:name w:val="FollowedHyperlink"/>
    <w:basedOn w:val="DefaultParagraphFont"/>
    <w:unhideWhenUsed/>
    <w:rsid w:val="00745DE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745DE2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italic">
    <w:name w:val="italic"/>
    <w:basedOn w:val="DefaultParagraphFont"/>
    <w:rsid w:val="00745DE2"/>
  </w:style>
  <w:style w:type="table" w:styleId="GridTable4-Accent1">
    <w:name w:val="Grid Table 4 Accent 1"/>
    <w:basedOn w:val="TableNormal"/>
    <w:uiPriority w:val="49"/>
    <w:rsid w:val="00745DE2"/>
    <w:rPr>
      <w:rFonts w:asciiTheme="minorHAnsi" w:eastAsiaTheme="minorHAnsi" w:hAnsiTheme="minorHAnsi" w:cstheme="minorBidi"/>
      <w:lang w:val="it-IT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Emphasis">
    <w:name w:val="Emphasis"/>
    <w:basedOn w:val="DefaultParagraphFont"/>
    <w:uiPriority w:val="20"/>
    <w:qFormat/>
    <w:rsid w:val="00745DE2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745DE2"/>
    <w:pPr>
      <w:widowControl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45DE2"/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</w:rPr>
  </w:style>
  <w:style w:type="paragraph" w:styleId="Footer">
    <w:name w:val="footer"/>
    <w:basedOn w:val="Normal"/>
    <w:link w:val="FooterChar"/>
    <w:uiPriority w:val="99"/>
    <w:unhideWhenUsed/>
    <w:rsid w:val="00745DE2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45DE2"/>
    <w:rPr>
      <w:rFonts w:eastAsiaTheme="minorHAnsi"/>
      <w:sz w:val="24"/>
      <w:szCs w:val="22"/>
      <w:lang w:val="it-IT" w:eastAsia="en-US"/>
    </w:rPr>
  </w:style>
  <w:style w:type="paragraph" w:styleId="TOC4">
    <w:name w:val="toc 4"/>
    <w:basedOn w:val="Normal"/>
    <w:next w:val="Normal"/>
    <w:uiPriority w:val="39"/>
    <w:unhideWhenUsed/>
    <w:rsid w:val="00745DE2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45DE2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45DE2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45DE2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45DE2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45DE2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745DE2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745DE2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745DE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745DE2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745DE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745DE2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745DE2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745DE2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745DE2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745DE2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745DE2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745DE2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745DE2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745DE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745DE2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745DE2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745DE2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745DE2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745DE2"/>
    <w:pPr>
      <w:numPr>
        <w:numId w:val="7"/>
      </w:numPr>
    </w:pPr>
  </w:style>
  <w:style w:type="paragraph" w:customStyle="1" w:styleId="Tiret1">
    <w:name w:val="Tiret 1"/>
    <w:basedOn w:val="Point1"/>
    <w:rsid w:val="00745DE2"/>
    <w:pPr>
      <w:numPr>
        <w:numId w:val="8"/>
      </w:numPr>
    </w:pPr>
  </w:style>
  <w:style w:type="paragraph" w:customStyle="1" w:styleId="Tiret2">
    <w:name w:val="Tiret 2"/>
    <w:basedOn w:val="Point2"/>
    <w:rsid w:val="00745DE2"/>
    <w:pPr>
      <w:numPr>
        <w:numId w:val="9"/>
      </w:numPr>
    </w:pPr>
  </w:style>
  <w:style w:type="paragraph" w:customStyle="1" w:styleId="Tiret3">
    <w:name w:val="Tiret 3"/>
    <w:basedOn w:val="Point3"/>
    <w:rsid w:val="00745DE2"/>
    <w:pPr>
      <w:numPr>
        <w:numId w:val="10"/>
      </w:numPr>
    </w:pPr>
  </w:style>
  <w:style w:type="paragraph" w:customStyle="1" w:styleId="Tiret4">
    <w:name w:val="Tiret 4"/>
    <w:basedOn w:val="Point4"/>
    <w:rsid w:val="00745DE2"/>
    <w:pPr>
      <w:numPr>
        <w:numId w:val="11"/>
      </w:numPr>
    </w:pPr>
  </w:style>
  <w:style w:type="paragraph" w:customStyle="1" w:styleId="PointDouble0">
    <w:name w:val="PointDouble 0"/>
    <w:basedOn w:val="Normal"/>
    <w:rsid w:val="00745DE2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745DE2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745DE2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745DE2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745DE2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745DE2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745DE2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745DE2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745DE2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745DE2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745DE2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745DE2"/>
    <w:pPr>
      <w:widowControl/>
      <w:numPr>
        <w:ilvl w:val="1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745DE2"/>
    <w:pPr>
      <w:widowControl/>
      <w:numPr>
        <w:ilvl w:val="2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745DE2"/>
    <w:pPr>
      <w:widowControl/>
      <w:numPr>
        <w:ilvl w:val="3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45DE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45DE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45DE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45DE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745DE2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45DE2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45DE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45DE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45DE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45DE2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45DE2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45DE2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45DE2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745DE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45DE2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745DE2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745DE2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745DE2"/>
    <w:pPr>
      <w:widowControl/>
      <w:numPr>
        <w:ilvl w:val="2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745DE2"/>
    <w:pPr>
      <w:widowControl/>
      <w:numPr>
        <w:ilvl w:val="4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745DE2"/>
    <w:pPr>
      <w:widowControl/>
      <w:numPr>
        <w:ilvl w:val="6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745DE2"/>
    <w:pPr>
      <w:widowControl/>
      <w:numPr>
        <w:ilvl w:val="1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745DE2"/>
    <w:pPr>
      <w:widowControl/>
      <w:numPr>
        <w:ilvl w:val="3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745DE2"/>
    <w:pPr>
      <w:widowControl/>
      <w:numPr>
        <w:ilvl w:val="5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745DE2"/>
    <w:pPr>
      <w:widowControl/>
      <w:numPr>
        <w:ilvl w:val="7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745DE2"/>
    <w:pPr>
      <w:widowControl/>
      <w:numPr>
        <w:ilvl w:val="8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745DE2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745DE2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745DE2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745DE2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745DE2"/>
    <w:pPr>
      <w:widowControl/>
      <w:numPr>
        <w:numId w:val="1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745DE2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745DE2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745DE2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745DE2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745DE2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745DE2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745DE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745DE2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745DE2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745DE2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745DE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745DE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745DE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45DE2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745DE2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745DE2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745DE2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745DE2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745DE2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45DE2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745DE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745DE2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45DE2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45DE2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45DE2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45DE2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45DE2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45DE2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745DE2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745DE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45DE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745DE2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45DE2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745DE2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745DE2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45DE2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745DE2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745DE2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45DE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745DE2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745DE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45DE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45DE2"/>
  </w:style>
  <w:style w:type="paragraph" w:customStyle="1" w:styleId="StatutPagedecouverture">
    <w:name w:val="Statut (Page de couverture)"/>
    <w:basedOn w:val="Statut"/>
    <w:next w:val="TypedudocumentPagedecouverture"/>
    <w:rsid w:val="00745DE2"/>
  </w:style>
  <w:style w:type="paragraph" w:customStyle="1" w:styleId="TitreobjetPagedecouverture">
    <w:name w:val="Titre objet (Page de couverture)"/>
    <w:basedOn w:val="Titreobjet"/>
    <w:next w:val="IntrtEEEPagedecouverture"/>
    <w:rsid w:val="00745DE2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45DE2"/>
  </w:style>
  <w:style w:type="paragraph" w:customStyle="1" w:styleId="Volume">
    <w:name w:val="Volume"/>
    <w:basedOn w:val="Normal"/>
    <w:next w:val="Confidentialit"/>
    <w:rsid w:val="00745DE2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45DE2"/>
    <w:pPr>
      <w:spacing w:after="240"/>
    </w:pPr>
  </w:style>
  <w:style w:type="paragraph" w:customStyle="1" w:styleId="Accompagnant">
    <w:name w:val="Accompagnant"/>
    <w:basedOn w:val="Normal"/>
    <w:next w:val="Typeacteprincipal"/>
    <w:rsid w:val="00745DE2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745DE2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745DE2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745DE2"/>
  </w:style>
  <w:style w:type="paragraph" w:customStyle="1" w:styleId="AccompagnantPagedecouverture">
    <w:name w:val="Accompagnant (Page de couverture)"/>
    <w:basedOn w:val="Accompagnant"/>
    <w:next w:val="TypeacteprincipalPagedecouverture"/>
    <w:rsid w:val="00745DE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45DE2"/>
  </w:style>
  <w:style w:type="paragraph" w:customStyle="1" w:styleId="ObjetacteprincipalPagedecouverture">
    <w:name w:val="Objet acte principal (Page de couverture)"/>
    <w:basedOn w:val="Objetacteprincipal"/>
    <w:next w:val="Rfrencecroise"/>
    <w:rsid w:val="00745DE2"/>
  </w:style>
  <w:style w:type="paragraph" w:customStyle="1" w:styleId="LanguesfaisantfoiPagedecouverture">
    <w:name w:val="Langues faisant foi (Page de couverture)"/>
    <w:basedOn w:val="Normal"/>
    <w:next w:val="Normal"/>
    <w:rsid w:val="00745DE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745DE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745DE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745DE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745DE2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745DE2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745DE2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745DE2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745DE2"/>
    <w:pPr>
      <w:widowControl/>
      <w:numPr>
        <w:ilvl w:val="4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745DE2"/>
    <w:pPr>
      <w:widowControl/>
      <w:numPr>
        <w:ilvl w:val="5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745DE2"/>
    <w:pPr>
      <w:widowControl/>
      <w:numPr>
        <w:ilvl w:val="6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45DE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45DE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45DE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745DE2"/>
    <w:pPr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45DE2"/>
    <w:rPr>
      <w:sz w:val="19"/>
      <w:szCs w:val="19"/>
      <w:lang w:val="it-IT" w:eastAsia="en-US"/>
    </w:rPr>
  </w:style>
  <w:style w:type="paragraph" w:customStyle="1" w:styleId="Normal12a">
    <w:name w:val="Normal12a"/>
    <w:basedOn w:val="Normal"/>
    <w:rsid w:val="00745DE2"/>
    <w:pPr>
      <w:spacing w:after="240"/>
    </w:pPr>
  </w:style>
  <w:style w:type="paragraph" w:customStyle="1" w:styleId="RollCallVotes">
    <w:name w:val="RollCallVotes"/>
    <w:basedOn w:val="Normal"/>
    <w:rsid w:val="00745DE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45DE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45DE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45DE2"/>
    <w:pPr>
      <w:spacing w:before="120" w:after="120"/>
    </w:pPr>
    <w:rPr>
      <w:snapToGrid w:val="0"/>
      <w:sz w:val="16"/>
      <w:lang w:eastAsia="en-US"/>
    </w:rPr>
  </w:style>
  <w:style w:type="paragraph" w:customStyle="1" w:styleId="Normal12Hanging">
    <w:name w:val="Normal12Hanging"/>
    <w:basedOn w:val="Normal"/>
    <w:link w:val="CharChar1"/>
    <w:qFormat/>
    <w:rsid w:val="00915076"/>
    <w:pPr>
      <w:spacing w:after="240"/>
      <w:ind w:left="357" w:hanging="357"/>
    </w:pPr>
    <w:rPr>
      <w:snapToGrid w:val="0"/>
    </w:rPr>
  </w:style>
  <w:style w:type="character" w:customStyle="1" w:styleId="CharChar1">
    <w:name w:val="Char Char1"/>
    <w:link w:val="Normal12Hanging"/>
    <w:locked/>
    <w:rsid w:val="00915076"/>
    <w:rPr>
      <w:snapToGrid w:val="0"/>
      <w:sz w:val="24"/>
      <w:lang w:val="it-IT"/>
    </w:rPr>
  </w:style>
  <w:style w:type="paragraph" w:customStyle="1" w:styleId="AmDocTypeTab">
    <w:name w:val="AmDocTypeTab"/>
    <w:basedOn w:val="Normal"/>
    <w:rsid w:val="007562C4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7562C4"/>
    <w:pPr>
      <w:spacing w:before="240" w:after="240"/>
      <w:jc w:val="right"/>
    </w:pPr>
  </w:style>
  <w:style w:type="paragraph" w:customStyle="1" w:styleId="AmDateTab">
    <w:name w:val="AmDateTab"/>
    <w:basedOn w:val="Normal"/>
    <w:rsid w:val="007562C4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7562C4"/>
  </w:style>
  <w:style w:type="paragraph" w:customStyle="1" w:styleId="Sous-titreobjet">
    <w:name w:val="Sous-titre objet"/>
    <w:basedOn w:val="Normal"/>
    <w:rsid w:val="007562C4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7562C4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ListNumberLevel2">
    <w:name w:val="List Number (Level 2)"/>
    <w:basedOn w:val="Normal"/>
    <w:rsid w:val="007562C4"/>
    <w:pPr>
      <w:widowControl/>
      <w:numPr>
        <w:ilvl w:val="1"/>
        <w:numId w:val="31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7562C4"/>
    <w:pPr>
      <w:spacing w:before="120" w:after="120" w:line="360" w:lineRule="auto"/>
      <w:jc w:val="both"/>
    </w:pPr>
    <w:rPr>
      <w:rFonts w:eastAsiaTheme="minorHAnsi"/>
      <w:sz w:val="24"/>
      <w:szCs w:val="22"/>
      <w:lang w:val="it-IT" w:eastAsia="en-US"/>
    </w:rPr>
  </w:style>
  <w:style w:type="character" w:customStyle="1" w:styleId="Footer2">
    <w:name w:val="Footer2"/>
    <w:uiPriority w:val="1"/>
    <w:qFormat/>
    <w:rsid w:val="007562C4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7562C4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7562C4"/>
    <w:rPr>
      <w:rFonts w:ascii="Times New Roman" w:hAnsi="Times New Roman"/>
      <w:sz w:val="24"/>
      <w:vertAlign w:val="superscript"/>
    </w:rPr>
  </w:style>
  <w:style w:type="character" w:customStyle="1" w:styleId="Italic0">
    <w:name w:val="Italic"/>
    <w:uiPriority w:val="1"/>
    <w:qFormat/>
    <w:rsid w:val="007562C4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7562C4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7562C4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7562C4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7562C4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7562C4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7562C4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7562C4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b">
    <w:name w:val="Normal12b"/>
    <w:basedOn w:val="Normal"/>
    <w:qFormat/>
    <w:rsid w:val="007562C4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7562C4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7562C4"/>
    <w:pPr>
      <w:spacing w:before="120"/>
    </w:pPr>
  </w:style>
  <w:style w:type="paragraph" w:customStyle="1" w:styleId="TitlePar3">
    <w:name w:val="TitlePar 3"/>
    <w:basedOn w:val="TitlePar2"/>
    <w:qFormat/>
    <w:rsid w:val="007562C4"/>
    <w:rPr>
      <w:b w:val="0"/>
      <w:i/>
    </w:rPr>
  </w:style>
  <w:style w:type="paragraph" w:customStyle="1" w:styleId="SubsectionTitle">
    <w:name w:val="SubsectionTitle"/>
    <w:basedOn w:val="SectionTitle"/>
    <w:qFormat/>
    <w:rsid w:val="007562C4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7562C4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qFormat/>
    <w:rsid w:val="007562C4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7562C4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7562C4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7562C4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7562C4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7562C4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7562C4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7562C4"/>
    <w:pPr>
      <w:spacing w:before="120" w:after="360"/>
    </w:pPr>
  </w:style>
  <w:style w:type="character" w:customStyle="1" w:styleId="SubItalic">
    <w:name w:val="SubItalic"/>
    <w:basedOn w:val="Italic0"/>
    <w:uiPriority w:val="1"/>
    <w:qFormat/>
    <w:rsid w:val="007562C4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0"/>
    <w:uiPriority w:val="1"/>
    <w:qFormat/>
    <w:rsid w:val="007562C4"/>
    <w:rPr>
      <w:rFonts w:ascii="Times New Roman" w:hAnsi="Times New Roman"/>
      <w:i/>
      <w:vertAlign w:val="superscript"/>
    </w:rPr>
  </w:style>
  <w:style w:type="paragraph" w:customStyle="1" w:styleId="Point6">
    <w:name w:val="Point 6"/>
    <w:basedOn w:val="Point5"/>
    <w:qFormat/>
    <w:rsid w:val="007562C4"/>
    <w:pPr>
      <w:spacing w:line="360" w:lineRule="auto"/>
      <w:ind w:left="4253"/>
    </w:pPr>
  </w:style>
  <w:style w:type="paragraph" w:customStyle="1" w:styleId="CM1">
    <w:name w:val="CM1"/>
    <w:basedOn w:val="Normal"/>
    <w:next w:val="Normal"/>
    <w:uiPriority w:val="99"/>
    <w:rsid w:val="007562C4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7562C4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legclearfix">
    <w:name w:val="legclearfix"/>
    <w:basedOn w:val="Normal"/>
    <w:rsid w:val="007562C4"/>
    <w:pPr>
      <w:widowControl/>
      <w:spacing w:before="100" w:beforeAutospacing="1" w:after="100" w:afterAutospacing="1"/>
    </w:pPr>
    <w:rPr>
      <w:szCs w:val="24"/>
    </w:rPr>
  </w:style>
  <w:style w:type="character" w:customStyle="1" w:styleId="legds">
    <w:name w:val="legds"/>
    <w:basedOn w:val="DefaultParagraphFont"/>
    <w:rsid w:val="007562C4"/>
  </w:style>
  <w:style w:type="paragraph" w:customStyle="1" w:styleId="CM4">
    <w:name w:val="CM4"/>
    <w:basedOn w:val="Normal"/>
    <w:next w:val="Normal"/>
    <w:uiPriority w:val="99"/>
    <w:rsid w:val="007562C4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Default">
    <w:name w:val="Default"/>
    <w:rsid w:val="007562C4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it-IT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62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05877-E600-4C37-87A8-F134C25A5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372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ARossi-C_STO.</dc:creator>
  <cp:keywords/>
  <cp:lastModifiedBy>DAFFARA Paolo </cp:lastModifiedBy>
  <cp:revision>4</cp:revision>
  <cp:lastPrinted>2004-11-19T15:42:00Z</cp:lastPrinted>
  <dcterms:created xsi:type="dcterms:W3CDTF">2024-02-07T17:24:00Z</dcterms:created>
  <dcterms:modified xsi:type="dcterms:W3CDTF">2024-04-12T13:52:00Z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A9-0020/2023</vt:lpwstr>
  </property>
  <property fmtid="{D5CDD505-2E9C-101B-9397-08002B2CF9AE}" pid="4" name="&lt;Type&gt;">
    <vt:lpwstr>RR</vt:lpwstr>
  </property>
</Properties>
</file>