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4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64C3" w:rsidRDefault="00DE322D" w:rsidP="0010095E">
            <w:pPr>
              <w:pStyle w:val="EPName"/>
            </w:pPr>
            <w:r w:rsidRPr="007A64C3">
              <w:t>Европейски</w:t>
            </w:r>
            <w:r w:rsidR="00510322" w:rsidRPr="007A64C3">
              <w:t xml:space="preserve"> парламент</w:t>
            </w:r>
          </w:p>
          <w:p w:rsidR="00751A4A" w:rsidRPr="007A64C3" w:rsidRDefault="00DE322D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12F">
              <w:t>2019</w:t>
            </w:r>
            <w:r>
              <w:t> – </w:t>
            </w:r>
            <w:r w:rsidR="00817416" w:rsidRPr="00C2512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A64C3" w:rsidRDefault="00187494" w:rsidP="0010095E">
            <w:pPr>
              <w:pStyle w:val="EPLogo"/>
            </w:pPr>
            <w:r w:rsidRPr="007A64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64C3" w:rsidRDefault="00D058B8" w:rsidP="004C5D52">
      <w:pPr>
        <w:pStyle w:val="LineTop"/>
      </w:pPr>
    </w:p>
    <w:p w:rsidR="00680577" w:rsidRPr="007A64C3" w:rsidRDefault="00510322" w:rsidP="00680577">
      <w:pPr>
        <w:pStyle w:val="EPBodyTA1"/>
      </w:pPr>
      <w:r w:rsidRPr="007A64C3">
        <w:t>ПРИЕТИ ТЕКСТОВЕ</w:t>
      </w:r>
    </w:p>
    <w:p w:rsidR="00D058B8" w:rsidRPr="007A64C3" w:rsidRDefault="00D058B8" w:rsidP="00D058B8">
      <w:pPr>
        <w:pStyle w:val="LineBottom"/>
      </w:pPr>
    </w:p>
    <w:p w:rsidR="00510322" w:rsidRPr="007A64C3" w:rsidRDefault="00510322" w:rsidP="00510322">
      <w:pPr>
        <w:pStyle w:val="ATHeading1"/>
      </w:pPr>
      <w:bookmarkStart w:id="0" w:name="TANumber"/>
      <w:r w:rsidRPr="007A64C3">
        <w:t>P</w:t>
      </w:r>
      <w:r w:rsidRPr="00C2512F">
        <w:t>9</w:t>
      </w:r>
      <w:r w:rsidRPr="007A64C3">
        <w:t>_TA(</w:t>
      </w:r>
      <w:r w:rsidRPr="00C2512F">
        <w:t>2024</w:t>
      </w:r>
      <w:r w:rsidRPr="007A64C3">
        <w:t>)</w:t>
      </w:r>
      <w:r w:rsidRPr="00C2512F">
        <w:t>00</w:t>
      </w:r>
      <w:r w:rsidR="00BB38EE" w:rsidRPr="00C2512F">
        <w:t>66</w:t>
      </w:r>
      <w:bookmarkEnd w:id="0"/>
    </w:p>
    <w:p w:rsidR="00510322" w:rsidRPr="007A64C3" w:rsidRDefault="00510322" w:rsidP="00510322">
      <w:pPr>
        <w:pStyle w:val="ATHeading2"/>
      </w:pPr>
      <w:bookmarkStart w:id="1" w:name="title"/>
      <w:r w:rsidRPr="007A64C3">
        <w:t>Гранични стойности за олово и неговите неорганични съединения и диизоцианати</w:t>
      </w:r>
      <w:bookmarkEnd w:id="1"/>
    </w:p>
    <w:p w:rsidR="00510322" w:rsidRPr="007A64C3" w:rsidRDefault="00510322" w:rsidP="00510322">
      <w:pPr>
        <w:rPr>
          <w:i/>
          <w:vanish/>
        </w:rPr>
      </w:pPr>
      <w:r w:rsidRPr="007A64C3">
        <w:rPr>
          <w:i/>
        </w:rPr>
        <w:fldChar w:fldCharType="begin"/>
      </w:r>
      <w:r w:rsidRPr="007A64C3">
        <w:rPr>
          <w:i/>
        </w:rPr>
        <w:instrText xml:space="preserve"> TC"(</w:instrText>
      </w:r>
      <w:bookmarkStart w:id="2" w:name="DocNumber"/>
      <w:r w:rsidRPr="007A64C3">
        <w:rPr>
          <w:i/>
        </w:rPr>
        <w:instrText>A</w:instrText>
      </w:r>
      <w:r w:rsidRPr="00C2512F">
        <w:rPr>
          <w:i/>
        </w:rPr>
        <w:instrText>9</w:instrText>
      </w:r>
      <w:r w:rsidRPr="007A64C3">
        <w:rPr>
          <w:i/>
        </w:rPr>
        <w:instrText>-</w:instrText>
      </w:r>
      <w:r w:rsidRPr="00C2512F">
        <w:rPr>
          <w:i/>
        </w:rPr>
        <w:instrText>0263</w:instrText>
      </w:r>
      <w:r w:rsidRPr="007A64C3">
        <w:rPr>
          <w:i/>
        </w:rPr>
        <w:instrText>/</w:instrText>
      </w:r>
      <w:r w:rsidRPr="00C2512F">
        <w:rPr>
          <w:i/>
        </w:rPr>
        <w:instrText>2023</w:instrText>
      </w:r>
      <w:bookmarkEnd w:id="2"/>
      <w:r w:rsidRPr="007A64C3">
        <w:rPr>
          <w:i/>
        </w:rPr>
        <w:instrText xml:space="preserve"> - Докладчик: Николай Вилумсен)"\l</w:instrText>
      </w:r>
      <w:r w:rsidRPr="00C2512F">
        <w:rPr>
          <w:i/>
        </w:rPr>
        <w:instrText>3</w:instrText>
      </w:r>
      <w:r w:rsidRPr="007A64C3">
        <w:rPr>
          <w:i/>
        </w:rPr>
        <w:instrText xml:space="preserve"> \n&gt; \* MERGEFORMAT </w:instrText>
      </w:r>
      <w:r w:rsidRPr="007A64C3">
        <w:rPr>
          <w:i/>
        </w:rPr>
        <w:fldChar w:fldCharType="end"/>
      </w:r>
    </w:p>
    <w:p w:rsidR="00510322" w:rsidRPr="007A64C3" w:rsidRDefault="00510322" w:rsidP="00510322">
      <w:pPr>
        <w:rPr>
          <w:vanish/>
        </w:rPr>
      </w:pPr>
      <w:bookmarkStart w:id="3" w:name="Commission"/>
      <w:r w:rsidRPr="007A64C3">
        <w:rPr>
          <w:vanish/>
        </w:rPr>
        <w:t>Комисия по заетост и социални въпроси</w:t>
      </w:r>
      <w:bookmarkEnd w:id="3"/>
    </w:p>
    <w:p w:rsidR="00510322" w:rsidRPr="007A64C3" w:rsidRDefault="00510322" w:rsidP="00510322">
      <w:pPr>
        <w:rPr>
          <w:vanish/>
        </w:rPr>
      </w:pPr>
      <w:bookmarkStart w:id="4" w:name="PE"/>
      <w:r w:rsidRPr="007A64C3">
        <w:rPr>
          <w:vanish/>
        </w:rPr>
        <w:t>PE</w:t>
      </w:r>
      <w:r w:rsidRPr="00C2512F">
        <w:rPr>
          <w:vanish/>
        </w:rPr>
        <w:t>746</w:t>
      </w:r>
      <w:r w:rsidRPr="007A64C3">
        <w:rPr>
          <w:vanish/>
        </w:rPr>
        <w:t>.</w:t>
      </w:r>
      <w:r w:rsidRPr="00C2512F">
        <w:rPr>
          <w:vanish/>
        </w:rPr>
        <w:t>964</w:t>
      </w:r>
      <w:bookmarkEnd w:id="4"/>
    </w:p>
    <w:p w:rsidR="00510322" w:rsidRPr="007A64C3" w:rsidRDefault="00510322" w:rsidP="00510322">
      <w:pPr>
        <w:pStyle w:val="ATHeading3"/>
      </w:pPr>
      <w:bookmarkStart w:id="5" w:name="Sujet"/>
      <w:r w:rsidRPr="007A64C3">
        <w:t xml:space="preserve">Законодателна резолюция на Европейския парламент от </w:t>
      </w:r>
      <w:r w:rsidR="000B3D3B" w:rsidRPr="00C2512F">
        <w:t>7</w:t>
      </w:r>
      <w:r w:rsidR="00A81BF0">
        <w:t xml:space="preserve"> февруари</w:t>
      </w:r>
      <w:r w:rsidR="00A81BF0" w:rsidRPr="007A64C3">
        <w:t xml:space="preserve"> </w:t>
      </w:r>
      <w:r w:rsidRPr="00C2512F">
        <w:t>2024</w:t>
      </w:r>
      <w:r w:rsidRPr="007A64C3">
        <w:t xml:space="preserve"> г. относно предложението за </w:t>
      </w:r>
      <w:r w:rsidR="00A57D00">
        <w:t>д</w:t>
      </w:r>
      <w:r w:rsidRPr="007A64C3">
        <w:t xml:space="preserve">иректива на Европейския парламент и на Съвета за изменение на Директива </w:t>
      </w:r>
      <w:r w:rsidRPr="00C2512F">
        <w:t>98</w:t>
      </w:r>
      <w:r w:rsidRPr="007A64C3">
        <w:t>/</w:t>
      </w:r>
      <w:r w:rsidRPr="00C2512F">
        <w:t>24</w:t>
      </w:r>
      <w:r w:rsidRPr="007A64C3">
        <w:t xml:space="preserve">/ЕО на Съвета и Директива </w:t>
      </w:r>
      <w:r w:rsidRPr="00C2512F">
        <w:t>2004</w:t>
      </w:r>
      <w:r w:rsidRPr="007A64C3">
        <w:t>/</w:t>
      </w:r>
      <w:r w:rsidRPr="00C2512F">
        <w:t>37</w:t>
      </w:r>
      <w:r w:rsidRPr="007A64C3">
        <w:t>/ЕО на Европейския парламент и на Съвета по отношение на граничните стойности за олово и неговите неорганични съединения и диизоцианати</w:t>
      </w:r>
      <w:bookmarkEnd w:id="5"/>
      <w:r w:rsidRPr="007A64C3">
        <w:t xml:space="preserve"> </w:t>
      </w:r>
      <w:bookmarkStart w:id="6" w:name="References"/>
      <w:r w:rsidRPr="007A64C3">
        <w:t>(COM(</w:t>
      </w:r>
      <w:r w:rsidRPr="00C2512F">
        <w:t>2023</w:t>
      </w:r>
      <w:r w:rsidRPr="007A64C3">
        <w:t>)</w:t>
      </w:r>
      <w:r w:rsidRPr="00C2512F">
        <w:t>0071</w:t>
      </w:r>
      <w:r w:rsidRPr="007A64C3">
        <w:t xml:space="preserve"> – C</w:t>
      </w:r>
      <w:r w:rsidRPr="00C2512F">
        <w:t>9</w:t>
      </w:r>
      <w:r w:rsidRPr="007A64C3">
        <w:t>-</w:t>
      </w:r>
      <w:r w:rsidRPr="00C2512F">
        <w:t>0022</w:t>
      </w:r>
      <w:r w:rsidRPr="007A64C3">
        <w:t>/</w:t>
      </w:r>
      <w:r w:rsidRPr="00C2512F">
        <w:t>2023</w:t>
      </w:r>
      <w:r w:rsidRPr="007A64C3">
        <w:t xml:space="preserve"> – </w:t>
      </w:r>
      <w:r w:rsidRPr="00C2512F">
        <w:t>2023</w:t>
      </w:r>
      <w:r w:rsidRPr="007A64C3">
        <w:t>/</w:t>
      </w:r>
      <w:r w:rsidRPr="00C2512F">
        <w:t>0033</w:t>
      </w:r>
      <w:r w:rsidRPr="007A64C3">
        <w:t>(COD))</w:t>
      </w:r>
      <w:bookmarkEnd w:id="6"/>
    </w:p>
    <w:p w:rsidR="003E74F9" w:rsidRPr="007A64C3" w:rsidRDefault="003E74F9" w:rsidP="003E74F9">
      <w:pPr>
        <w:pStyle w:val="NormalBold"/>
      </w:pPr>
      <w:bookmarkStart w:id="7" w:name="TextBodyBegin"/>
      <w:bookmarkEnd w:id="7"/>
      <w:r w:rsidRPr="007A64C3">
        <w:t>(Обикновена законодателна процедура – първо четене)</w:t>
      </w:r>
    </w:p>
    <w:p w:rsidR="003E74F9" w:rsidRPr="007A64C3" w:rsidRDefault="003E74F9" w:rsidP="003E74F9">
      <w:pPr>
        <w:pStyle w:val="EPComma"/>
      </w:pPr>
      <w:r w:rsidRPr="007A64C3">
        <w:rPr>
          <w:i/>
        </w:rPr>
        <w:t>Европейският парламент</w:t>
      </w:r>
      <w:r w:rsidRPr="007A64C3">
        <w:t>,</w:t>
      </w:r>
    </w:p>
    <w:p w:rsidR="003E74F9" w:rsidRPr="007A64C3" w:rsidRDefault="003E74F9" w:rsidP="003E74F9">
      <w:pPr>
        <w:pStyle w:val="NormalHanging12a"/>
      </w:pPr>
      <w:r w:rsidRPr="007A64C3">
        <w:t>–</w:t>
      </w:r>
      <w:r w:rsidRPr="007A64C3">
        <w:tab/>
        <w:t xml:space="preserve">като взе предвид предложението на Комисията до </w:t>
      </w:r>
      <w:r w:rsidR="00A81BF0">
        <w:t>П</w:t>
      </w:r>
      <w:r w:rsidRPr="007A64C3">
        <w:t>арламент</w:t>
      </w:r>
      <w:r w:rsidR="00A81BF0">
        <w:t>а</w:t>
      </w:r>
      <w:r w:rsidRPr="007A64C3">
        <w:t xml:space="preserve"> и до Съвета (COM(</w:t>
      </w:r>
      <w:r w:rsidRPr="00C2512F">
        <w:t>2023</w:t>
      </w:r>
      <w:r w:rsidRPr="007A64C3">
        <w:t>)</w:t>
      </w:r>
      <w:r w:rsidRPr="00C2512F">
        <w:t>0071</w:t>
      </w:r>
      <w:r w:rsidRPr="007A64C3">
        <w:t>),</w:t>
      </w:r>
    </w:p>
    <w:p w:rsidR="003E74F9" w:rsidRPr="007A64C3" w:rsidRDefault="003E74F9" w:rsidP="003E74F9">
      <w:pPr>
        <w:pStyle w:val="NormalHanging12a"/>
      </w:pPr>
      <w:r w:rsidRPr="007A64C3">
        <w:t>–</w:t>
      </w:r>
      <w:r w:rsidRPr="007A64C3">
        <w:tab/>
        <w:t>като взе предвид член </w:t>
      </w:r>
      <w:r w:rsidRPr="00C2512F">
        <w:t>294</w:t>
      </w:r>
      <w:r w:rsidRPr="007A64C3">
        <w:t>, параграф </w:t>
      </w:r>
      <w:r w:rsidRPr="00C2512F">
        <w:t>2</w:t>
      </w:r>
      <w:r w:rsidRPr="007A64C3">
        <w:t xml:space="preserve"> и член </w:t>
      </w:r>
      <w:r w:rsidRPr="00C2512F">
        <w:t>153</w:t>
      </w:r>
      <w:r w:rsidRPr="007A64C3">
        <w:t>, параграф </w:t>
      </w:r>
      <w:r w:rsidRPr="00C2512F">
        <w:t>2</w:t>
      </w:r>
      <w:r w:rsidRPr="007A64C3">
        <w:t>, буква б) във връзка с параграф </w:t>
      </w:r>
      <w:r w:rsidRPr="00C2512F">
        <w:t>1</w:t>
      </w:r>
      <w:r w:rsidRPr="007A64C3">
        <w:t>, буква а), от Договора за функционирането на Европейския съюз, съгласно които Комисията е внесла предложението в Парламента (C</w:t>
      </w:r>
      <w:r w:rsidRPr="00C2512F">
        <w:t>9</w:t>
      </w:r>
      <w:r w:rsidRPr="007A64C3">
        <w:noBreakHyphen/>
      </w:r>
      <w:r w:rsidRPr="00C2512F">
        <w:t>0022</w:t>
      </w:r>
      <w:r w:rsidRPr="007A64C3">
        <w:t>/</w:t>
      </w:r>
      <w:r w:rsidRPr="00C2512F">
        <w:t>2023</w:t>
      </w:r>
      <w:r w:rsidRPr="007A64C3">
        <w:t>),</w:t>
      </w:r>
    </w:p>
    <w:p w:rsidR="003E74F9" w:rsidRPr="007A64C3" w:rsidRDefault="003E74F9" w:rsidP="003E74F9">
      <w:pPr>
        <w:pStyle w:val="NormalHanging12a"/>
      </w:pPr>
      <w:r w:rsidRPr="007A64C3">
        <w:t>–</w:t>
      </w:r>
      <w:r w:rsidRPr="007A64C3">
        <w:tab/>
        <w:t>като взе предвид член </w:t>
      </w:r>
      <w:r w:rsidRPr="00C2512F">
        <w:t>294</w:t>
      </w:r>
      <w:r w:rsidRPr="007A64C3">
        <w:t xml:space="preserve">, параграф </w:t>
      </w:r>
      <w:r w:rsidRPr="00C2512F">
        <w:t>3</w:t>
      </w:r>
      <w:r w:rsidRPr="007A64C3">
        <w:t xml:space="preserve"> от Договора за функционирането на Европейския съюз,</w:t>
      </w:r>
    </w:p>
    <w:p w:rsidR="003E74F9" w:rsidRDefault="003E74F9" w:rsidP="003E74F9">
      <w:pPr>
        <w:pStyle w:val="NormalHanging12a"/>
      </w:pPr>
      <w:r w:rsidRPr="007A64C3">
        <w:t>–</w:t>
      </w:r>
      <w:r w:rsidRPr="007A64C3">
        <w:tab/>
        <w:t xml:space="preserve">като взе предвид становището на Икономическия и социален комитет от </w:t>
      </w:r>
      <w:r w:rsidRPr="00C2512F">
        <w:t>22</w:t>
      </w:r>
      <w:r w:rsidRPr="007A64C3">
        <w:t> март </w:t>
      </w:r>
      <w:r w:rsidRPr="00C2512F">
        <w:t>2023</w:t>
      </w:r>
      <w:r w:rsidRPr="007A64C3">
        <w:t> г.</w:t>
      </w:r>
      <w:r w:rsidRPr="007A64C3">
        <w:rPr>
          <w:vertAlign w:val="superscript"/>
        </w:rPr>
        <w:footnoteReference w:id="1"/>
      </w:r>
      <w:r w:rsidRPr="007A64C3">
        <w:t>,</w:t>
      </w:r>
    </w:p>
    <w:p w:rsidR="00C0355B" w:rsidRDefault="00C0355B" w:rsidP="003E74F9">
      <w:pPr>
        <w:pStyle w:val="NormalHanging12a"/>
      </w:pPr>
      <w:r>
        <w:t>–</w:t>
      </w:r>
      <w:r>
        <w:tab/>
      </w:r>
      <w:r w:rsidRPr="00C0355B">
        <w:t>след консултация с Комитета на регионите,</w:t>
      </w:r>
    </w:p>
    <w:p w:rsidR="00C0355B" w:rsidRPr="00C0355B" w:rsidRDefault="00C0355B" w:rsidP="003E74F9">
      <w:pPr>
        <w:pStyle w:val="NormalHanging12a"/>
      </w:pPr>
      <w:r>
        <w:t>–</w:t>
      </w:r>
      <w:r>
        <w:tab/>
      </w:r>
      <w:r w:rsidRPr="00C0355B">
        <w:t xml:space="preserve">като взе предвид временното споразумение, одобрено от компетентната комисия съгласно член </w:t>
      </w:r>
      <w:r w:rsidRPr="00C2512F">
        <w:t>74</w:t>
      </w:r>
      <w:r w:rsidRPr="00C0355B">
        <w:t xml:space="preserve">, параграф </w:t>
      </w:r>
      <w:r w:rsidRPr="00C2512F">
        <w:t>4</w:t>
      </w:r>
      <w:r w:rsidRPr="00C0355B">
        <w:t xml:space="preserve"> от своя Правилник за </w:t>
      </w:r>
      <w:r>
        <w:t xml:space="preserve">дейността, и поетия с писмо от </w:t>
      </w:r>
      <w:r w:rsidRPr="00C2512F">
        <w:t>6</w:t>
      </w:r>
      <w:r>
        <w:t xml:space="preserve"> декември </w:t>
      </w:r>
      <w:r w:rsidRPr="00C2512F">
        <w:t>2023</w:t>
      </w:r>
      <w:r>
        <w:t> </w:t>
      </w:r>
      <w:r w:rsidRPr="00C0355B">
        <w:t xml:space="preserve">г. ангажимент на представителя на Съвета за одобряване на позицията на Парламента в съответствие с член </w:t>
      </w:r>
      <w:r w:rsidRPr="00C2512F">
        <w:t>294</w:t>
      </w:r>
      <w:r w:rsidRPr="00C0355B">
        <w:t xml:space="preserve">, параграф </w:t>
      </w:r>
      <w:r w:rsidRPr="00C2512F">
        <w:t>4</w:t>
      </w:r>
      <w:r w:rsidRPr="00C0355B">
        <w:t xml:space="preserve"> от Договора за функционирането на Европейския съюз</w:t>
      </w:r>
      <w:r>
        <w:t>,</w:t>
      </w:r>
    </w:p>
    <w:p w:rsidR="003E74F9" w:rsidRPr="007A64C3" w:rsidRDefault="003E74F9" w:rsidP="003E74F9">
      <w:pPr>
        <w:pStyle w:val="NormalHanging12a"/>
      </w:pPr>
      <w:r w:rsidRPr="007A64C3">
        <w:lastRenderedPageBreak/>
        <w:t>–</w:t>
      </w:r>
      <w:r w:rsidRPr="007A64C3">
        <w:tab/>
        <w:t>като взе предвид член </w:t>
      </w:r>
      <w:r w:rsidRPr="00C2512F">
        <w:t>59</w:t>
      </w:r>
      <w:r w:rsidRPr="007A64C3">
        <w:t xml:space="preserve"> от своя Правилник за дейността,</w:t>
      </w:r>
    </w:p>
    <w:p w:rsidR="003E74F9" w:rsidRPr="007A64C3" w:rsidRDefault="003E74F9" w:rsidP="003E74F9">
      <w:pPr>
        <w:pStyle w:val="NormalHanging12a"/>
      </w:pPr>
      <w:r w:rsidRPr="007A64C3">
        <w:t>–</w:t>
      </w:r>
      <w:r w:rsidRPr="007A64C3">
        <w:tab/>
        <w:t>като взе предвид доклада на комисията по заетост и социални въпроси (A</w:t>
      </w:r>
      <w:r w:rsidRPr="00C2512F">
        <w:t>9</w:t>
      </w:r>
      <w:r w:rsidRPr="007A64C3">
        <w:t>-</w:t>
      </w:r>
      <w:r w:rsidRPr="00C2512F">
        <w:t>0263</w:t>
      </w:r>
      <w:r w:rsidRPr="007A64C3">
        <w:t>/</w:t>
      </w:r>
      <w:r w:rsidRPr="00C2512F">
        <w:t>2023</w:t>
      </w:r>
      <w:r w:rsidRPr="007A64C3">
        <w:t>),</w:t>
      </w:r>
    </w:p>
    <w:p w:rsidR="003E74F9" w:rsidRPr="007A64C3" w:rsidRDefault="003E74F9" w:rsidP="003E74F9">
      <w:pPr>
        <w:pStyle w:val="NormalHanging12a"/>
      </w:pPr>
      <w:r w:rsidRPr="00C2512F">
        <w:t>1</w:t>
      </w:r>
      <w:r w:rsidRPr="007A64C3">
        <w:t>.</w:t>
      </w:r>
      <w:r w:rsidRPr="007A64C3">
        <w:tab/>
        <w:t>приема изложената по-долу позиция на първо четене;</w:t>
      </w:r>
    </w:p>
    <w:p w:rsidR="003E74F9" w:rsidRPr="007A64C3" w:rsidRDefault="003E74F9" w:rsidP="003E74F9">
      <w:pPr>
        <w:pStyle w:val="NormalHanging12a"/>
      </w:pPr>
      <w:r w:rsidRPr="00C2512F">
        <w:t>2</w:t>
      </w:r>
      <w:r w:rsidRPr="007A64C3">
        <w:t>.</w:t>
      </w:r>
      <w:r w:rsidRPr="007A64C3">
        <w:tab/>
        <w:t>приканва Комисията да се отнесе до него отново, в случай че замени своето предложение с друг текст</w:t>
      </w:r>
      <w:r w:rsidR="00A81BF0">
        <w:t>,</w:t>
      </w:r>
      <w:r w:rsidRPr="007A64C3">
        <w:t xml:space="preserve"> внесе или възнамерява да внесе съществени промени в това предложение;</w:t>
      </w:r>
    </w:p>
    <w:p w:rsidR="003E74F9" w:rsidRPr="007A64C3" w:rsidRDefault="003E74F9" w:rsidP="003E74F9">
      <w:pPr>
        <w:pStyle w:val="NormalHanging12a"/>
      </w:pPr>
      <w:r w:rsidRPr="00C2512F">
        <w:t>3</w:t>
      </w:r>
      <w:r w:rsidRPr="007A64C3">
        <w:t>.</w:t>
      </w:r>
      <w:r w:rsidRPr="007A64C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C2512F" w:rsidRDefault="00C2512F" w:rsidP="003E74F9">
      <w:pPr>
        <w:widowControl/>
        <w:sectPr w:rsidR="00C2512F" w:rsidSect="007A64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B3D3B" w:rsidRDefault="000B3D3B" w:rsidP="000B3D3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C022C">
        <w:rPr>
          <w:rFonts w:eastAsia="Calibri"/>
          <w:b/>
          <w:bCs/>
          <w:color w:val="000000"/>
          <w:szCs w:val="24"/>
          <w:lang w:val="en-GB"/>
        </w:rPr>
        <w:lastRenderedPageBreak/>
        <w:t>P</w:t>
      </w:r>
      <w:r w:rsidRPr="00C2512F">
        <w:rPr>
          <w:rFonts w:eastAsia="Calibri"/>
          <w:b/>
          <w:bCs/>
          <w:color w:val="000000"/>
          <w:szCs w:val="24"/>
        </w:rPr>
        <w:t>9_</w:t>
      </w:r>
      <w:r w:rsidRPr="00AC022C">
        <w:rPr>
          <w:rFonts w:eastAsia="Calibri"/>
          <w:b/>
          <w:bCs/>
          <w:color w:val="000000"/>
          <w:szCs w:val="24"/>
          <w:lang w:val="en-GB"/>
        </w:rPr>
        <w:t>TC</w:t>
      </w:r>
      <w:r w:rsidRPr="00C2512F">
        <w:rPr>
          <w:rFonts w:eastAsia="Calibri"/>
          <w:b/>
          <w:bCs/>
          <w:color w:val="000000"/>
          <w:szCs w:val="24"/>
        </w:rPr>
        <w:t>1-</w:t>
      </w:r>
      <w:r w:rsidRPr="00AC022C">
        <w:rPr>
          <w:rFonts w:eastAsia="Calibri"/>
          <w:b/>
          <w:bCs/>
          <w:color w:val="000000"/>
          <w:szCs w:val="24"/>
          <w:lang w:val="en-GB"/>
        </w:rPr>
        <w:t>COD</w:t>
      </w:r>
      <w:r w:rsidRPr="00C2512F">
        <w:rPr>
          <w:rFonts w:eastAsia="Calibri"/>
          <w:b/>
          <w:bCs/>
          <w:color w:val="000000"/>
          <w:szCs w:val="24"/>
        </w:rPr>
        <w:t>(2023)0033</w:t>
      </w:r>
    </w:p>
    <w:p w:rsidR="000B3D3B" w:rsidRDefault="000B3D3B" w:rsidP="000B3D3B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</w:t>
      </w:r>
      <w:r w:rsidRPr="000B3D3B">
        <w:rPr>
          <w:b/>
          <w:szCs w:val="24"/>
        </w:rPr>
        <w:t xml:space="preserve">рво четене на </w:t>
      </w:r>
      <w:r w:rsidRPr="00C2512F">
        <w:rPr>
          <w:b/>
          <w:szCs w:val="24"/>
        </w:rPr>
        <w:t>7</w:t>
      </w:r>
      <w:r>
        <w:rPr>
          <w:b/>
          <w:szCs w:val="24"/>
        </w:rPr>
        <w:t xml:space="preserve"> февруари</w:t>
      </w:r>
      <w:r w:rsidRPr="000B3D3B">
        <w:rPr>
          <w:b/>
          <w:szCs w:val="24"/>
        </w:rPr>
        <w:t xml:space="preserve"> </w:t>
      </w:r>
      <w:r w:rsidRPr="00C2512F">
        <w:rPr>
          <w:b/>
          <w:szCs w:val="24"/>
        </w:rPr>
        <w:t>2024</w:t>
      </w:r>
      <w:r w:rsidRPr="000B3D3B">
        <w:rPr>
          <w:b/>
          <w:szCs w:val="24"/>
        </w:rPr>
        <w:t xml:space="preserve"> г. с оглед на приемането на Директива (ЕС) </w:t>
      </w:r>
      <w:r w:rsidRPr="00C2512F">
        <w:rPr>
          <w:b/>
          <w:szCs w:val="24"/>
        </w:rPr>
        <w:t>2024</w:t>
      </w:r>
      <w:r w:rsidRPr="000B3D3B">
        <w:rPr>
          <w:b/>
          <w:szCs w:val="24"/>
        </w:rPr>
        <w:t>/... на Европ</w:t>
      </w:r>
      <w:r w:rsidRPr="00900F1D">
        <w:rPr>
          <w:b/>
          <w:szCs w:val="24"/>
        </w:rPr>
        <w:t xml:space="preserve">ейския парламент и на Съвета </w:t>
      </w:r>
      <w:r w:rsidRPr="00455058">
        <w:rPr>
          <w:rFonts w:eastAsia="Calibri"/>
          <w:b/>
          <w:szCs w:val="22"/>
          <w:lang w:eastAsia="en-US"/>
        </w:rPr>
        <w:t>за изменение на Директива </w:t>
      </w:r>
      <w:r w:rsidRPr="00C2512F">
        <w:rPr>
          <w:rFonts w:eastAsia="Calibri"/>
          <w:b/>
          <w:szCs w:val="22"/>
          <w:lang w:eastAsia="en-US"/>
        </w:rPr>
        <w:t>2004</w:t>
      </w:r>
      <w:r w:rsidRPr="00455058">
        <w:rPr>
          <w:rFonts w:eastAsia="Calibri"/>
          <w:b/>
          <w:szCs w:val="22"/>
          <w:lang w:eastAsia="en-US"/>
        </w:rPr>
        <w:t>/</w:t>
      </w:r>
      <w:r w:rsidRPr="00C2512F">
        <w:rPr>
          <w:rFonts w:eastAsia="Calibri"/>
          <w:b/>
          <w:szCs w:val="22"/>
          <w:lang w:eastAsia="en-US"/>
        </w:rPr>
        <w:t>37</w:t>
      </w:r>
      <w:r w:rsidRPr="00455058">
        <w:rPr>
          <w:rFonts w:eastAsia="Calibri"/>
          <w:b/>
          <w:szCs w:val="22"/>
          <w:lang w:eastAsia="en-US"/>
        </w:rPr>
        <w:t>/ЕО на Европейския парламент и на Съвета и Директива </w:t>
      </w:r>
      <w:r w:rsidRPr="00C2512F">
        <w:rPr>
          <w:rFonts w:eastAsia="Calibri"/>
          <w:b/>
          <w:szCs w:val="22"/>
          <w:lang w:eastAsia="en-US"/>
        </w:rPr>
        <w:t>98</w:t>
      </w:r>
      <w:r w:rsidRPr="00455058">
        <w:rPr>
          <w:rFonts w:eastAsia="Calibri"/>
          <w:b/>
          <w:szCs w:val="22"/>
          <w:lang w:eastAsia="en-US"/>
        </w:rPr>
        <w:t>/</w:t>
      </w:r>
      <w:r w:rsidRPr="00C2512F">
        <w:rPr>
          <w:rFonts w:eastAsia="Calibri"/>
          <w:b/>
          <w:szCs w:val="22"/>
          <w:lang w:eastAsia="en-US"/>
        </w:rPr>
        <w:t>24</w:t>
      </w:r>
      <w:r w:rsidRPr="00455058">
        <w:rPr>
          <w:rFonts w:eastAsia="Calibri"/>
          <w:b/>
          <w:szCs w:val="22"/>
          <w:lang w:eastAsia="en-US"/>
        </w:rPr>
        <w:t xml:space="preserve">/ЕО на Съвета по отношение на граничните стойности </w:t>
      </w:r>
      <w:r w:rsidRPr="00455058">
        <w:rPr>
          <w:rFonts w:eastAsia="Calibri"/>
          <w:b/>
          <w:i/>
          <w:szCs w:val="22"/>
          <w:lang w:eastAsia="en-US"/>
        </w:rPr>
        <w:t>за</w:t>
      </w:r>
      <w:r w:rsidRPr="00455058">
        <w:rPr>
          <w:rFonts w:eastAsia="Calibri"/>
          <w:b/>
          <w:szCs w:val="22"/>
          <w:lang w:eastAsia="en-US"/>
        </w:rPr>
        <w:t xml:space="preserve"> олово и неговите неорганични съединения и за </w:t>
      </w:r>
      <w:r w:rsidRPr="00737735">
        <w:rPr>
          <w:rFonts w:eastAsia="Calibri"/>
          <w:b/>
          <w:szCs w:val="22"/>
          <w:lang w:eastAsia="en-US"/>
        </w:rPr>
        <w:t>диизоцианати</w:t>
      </w:r>
      <w:r w:rsidRPr="00455058">
        <w:rPr>
          <w:rFonts w:eastAsia="Calibri"/>
          <w:b/>
          <w:i/>
          <w:szCs w:val="22"/>
          <w:lang w:eastAsia="en-US"/>
        </w:rPr>
        <w:t xml:space="preserve"> </w:t>
      </w:r>
      <w:r w:rsidRPr="00455058">
        <w:rPr>
          <w:rFonts w:eastAsia="Calibri"/>
          <w:b/>
          <w:szCs w:val="22"/>
          <w:lang w:eastAsia="en-US"/>
        </w:rPr>
        <w:t>▌</w:t>
      </w:r>
    </w:p>
    <w:p w:rsidR="000B3D3B" w:rsidRPr="00C2512F" w:rsidRDefault="00737735" w:rsidP="007377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</w:t>
      </w:r>
      <w:r w:rsidRPr="00737735">
        <w:rPr>
          <w:i/>
          <w:szCs w:val="24"/>
        </w:rPr>
        <w:t>мента съответства на окончателния зако</w:t>
      </w:r>
      <w:bookmarkStart w:id="8" w:name="_GoBack"/>
      <w:bookmarkEnd w:id="8"/>
      <w:r w:rsidRPr="00737735">
        <w:rPr>
          <w:i/>
          <w:szCs w:val="24"/>
        </w:rPr>
        <w:t>нодателен акт, Директива</w:t>
      </w:r>
      <w:r w:rsidRPr="00737735">
        <w:rPr>
          <w:i/>
          <w:szCs w:val="24"/>
          <w:lang w:val="lt-LT"/>
        </w:rPr>
        <w:t xml:space="preserve"> (ЕС) </w:t>
      </w:r>
      <w:r w:rsidRPr="00737735">
        <w:rPr>
          <w:i/>
          <w:szCs w:val="24"/>
        </w:rPr>
        <w:t>2024/869</w:t>
      </w:r>
      <w:r w:rsidRPr="00737735">
        <w:rPr>
          <w:i/>
          <w:szCs w:val="24"/>
          <w:lang w:val="lt-LT"/>
        </w:rPr>
        <w:t>.)</w:t>
      </w:r>
    </w:p>
    <w:sectPr w:rsidR="000B3D3B" w:rsidRPr="00C2512F" w:rsidSect="007A64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322" w:rsidRPr="007A64C3" w:rsidRDefault="00510322">
      <w:r w:rsidRPr="007A64C3">
        <w:separator/>
      </w:r>
    </w:p>
  </w:endnote>
  <w:endnote w:type="continuationSeparator" w:id="0">
    <w:p w:rsidR="00510322" w:rsidRPr="007A64C3" w:rsidRDefault="00510322">
      <w:r w:rsidRPr="007A64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322" w:rsidRPr="007A64C3" w:rsidRDefault="00510322">
      <w:r w:rsidRPr="007A64C3">
        <w:separator/>
      </w:r>
    </w:p>
  </w:footnote>
  <w:footnote w:type="continuationSeparator" w:id="0">
    <w:p w:rsidR="00510322" w:rsidRPr="007A64C3" w:rsidRDefault="00510322">
      <w:r w:rsidRPr="007A64C3">
        <w:continuationSeparator/>
      </w:r>
    </w:p>
  </w:footnote>
  <w:footnote w:id="1">
    <w:p w:rsidR="003E74F9" w:rsidRPr="000B3D3B" w:rsidRDefault="003E74F9" w:rsidP="007A64C3">
      <w:pPr>
        <w:pStyle w:val="FootnoteText"/>
        <w:ind w:left="567" w:hanging="567"/>
        <w:rPr>
          <w:sz w:val="24"/>
          <w:lang w:val="bg-BG"/>
        </w:rPr>
      </w:pPr>
      <w:r w:rsidRPr="000B3D3B">
        <w:rPr>
          <w:rStyle w:val="FootnoteReference"/>
          <w:sz w:val="24"/>
          <w:lang w:val="bg-BG"/>
        </w:rPr>
        <w:footnoteRef/>
      </w:r>
      <w:r w:rsidR="007A64C3" w:rsidRPr="000B3D3B">
        <w:rPr>
          <w:sz w:val="24"/>
          <w:lang w:val="bg-BG"/>
        </w:rPr>
        <w:t xml:space="preserve"> </w:t>
      </w:r>
      <w:r w:rsidR="007A64C3" w:rsidRPr="000B3D3B">
        <w:rPr>
          <w:sz w:val="24"/>
          <w:lang w:val="bg-BG"/>
        </w:rPr>
        <w:tab/>
      </w:r>
      <w:r w:rsidRPr="000B3D3B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4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5ACF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39388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14223EE" w:tentative="1">
      <w:start w:val="1"/>
      <w:numFmt w:val="lowerLetter"/>
      <w:lvlText w:val="%2."/>
      <w:lvlJc w:val="left"/>
      <w:pPr>
        <w:ind w:left="1440" w:hanging="360"/>
      </w:pPr>
    </w:lvl>
    <w:lvl w:ilvl="2" w:tplc="BF6AEB26" w:tentative="1">
      <w:start w:val="1"/>
      <w:numFmt w:val="lowerRoman"/>
      <w:lvlText w:val="%3."/>
      <w:lvlJc w:val="right"/>
      <w:pPr>
        <w:ind w:left="2160" w:hanging="180"/>
      </w:pPr>
    </w:lvl>
    <w:lvl w:ilvl="3" w:tplc="B4580C7E" w:tentative="1">
      <w:start w:val="1"/>
      <w:numFmt w:val="decimal"/>
      <w:lvlText w:val="%4."/>
      <w:lvlJc w:val="left"/>
      <w:pPr>
        <w:ind w:left="2880" w:hanging="360"/>
      </w:pPr>
    </w:lvl>
    <w:lvl w:ilvl="4" w:tplc="AD80A954" w:tentative="1">
      <w:start w:val="1"/>
      <w:numFmt w:val="lowerLetter"/>
      <w:lvlText w:val="%5."/>
      <w:lvlJc w:val="left"/>
      <w:pPr>
        <w:ind w:left="3600" w:hanging="360"/>
      </w:pPr>
    </w:lvl>
    <w:lvl w:ilvl="5" w:tplc="9AF2A516" w:tentative="1">
      <w:start w:val="1"/>
      <w:numFmt w:val="lowerRoman"/>
      <w:lvlText w:val="%6."/>
      <w:lvlJc w:val="right"/>
      <w:pPr>
        <w:ind w:left="4320" w:hanging="180"/>
      </w:pPr>
    </w:lvl>
    <w:lvl w:ilvl="6" w:tplc="D9841918" w:tentative="1">
      <w:start w:val="1"/>
      <w:numFmt w:val="decimal"/>
      <w:lvlText w:val="%7."/>
      <w:lvlJc w:val="left"/>
      <w:pPr>
        <w:ind w:left="5040" w:hanging="360"/>
      </w:pPr>
    </w:lvl>
    <w:lvl w:ilvl="7" w:tplc="26141C46" w:tentative="1">
      <w:start w:val="1"/>
      <w:numFmt w:val="lowerLetter"/>
      <w:lvlText w:val="%8."/>
      <w:lvlJc w:val="left"/>
      <w:pPr>
        <w:ind w:left="5760" w:hanging="360"/>
      </w:pPr>
    </w:lvl>
    <w:lvl w:ilvl="8" w:tplc="E9FAD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963E4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F43870" w:tentative="1">
      <w:start w:val="1"/>
      <w:numFmt w:val="lowerLetter"/>
      <w:lvlText w:val="%2."/>
      <w:lvlJc w:val="left"/>
      <w:pPr>
        <w:ind w:left="1440" w:hanging="360"/>
      </w:pPr>
    </w:lvl>
    <w:lvl w:ilvl="2" w:tplc="83106738" w:tentative="1">
      <w:start w:val="1"/>
      <w:numFmt w:val="lowerRoman"/>
      <w:lvlText w:val="%3."/>
      <w:lvlJc w:val="right"/>
      <w:pPr>
        <w:ind w:left="2160" w:hanging="180"/>
      </w:pPr>
    </w:lvl>
    <w:lvl w:ilvl="3" w:tplc="59801462" w:tentative="1">
      <w:start w:val="1"/>
      <w:numFmt w:val="decimal"/>
      <w:lvlText w:val="%4."/>
      <w:lvlJc w:val="left"/>
      <w:pPr>
        <w:ind w:left="2880" w:hanging="360"/>
      </w:pPr>
    </w:lvl>
    <w:lvl w:ilvl="4" w:tplc="39F85CA4" w:tentative="1">
      <w:start w:val="1"/>
      <w:numFmt w:val="lowerLetter"/>
      <w:lvlText w:val="%5."/>
      <w:lvlJc w:val="left"/>
      <w:pPr>
        <w:ind w:left="3600" w:hanging="360"/>
      </w:pPr>
    </w:lvl>
    <w:lvl w:ilvl="5" w:tplc="7786F184" w:tentative="1">
      <w:start w:val="1"/>
      <w:numFmt w:val="lowerRoman"/>
      <w:lvlText w:val="%6."/>
      <w:lvlJc w:val="right"/>
      <w:pPr>
        <w:ind w:left="4320" w:hanging="180"/>
      </w:pPr>
    </w:lvl>
    <w:lvl w:ilvl="6" w:tplc="07C699AA" w:tentative="1">
      <w:start w:val="1"/>
      <w:numFmt w:val="decimal"/>
      <w:lvlText w:val="%7."/>
      <w:lvlJc w:val="left"/>
      <w:pPr>
        <w:ind w:left="5040" w:hanging="360"/>
      </w:pPr>
    </w:lvl>
    <w:lvl w:ilvl="7" w:tplc="7A242AC8" w:tentative="1">
      <w:start w:val="1"/>
      <w:numFmt w:val="lowerLetter"/>
      <w:lvlText w:val="%8."/>
      <w:lvlJc w:val="left"/>
      <w:pPr>
        <w:ind w:left="5760" w:hanging="360"/>
      </w:pPr>
    </w:lvl>
    <w:lvl w:ilvl="8" w:tplc="9C060E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94EA53C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1046CDBE" w:tentative="1">
      <w:start w:val="1"/>
      <w:numFmt w:val="lowerLetter"/>
      <w:lvlText w:val="%2."/>
      <w:lvlJc w:val="left"/>
      <w:pPr>
        <w:ind w:left="1440" w:hanging="360"/>
      </w:pPr>
    </w:lvl>
    <w:lvl w:ilvl="2" w:tplc="A09E70A6" w:tentative="1">
      <w:start w:val="1"/>
      <w:numFmt w:val="lowerRoman"/>
      <w:lvlText w:val="%3."/>
      <w:lvlJc w:val="right"/>
      <w:pPr>
        <w:ind w:left="2160" w:hanging="180"/>
      </w:pPr>
    </w:lvl>
    <w:lvl w:ilvl="3" w:tplc="ED4634B4" w:tentative="1">
      <w:start w:val="1"/>
      <w:numFmt w:val="decimal"/>
      <w:lvlText w:val="%4."/>
      <w:lvlJc w:val="left"/>
      <w:pPr>
        <w:ind w:left="2880" w:hanging="360"/>
      </w:pPr>
    </w:lvl>
    <w:lvl w:ilvl="4" w:tplc="3F0C08E4" w:tentative="1">
      <w:start w:val="1"/>
      <w:numFmt w:val="lowerLetter"/>
      <w:lvlText w:val="%5."/>
      <w:lvlJc w:val="left"/>
      <w:pPr>
        <w:ind w:left="3600" w:hanging="360"/>
      </w:pPr>
    </w:lvl>
    <w:lvl w:ilvl="5" w:tplc="53D2F08C" w:tentative="1">
      <w:start w:val="1"/>
      <w:numFmt w:val="lowerRoman"/>
      <w:lvlText w:val="%6."/>
      <w:lvlJc w:val="right"/>
      <w:pPr>
        <w:ind w:left="4320" w:hanging="180"/>
      </w:pPr>
    </w:lvl>
    <w:lvl w:ilvl="6" w:tplc="D14C055E" w:tentative="1">
      <w:start w:val="1"/>
      <w:numFmt w:val="decimal"/>
      <w:lvlText w:val="%7."/>
      <w:lvlJc w:val="left"/>
      <w:pPr>
        <w:ind w:left="5040" w:hanging="360"/>
      </w:pPr>
    </w:lvl>
    <w:lvl w:ilvl="7" w:tplc="646280C8" w:tentative="1">
      <w:start w:val="1"/>
      <w:numFmt w:val="lowerLetter"/>
      <w:lvlText w:val="%8."/>
      <w:lvlJc w:val="left"/>
      <w:pPr>
        <w:ind w:left="5760" w:hanging="360"/>
      </w:pPr>
    </w:lvl>
    <w:lvl w:ilvl="8" w:tplc="0AEED1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BG"/>
    <w:docVar w:name="dvnumam" w:val="47"/>
    <w:docVar w:name="dvpe" w:val="746.96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 98/24/ЕО на Съвета и Директива 2004/37/ЕО на Европейския парламент и на Съвета по отношение на граничните стойности за олово и неговите неорганични съединения и диизоцианати(COM(2023)0071 – C9-0022/2023 – 2023/0033(COD))"/>
  </w:docVars>
  <w:rsids>
    <w:rsidRoot w:val="00510322"/>
    <w:rsid w:val="00002272"/>
    <w:rsid w:val="00064002"/>
    <w:rsid w:val="000677B9"/>
    <w:rsid w:val="000831BA"/>
    <w:rsid w:val="000A42CC"/>
    <w:rsid w:val="000B3D3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4F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322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7735"/>
    <w:rsid w:val="00747932"/>
    <w:rsid w:val="00751A4A"/>
    <w:rsid w:val="00756632"/>
    <w:rsid w:val="00762C74"/>
    <w:rsid w:val="00786EC0"/>
    <w:rsid w:val="007A64C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D00"/>
    <w:rsid w:val="00A778C7"/>
    <w:rsid w:val="00A81BF0"/>
    <w:rsid w:val="00AB441E"/>
    <w:rsid w:val="00AB6293"/>
    <w:rsid w:val="00AE0928"/>
    <w:rsid w:val="00AF3B82"/>
    <w:rsid w:val="00B12E95"/>
    <w:rsid w:val="00B22876"/>
    <w:rsid w:val="00B558F0"/>
    <w:rsid w:val="00BB38EE"/>
    <w:rsid w:val="00BD48FE"/>
    <w:rsid w:val="00BD7BD8"/>
    <w:rsid w:val="00BE6ADC"/>
    <w:rsid w:val="00C0355B"/>
    <w:rsid w:val="00C05BFE"/>
    <w:rsid w:val="00C23CD4"/>
    <w:rsid w:val="00C2512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2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3A653"/>
  <w15:chartTrackingRefBased/>
  <w15:docId w15:val="{4D30141A-8D61-478D-B3A5-D66249E2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E74F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E74F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E74F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E74F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E74F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E74F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3E74F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3E74F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3E74F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3E74F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E74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E74F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E74F9"/>
    <w:pPr>
      <w:spacing w:after="120"/>
    </w:pPr>
  </w:style>
  <w:style w:type="paragraph" w:customStyle="1" w:styleId="PageHeading">
    <w:name w:val="PageHeading"/>
    <w:basedOn w:val="Normal"/>
    <w:rsid w:val="003E74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E74F9"/>
    <w:rPr>
      <w:b/>
    </w:rPr>
  </w:style>
  <w:style w:type="paragraph" w:customStyle="1" w:styleId="NormalBold12a">
    <w:name w:val="NormalBold12a"/>
    <w:basedOn w:val="Normal"/>
    <w:rsid w:val="003E74F9"/>
    <w:pPr>
      <w:spacing w:after="240"/>
    </w:pPr>
    <w:rPr>
      <w:b/>
    </w:rPr>
  </w:style>
  <w:style w:type="paragraph" w:customStyle="1" w:styleId="AmJustText">
    <w:name w:val="AmJustText"/>
    <w:basedOn w:val="Normal"/>
    <w:rsid w:val="003E74F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E74F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E74F9"/>
    <w:pPr>
      <w:spacing w:after="480"/>
      <w:ind w:left="1417"/>
    </w:pPr>
  </w:style>
  <w:style w:type="paragraph" w:customStyle="1" w:styleId="CoverNormal">
    <w:name w:val="CoverNormal"/>
    <w:basedOn w:val="Normal"/>
    <w:rsid w:val="003E74F9"/>
    <w:pPr>
      <w:ind w:left="1418"/>
    </w:pPr>
  </w:style>
  <w:style w:type="paragraph" w:customStyle="1" w:styleId="AmCrossRef">
    <w:name w:val="AmCrossRef"/>
    <w:basedOn w:val="Normal"/>
    <w:rsid w:val="003E74F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E74F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E74F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E74F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E74F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E74F9"/>
    <w:pPr>
      <w:spacing w:before="240" w:after="1200"/>
    </w:pPr>
  </w:style>
  <w:style w:type="paragraph" w:styleId="Header">
    <w:name w:val="header"/>
    <w:basedOn w:val="Normal"/>
    <w:link w:val="HeaderChar"/>
    <w:rsid w:val="003E74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E74F9"/>
    <w:rPr>
      <w:sz w:val="24"/>
      <w:lang w:val="bg-BG"/>
    </w:rPr>
  </w:style>
  <w:style w:type="paragraph" w:customStyle="1" w:styleId="AmOrLang">
    <w:name w:val="AmOrLang"/>
    <w:basedOn w:val="Normal"/>
    <w:rsid w:val="003E74F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E74F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E74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E74F9"/>
    <w:pPr>
      <w:spacing w:before="240"/>
    </w:pPr>
    <w:rPr>
      <w:b/>
    </w:rPr>
  </w:style>
  <w:style w:type="paragraph" w:customStyle="1" w:styleId="EPBody">
    <w:name w:val="EPBody"/>
    <w:basedOn w:val="Normal"/>
    <w:rsid w:val="003E74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E74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E74F9"/>
    <w:pPr>
      <w:spacing w:before="480" w:after="240"/>
    </w:pPr>
  </w:style>
  <w:style w:type="paragraph" w:customStyle="1" w:styleId="Lgendesigne">
    <w:name w:val="Légende signe"/>
    <w:basedOn w:val="Normal"/>
    <w:rsid w:val="003E74F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E74F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E74F9"/>
    <w:rPr>
      <w:sz w:val="18"/>
    </w:rPr>
  </w:style>
  <w:style w:type="paragraph" w:customStyle="1" w:styleId="Normal6">
    <w:name w:val="Normal6"/>
    <w:basedOn w:val="Normal"/>
    <w:link w:val="Normal6Char"/>
    <w:rsid w:val="003E74F9"/>
    <w:pPr>
      <w:spacing w:after="120"/>
    </w:pPr>
  </w:style>
  <w:style w:type="paragraph" w:customStyle="1" w:styleId="Normal12Italic">
    <w:name w:val="Normal12Italic"/>
    <w:basedOn w:val="Normal"/>
    <w:rsid w:val="003E74F9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3E74F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3E74F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3E74F9"/>
    <w:rPr>
      <w:color w:val="0000FF"/>
      <w:u w:val="single"/>
    </w:rPr>
  </w:style>
  <w:style w:type="character" w:customStyle="1" w:styleId="super">
    <w:name w:val="super"/>
    <w:basedOn w:val="DefaultParagraphFont"/>
    <w:rsid w:val="003E74F9"/>
  </w:style>
  <w:style w:type="character" w:styleId="CommentReference">
    <w:name w:val="annotation reference"/>
    <w:basedOn w:val="DefaultParagraphFont"/>
    <w:uiPriority w:val="99"/>
    <w:unhideWhenUsed/>
    <w:rsid w:val="003E74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4F9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74F9"/>
    <w:rPr>
      <w:rFonts w:eastAsiaTheme="minorHAnsi"/>
      <w:lang w:val="bg-BG" w:eastAsia="en-US"/>
    </w:rPr>
  </w:style>
  <w:style w:type="paragraph" w:styleId="BalloonText">
    <w:name w:val="Balloon Text"/>
    <w:basedOn w:val="Normal"/>
    <w:link w:val="BalloonTextChar"/>
    <w:unhideWhenUsed/>
    <w:rsid w:val="003E74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74F9"/>
    <w:rPr>
      <w:rFonts w:ascii="Segoe UI" w:hAnsi="Segoe UI" w:cs="Segoe UI"/>
      <w:sz w:val="18"/>
      <w:szCs w:val="18"/>
      <w:lang w:val="bg-BG"/>
    </w:rPr>
  </w:style>
  <w:style w:type="paragraph" w:styleId="ListBullet2">
    <w:name w:val="List Bullet 2"/>
    <w:basedOn w:val="Normal"/>
    <w:uiPriority w:val="99"/>
    <w:unhideWhenUsed/>
    <w:rsid w:val="003E74F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3E74F9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3E74F9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3E74F9"/>
  </w:style>
  <w:style w:type="paragraph" w:customStyle="1" w:styleId="title-gr-seq-level-2">
    <w:name w:val="title-gr-seq-level-2"/>
    <w:basedOn w:val="Normal"/>
    <w:rsid w:val="003E74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3E74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E74F9"/>
    <w:rPr>
      <w:sz w:val="24"/>
      <w:lang w:val="bg-BG"/>
    </w:rPr>
  </w:style>
  <w:style w:type="character" w:customStyle="1" w:styleId="NormalBoldChar">
    <w:name w:val="NormalBold Char"/>
    <w:basedOn w:val="DefaultParagraphFont"/>
    <w:link w:val="NormalBold"/>
    <w:rsid w:val="003E74F9"/>
    <w:rPr>
      <w:b/>
      <w:sz w:val="24"/>
      <w:lang w:val="bg-BG"/>
    </w:rPr>
  </w:style>
  <w:style w:type="paragraph" w:customStyle="1" w:styleId="JustificationTitle">
    <w:name w:val="JustificationTitle"/>
    <w:basedOn w:val="Normal"/>
    <w:next w:val="Normal"/>
    <w:rsid w:val="003E74F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3E74F9"/>
    <w:rPr>
      <w:sz w:val="24"/>
      <w:lang w:val="bg-BG"/>
    </w:rPr>
  </w:style>
  <w:style w:type="paragraph" w:customStyle="1" w:styleId="ColumnHeading">
    <w:name w:val="ColumnHeading"/>
    <w:basedOn w:val="Normal"/>
    <w:rsid w:val="003E74F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E74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E74F9"/>
    <w:pPr>
      <w:spacing w:before="240"/>
      <w:jc w:val="center"/>
    </w:pPr>
    <w:rPr>
      <w:i/>
    </w:rPr>
  </w:style>
  <w:style w:type="paragraph" w:customStyle="1" w:styleId="Olang">
    <w:name w:val="Olang"/>
    <w:rsid w:val="003E74F9"/>
    <w:pPr>
      <w:jc w:val="right"/>
    </w:pPr>
    <w:rPr>
      <w:lang w:val="bg-BG"/>
    </w:rPr>
  </w:style>
  <w:style w:type="character" w:customStyle="1" w:styleId="Footer2Middle">
    <w:name w:val="Footer2Middle"/>
    <w:rsid w:val="003E74F9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3E74F9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E74F9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3E74F9"/>
    <w:rPr>
      <w:rFonts w:eastAsiaTheme="minorHAnsi"/>
      <w:b/>
      <w:bCs/>
      <w:lang w:val="bg-BG" w:eastAsia="en-US"/>
    </w:rPr>
  </w:style>
  <w:style w:type="paragraph" w:customStyle="1" w:styleId="Normal12a">
    <w:name w:val="Normal12a"/>
    <w:basedOn w:val="Normal"/>
    <w:rsid w:val="003E74F9"/>
    <w:pPr>
      <w:spacing w:after="240"/>
    </w:pPr>
  </w:style>
  <w:style w:type="paragraph" w:customStyle="1" w:styleId="RollCallVotes">
    <w:name w:val="RollCallVotes"/>
    <w:basedOn w:val="Normal"/>
    <w:rsid w:val="003E74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E74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E74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E74F9"/>
    <w:pPr>
      <w:spacing w:before="120" w:after="120"/>
    </w:pPr>
    <w:rPr>
      <w:snapToGrid w:val="0"/>
      <w:sz w:val="16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B3D3B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F10CF-946E-4328-8D86-ACABB8E0A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2024-04-15T08:15:00Z</dcterms:created>
  <dcterms:modified xsi:type="dcterms:W3CDTF">2024-04-15T08:15:00Z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