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3D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3D78" w:rsidRDefault="00A952B9" w:rsidP="0010095E">
            <w:pPr>
              <w:pStyle w:val="EPName"/>
            </w:pPr>
            <w:r w:rsidRPr="00103D78">
              <w:t>Parlamento Europeo</w:t>
            </w:r>
          </w:p>
          <w:p w:rsidR="00751A4A" w:rsidRPr="00103D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7239">
              <w:t>2019</w:t>
            </w:r>
            <w:r w:rsidRPr="00103D78">
              <w:t>-</w:t>
            </w:r>
            <w:r w:rsidRPr="005F723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03D78" w:rsidRDefault="00187494" w:rsidP="0010095E">
            <w:pPr>
              <w:pStyle w:val="EPLogo"/>
            </w:pPr>
            <w:r w:rsidRPr="00103D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3D78" w:rsidRDefault="00D058B8" w:rsidP="004C5D52">
      <w:pPr>
        <w:pStyle w:val="LineTop"/>
      </w:pPr>
    </w:p>
    <w:p w:rsidR="00680577" w:rsidRPr="00103D78" w:rsidRDefault="00A952B9" w:rsidP="00680577">
      <w:pPr>
        <w:pStyle w:val="EPBodyTA1"/>
      </w:pPr>
      <w:r w:rsidRPr="00103D78">
        <w:t>TEXTOS APROBADOS</w:t>
      </w:r>
    </w:p>
    <w:p w:rsidR="00D058B8" w:rsidRPr="00103D78" w:rsidRDefault="00D058B8" w:rsidP="00D058B8">
      <w:pPr>
        <w:pStyle w:val="LineBottom"/>
      </w:pPr>
    </w:p>
    <w:p w:rsidR="00A952B9" w:rsidRPr="00103D78" w:rsidRDefault="00A952B9" w:rsidP="00A952B9">
      <w:pPr>
        <w:pStyle w:val="ATHeading1"/>
      </w:pPr>
      <w:bookmarkStart w:id="0" w:name="TANumber"/>
      <w:r w:rsidRPr="00103D78">
        <w:t>P</w:t>
      </w:r>
      <w:r w:rsidRPr="005F7239">
        <w:t>9</w:t>
      </w:r>
      <w:r w:rsidRPr="00103D78">
        <w:t>_</w:t>
      </w:r>
      <w:proofErr w:type="gramStart"/>
      <w:r w:rsidRPr="00103D78">
        <w:t>TA(</w:t>
      </w:r>
      <w:proofErr w:type="gramEnd"/>
      <w:r w:rsidRPr="005F7239">
        <w:t>2024</w:t>
      </w:r>
      <w:r w:rsidRPr="00103D78">
        <w:t>)</w:t>
      </w:r>
      <w:bookmarkEnd w:id="0"/>
      <w:r w:rsidR="00FD3CBD" w:rsidRPr="005F7239">
        <w:t>0066</w:t>
      </w:r>
    </w:p>
    <w:p w:rsidR="00A952B9" w:rsidRPr="00103D78" w:rsidRDefault="00A952B9" w:rsidP="00A952B9">
      <w:pPr>
        <w:pStyle w:val="ATHeading2"/>
      </w:pPr>
      <w:bookmarkStart w:id="1" w:name="title"/>
      <w:r w:rsidRPr="00103D78">
        <w:t>Valores límite para el plomo y sus compuestos inorgánicos y los diisocianatos</w:t>
      </w:r>
      <w:bookmarkEnd w:id="1"/>
    </w:p>
    <w:p w:rsidR="00A952B9" w:rsidRPr="00103D78" w:rsidRDefault="00A952B9" w:rsidP="00A952B9">
      <w:pPr>
        <w:rPr>
          <w:i/>
          <w:vanish/>
        </w:rPr>
      </w:pPr>
      <w:r w:rsidRPr="00103D78">
        <w:rPr>
          <w:i/>
        </w:rPr>
        <w:fldChar w:fldCharType="begin"/>
      </w:r>
      <w:r w:rsidRPr="00103D78">
        <w:rPr>
          <w:i/>
        </w:rPr>
        <w:instrText xml:space="preserve"> TC"(</w:instrText>
      </w:r>
      <w:bookmarkStart w:id="2" w:name="DocNumber"/>
      <w:r w:rsidRPr="00103D78">
        <w:rPr>
          <w:i/>
        </w:rPr>
        <w:instrText>A</w:instrText>
      </w:r>
      <w:r w:rsidRPr="005F7239">
        <w:rPr>
          <w:i/>
        </w:rPr>
        <w:instrText>9</w:instrText>
      </w:r>
      <w:r w:rsidRPr="00103D78">
        <w:rPr>
          <w:i/>
        </w:rPr>
        <w:instrText>-</w:instrText>
      </w:r>
      <w:r w:rsidRPr="005F7239">
        <w:rPr>
          <w:i/>
        </w:rPr>
        <w:instrText>0263</w:instrText>
      </w:r>
      <w:r w:rsidRPr="00103D78">
        <w:rPr>
          <w:i/>
        </w:rPr>
        <w:instrText>/</w:instrText>
      </w:r>
      <w:r w:rsidRPr="005F7239">
        <w:rPr>
          <w:i/>
        </w:rPr>
        <w:instrText>2023</w:instrText>
      </w:r>
      <w:bookmarkEnd w:id="2"/>
      <w:r w:rsidRPr="00103D78">
        <w:rPr>
          <w:i/>
        </w:rPr>
        <w:instrText xml:space="preserve"> - Ponente: Nikolaj Villumsen)"\l</w:instrText>
      </w:r>
      <w:r w:rsidRPr="005F7239">
        <w:rPr>
          <w:i/>
        </w:rPr>
        <w:instrText>3</w:instrText>
      </w:r>
      <w:r w:rsidRPr="00103D78">
        <w:rPr>
          <w:i/>
        </w:rPr>
        <w:instrText xml:space="preserve"> \n&gt; \* MERGEFORMAT </w:instrText>
      </w:r>
      <w:r w:rsidRPr="00103D78">
        <w:rPr>
          <w:i/>
        </w:rPr>
        <w:fldChar w:fldCharType="end"/>
      </w:r>
    </w:p>
    <w:p w:rsidR="00A952B9" w:rsidRPr="00103D78" w:rsidRDefault="00A952B9" w:rsidP="00A952B9">
      <w:pPr>
        <w:rPr>
          <w:vanish/>
        </w:rPr>
      </w:pPr>
      <w:bookmarkStart w:id="3" w:name="Commission"/>
      <w:r w:rsidRPr="00103D78">
        <w:rPr>
          <w:vanish/>
        </w:rPr>
        <w:t>Comisión de Empleo y Asuntos Sociales</w:t>
      </w:r>
      <w:bookmarkEnd w:id="3"/>
    </w:p>
    <w:p w:rsidR="00A952B9" w:rsidRPr="00103D78" w:rsidRDefault="00A952B9" w:rsidP="00A952B9">
      <w:pPr>
        <w:rPr>
          <w:vanish/>
        </w:rPr>
      </w:pPr>
      <w:bookmarkStart w:id="4" w:name="PE"/>
      <w:r w:rsidRPr="00103D78">
        <w:rPr>
          <w:vanish/>
        </w:rPr>
        <w:t>PE</w:t>
      </w:r>
      <w:r w:rsidRPr="005F7239">
        <w:rPr>
          <w:vanish/>
        </w:rPr>
        <w:t>746</w:t>
      </w:r>
      <w:r w:rsidRPr="00103D78">
        <w:rPr>
          <w:vanish/>
        </w:rPr>
        <w:t>.</w:t>
      </w:r>
      <w:r w:rsidRPr="005F7239">
        <w:rPr>
          <w:vanish/>
        </w:rPr>
        <w:t>964</w:t>
      </w:r>
      <w:bookmarkEnd w:id="4"/>
    </w:p>
    <w:p w:rsidR="00A952B9" w:rsidRPr="00103D78" w:rsidRDefault="00A952B9" w:rsidP="00A952B9">
      <w:pPr>
        <w:pStyle w:val="ATHeading3"/>
      </w:pPr>
      <w:bookmarkStart w:id="5" w:name="Sujet"/>
      <w:r w:rsidRPr="00103D78">
        <w:t xml:space="preserve">Resolución legislativa del Parlamento Europeo, de </w:t>
      </w:r>
      <w:r w:rsidRPr="005F7239">
        <w:t>7</w:t>
      </w:r>
      <w:r w:rsidRPr="00103D78">
        <w:t xml:space="preserve"> de febrero de </w:t>
      </w:r>
      <w:r w:rsidRPr="005F7239">
        <w:t>2024</w:t>
      </w:r>
      <w:r w:rsidRPr="00103D78">
        <w:t xml:space="preserve">, sobre la propuesta de Directiva del Parlamento Europeo y del Consejo por la que se modifican la Directiva </w:t>
      </w:r>
      <w:r w:rsidRPr="005F7239">
        <w:t>98</w:t>
      </w:r>
      <w:r w:rsidRPr="00103D78">
        <w:t>/</w:t>
      </w:r>
      <w:r w:rsidRPr="005F7239">
        <w:t>24</w:t>
      </w:r>
      <w:r w:rsidRPr="00103D78">
        <w:t xml:space="preserve">/CE del Consejo y la Directiva </w:t>
      </w:r>
      <w:r w:rsidRPr="005F7239">
        <w:t>2004</w:t>
      </w:r>
      <w:r w:rsidRPr="00103D78">
        <w:t>/</w:t>
      </w:r>
      <w:r w:rsidRPr="005F7239">
        <w:t>37</w:t>
      </w:r>
      <w:r w:rsidRPr="00103D78">
        <w:t>/CE del Parlamento Europeo y del Consejo en lo que respecta a los valores límite para el plomo y sus compuestos inorgánicos y los diisocianatos</w:t>
      </w:r>
      <w:bookmarkEnd w:id="5"/>
      <w:r w:rsidRPr="00103D78">
        <w:t xml:space="preserve"> </w:t>
      </w:r>
      <w:bookmarkStart w:id="6" w:name="References"/>
      <w:r w:rsidRPr="00103D78">
        <w:t>(</w:t>
      </w:r>
      <w:proofErr w:type="gramStart"/>
      <w:r w:rsidRPr="00103D78">
        <w:t>COM(</w:t>
      </w:r>
      <w:proofErr w:type="gramEnd"/>
      <w:r w:rsidRPr="005F7239">
        <w:t>2023</w:t>
      </w:r>
      <w:r w:rsidRPr="00103D78">
        <w:t>)</w:t>
      </w:r>
      <w:r w:rsidRPr="005F7239">
        <w:t>0071</w:t>
      </w:r>
      <w:r w:rsidRPr="00103D78">
        <w:t xml:space="preserve"> – C</w:t>
      </w:r>
      <w:r w:rsidRPr="005F7239">
        <w:t>9</w:t>
      </w:r>
      <w:r w:rsidRPr="00103D78">
        <w:t>-</w:t>
      </w:r>
      <w:r w:rsidRPr="005F7239">
        <w:t>0022</w:t>
      </w:r>
      <w:r w:rsidRPr="00103D78">
        <w:t>/</w:t>
      </w:r>
      <w:r w:rsidRPr="005F7239">
        <w:t>2023</w:t>
      </w:r>
      <w:r w:rsidRPr="00103D78">
        <w:t xml:space="preserve"> – </w:t>
      </w:r>
      <w:r w:rsidRPr="005F7239">
        <w:t>2023</w:t>
      </w:r>
      <w:r w:rsidRPr="00103D78">
        <w:t>/</w:t>
      </w:r>
      <w:r w:rsidRPr="005F7239">
        <w:t>0033</w:t>
      </w:r>
      <w:r w:rsidRPr="00103D78">
        <w:t>(COD))</w:t>
      </w:r>
      <w:bookmarkEnd w:id="6"/>
    </w:p>
    <w:p w:rsidR="00A952B9" w:rsidRPr="00103D78" w:rsidRDefault="00A952B9" w:rsidP="00A952B9"/>
    <w:p w:rsidR="002D55CE" w:rsidRPr="00103D78" w:rsidRDefault="002D55CE" w:rsidP="002D55CE">
      <w:pPr>
        <w:pStyle w:val="NormalBold"/>
      </w:pPr>
      <w:bookmarkStart w:id="7" w:name="TextBodyBegin"/>
      <w:bookmarkEnd w:id="7"/>
      <w:r w:rsidRPr="00103D78">
        <w:t>(Procedimiento legislativo ordinario: primera lectura)</w:t>
      </w:r>
    </w:p>
    <w:p w:rsidR="002D55CE" w:rsidRPr="00103D78" w:rsidRDefault="002D55CE" w:rsidP="002D55CE">
      <w:pPr>
        <w:pStyle w:val="EPComma"/>
      </w:pPr>
      <w:r w:rsidRPr="00103D78">
        <w:rPr>
          <w:i/>
        </w:rPr>
        <w:t>El Parlamento Europeo</w:t>
      </w:r>
      <w:r w:rsidRPr="00103D78">
        <w:t>,</w:t>
      </w:r>
    </w:p>
    <w:p w:rsidR="002D55CE" w:rsidRPr="00103D78" w:rsidRDefault="002D55CE" w:rsidP="002D55CE">
      <w:pPr>
        <w:pStyle w:val="NormalHanging12a"/>
      </w:pPr>
      <w:r w:rsidRPr="00103D78">
        <w:t>–</w:t>
      </w:r>
      <w:r w:rsidRPr="00103D78">
        <w:tab/>
        <w:t>Vista la propuesta de la Comisión al Parlamento Europeo y al Consejo (</w:t>
      </w:r>
      <w:proofErr w:type="gramStart"/>
      <w:r w:rsidRPr="00103D78">
        <w:t>COM(</w:t>
      </w:r>
      <w:proofErr w:type="gramEnd"/>
      <w:r w:rsidRPr="005F7239">
        <w:t>2023</w:t>
      </w:r>
      <w:r w:rsidRPr="00103D78">
        <w:t>)</w:t>
      </w:r>
      <w:r w:rsidRPr="005F7239">
        <w:t>0071</w:t>
      </w:r>
      <w:r w:rsidRPr="00103D78">
        <w:t>),</w:t>
      </w:r>
    </w:p>
    <w:p w:rsidR="002D55CE" w:rsidRPr="00103D78" w:rsidRDefault="002D55CE" w:rsidP="002D55CE">
      <w:pPr>
        <w:pStyle w:val="NormalHanging12a"/>
      </w:pPr>
      <w:r w:rsidRPr="00103D78">
        <w:t>–</w:t>
      </w:r>
      <w:r w:rsidRPr="00103D78">
        <w:tab/>
        <w:t>Vistos el artículo </w:t>
      </w:r>
      <w:r w:rsidRPr="005F7239">
        <w:t>294</w:t>
      </w:r>
      <w:r w:rsidRPr="00103D78">
        <w:t>, apartado </w:t>
      </w:r>
      <w:r w:rsidRPr="005F7239">
        <w:t>2</w:t>
      </w:r>
      <w:r w:rsidRPr="00103D78">
        <w:t>, y el artículo </w:t>
      </w:r>
      <w:r w:rsidRPr="005F7239">
        <w:t>153</w:t>
      </w:r>
      <w:r w:rsidRPr="00103D78">
        <w:t>, apartado </w:t>
      </w:r>
      <w:r w:rsidRPr="005F7239">
        <w:t>2</w:t>
      </w:r>
      <w:r w:rsidRPr="00103D78">
        <w:t xml:space="preserve">, letra b), en relación con el apartado </w:t>
      </w:r>
      <w:r w:rsidRPr="005F7239">
        <w:t>1</w:t>
      </w:r>
      <w:r w:rsidRPr="00103D78">
        <w:t>, letra a), del Tratado de Funcionamiento de la Unión Europea, conforme a los cuales la Comisión le ha presentado su propuesta (C</w:t>
      </w:r>
      <w:r w:rsidRPr="005F7239">
        <w:t>9</w:t>
      </w:r>
      <w:r w:rsidRPr="00103D78">
        <w:noBreakHyphen/>
      </w:r>
      <w:r w:rsidRPr="005F7239">
        <w:t>0022</w:t>
      </w:r>
      <w:r w:rsidRPr="00103D78">
        <w:t>/</w:t>
      </w:r>
      <w:r w:rsidRPr="005F7239">
        <w:t>2023</w:t>
      </w:r>
      <w:r w:rsidRPr="00103D78">
        <w:t>),</w:t>
      </w:r>
    </w:p>
    <w:p w:rsidR="002D55CE" w:rsidRPr="00103D78" w:rsidRDefault="002D55CE" w:rsidP="002D55CE">
      <w:pPr>
        <w:pStyle w:val="NormalHanging12a"/>
      </w:pPr>
      <w:r w:rsidRPr="00103D78">
        <w:t>–</w:t>
      </w:r>
      <w:r w:rsidRPr="00103D78">
        <w:tab/>
        <w:t>Visto el artículo </w:t>
      </w:r>
      <w:r w:rsidRPr="005F7239">
        <w:t>294</w:t>
      </w:r>
      <w:r w:rsidRPr="00103D78">
        <w:t>, apartado </w:t>
      </w:r>
      <w:r w:rsidRPr="005F7239">
        <w:t>3</w:t>
      </w:r>
      <w:r w:rsidRPr="00103D78">
        <w:t>, del Tratado de Funcionamiento de la Unión Europea,</w:t>
      </w:r>
    </w:p>
    <w:p w:rsidR="002D55CE" w:rsidRPr="00103D78" w:rsidRDefault="002D55CE" w:rsidP="002D55CE">
      <w:pPr>
        <w:pStyle w:val="NormalHanging12a"/>
      </w:pPr>
      <w:r w:rsidRPr="00103D78">
        <w:t>–</w:t>
      </w:r>
      <w:r w:rsidRPr="00103D78">
        <w:tab/>
        <w:t xml:space="preserve">Visto el dictamen del Comité Económico y Social Europeo de </w:t>
      </w:r>
      <w:r w:rsidRPr="005F7239">
        <w:t>22</w:t>
      </w:r>
      <w:r w:rsidRPr="00103D78">
        <w:t> de marzo de </w:t>
      </w:r>
      <w:r w:rsidRPr="005F7239">
        <w:t>2023</w:t>
      </w:r>
      <w:r w:rsidRPr="00103D78">
        <w:rPr>
          <w:vertAlign w:val="superscript"/>
        </w:rPr>
        <w:footnoteReference w:id="1"/>
      </w:r>
      <w:r w:rsidRPr="00103D78">
        <w:t>,</w:t>
      </w:r>
    </w:p>
    <w:p w:rsidR="00601F7E" w:rsidRPr="00103D78" w:rsidRDefault="00601F7E" w:rsidP="002D55CE">
      <w:pPr>
        <w:pStyle w:val="NormalHanging12a"/>
      </w:pPr>
      <w:r w:rsidRPr="00103D78">
        <w:t>–</w:t>
      </w:r>
      <w:r w:rsidRPr="00103D78">
        <w:tab/>
        <w:t>Previa consulta al Comité de las Regiones,</w:t>
      </w:r>
    </w:p>
    <w:p w:rsidR="00601F7E" w:rsidRPr="00103D78" w:rsidRDefault="00601F7E" w:rsidP="002D55CE">
      <w:pPr>
        <w:pStyle w:val="NormalHanging12a"/>
      </w:pPr>
      <w:r w:rsidRPr="00103D78">
        <w:t>–</w:t>
      </w:r>
      <w:r w:rsidRPr="00103D78">
        <w:tab/>
        <w:t xml:space="preserve">Vistos el acuerdo provisional aprobado por la comisión competente con arreglo al artículo </w:t>
      </w:r>
      <w:r w:rsidRPr="005F7239">
        <w:t>74</w:t>
      </w:r>
      <w:r w:rsidRPr="00103D78">
        <w:t xml:space="preserve">, apartado </w:t>
      </w:r>
      <w:r w:rsidRPr="005F7239">
        <w:t>4</w:t>
      </w:r>
      <w:r w:rsidRPr="00103D78">
        <w:t xml:space="preserve">, de su Reglamento interno y el compromiso asumido por el representante del Consejo, mediante carta de </w:t>
      </w:r>
      <w:r w:rsidRPr="005F7239">
        <w:t>6</w:t>
      </w:r>
      <w:r w:rsidRPr="00103D78">
        <w:t xml:space="preserve"> de diciembre de </w:t>
      </w:r>
      <w:r w:rsidRPr="005F7239">
        <w:t>2023</w:t>
      </w:r>
      <w:r w:rsidRPr="00103D78">
        <w:t xml:space="preserve">, de aprobar la Posición del Parlamento Europeo, de conformidad con el artículo </w:t>
      </w:r>
      <w:r w:rsidRPr="005F7239">
        <w:t>294</w:t>
      </w:r>
      <w:r w:rsidRPr="00103D78">
        <w:t xml:space="preserve">, apartado </w:t>
      </w:r>
      <w:r w:rsidRPr="005F7239">
        <w:t>4</w:t>
      </w:r>
      <w:r w:rsidRPr="00103D78">
        <w:t>, del Tratado de Funcionamiento de la Unión Europea</w:t>
      </w:r>
      <w:r w:rsidR="00114C4A" w:rsidRPr="00103D78">
        <w:t>,</w:t>
      </w:r>
    </w:p>
    <w:p w:rsidR="002D55CE" w:rsidRPr="00103D78" w:rsidRDefault="002D55CE" w:rsidP="002D55CE">
      <w:pPr>
        <w:pStyle w:val="NormalHanging12a"/>
      </w:pPr>
      <w:r w:rsidRPr="00103D78">
        <w:t>–</w:t>
      </w:r>
      <w:r w:rsidRPr="00103D78">
        <w:tab/>
        <w:t>Visto el artículo </w:t>
      </w:r>
      <w:r w:rsidRPr="005F7239">
        <w:t>59</w:t>
      </w:r>
      <w:r w:rsidRPr="00103D78">
        <w:t xml:space="preserve"> de su Reglamento interno,</w:t>
      </w:r>
    </w:p>
    <w:p w:rsidR="002D55CE" w:rsidRPr="00103D78" w:rsidRDefault="002D55CE" w:rsidP="002D55CE">
      <w:pPr>
        <w:pStyle w:val="NormalHanging12a"/>
      </w:pPr>
      <w:r w:rsidRPr="00103D78">
        <w:lastRenderedPageBreak/>
        <w:t>–</w:t>
      </w:r>
      <w:r w:rsidRPr="00103D78">
        <w:tab/>
        <w:t>Visto el informe de la Comisión de Empleo y Asuntos Sociales (A</w:t>
      </w:r>
      <w:r w:rsidRPr="005F7239">
        <w:t>9</w:t>
      </w:r>
      <w:r w:rsidRPr="00103D78">
        <w:t>-</w:t>
      </w:r>
      <w:r w:rsidRPr="005F7239">
        <w:t>0263</w:t>
      </w:r>
      <w:r w:rsidRPr="00103D78">
        <w:t>/</w:t>
      </w:r>
      <w:r w:rsidRPr="005F7239">
        <w:t>2023</w:t>
      </w:r>
      <w:r w:rsidRPr="00103D78">
        <w:t>),</w:t>
      </w:r>
    </w:p>
    <w:p w:rsidR="002D55CE" w:rsidRPr="00103D78" w:rsidRDefault="002D55CE" w:rsidP="002D55CE">
      <w:pPr>
        <w:pStyle w:val="NormalHanging12a"/>
      </w:pPr>
      <w:r w:rsidRPr="005F7239">
        <w:t>1</w:t>
      </w:r>
      <w:r w:rsidRPr="00103D78">
        <w:t>.</w:t>
      </w:r>
      <w:r w:rsidRPr="00103D78">
        <w:tab/>
        <w:t>Aprueba la Posición en primera lectura que figura a continuación;</w:t>
      </w:r>
    </w:p>
    <w:p w:rsidR="002D55CE" w:rsidRPr="00103D78" w:rsidRDefault="002D55CE" w:rsidP="002D55CE">
      <w:pPr>
        <w:pStyle w:val="NormalHanging12a"/>
      </w:pPr>
      <w:r w:rsidRPr="005F7239">
        <w:t>2</w:t>
      </w:r>
      <w:r w:rsidRPr="00103D78">
        <w:t>.</w:t>
      </w:r>
      <w:r w:rsidRPr="00103D78">
        <w:tab/>
        <w:t>Pide a la Comisión que le consulte de nuevo si sustituye su propuesta, la modifica sustancialmente o se propone modificarla sustancialmente;</w:t>
      </w:r>
    </w:p>
    <w:p w:rsidR="00767BA4" w:rsidRPr="00103D78" w:rsidRDefault="002D55CE" w:rsidP="002D55CE">
      <w:pPr>
        <w:pStyle w:val="NormalHanging12a"/>
        <w:sectPr w:rsidR="00767BA4" w:rsidRPr="00103D78" w:rsidSect="00BD13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F7239">
        <w:t>3</w:t>
      </w:r>
      <w:r w:rsidRPr="00103D78">
        <w:t>.</w:t>
      </w:r>
      <w:r w:rsidRPr="00103D78">
        <w:tab/>
        <w:t>Encarga a su presidenta que transmita la Posición del Parlamento al Consejo y a la Comisión, así como a los Parlamentos nacionales.</w:t>
      </w:r>
    </w:p>
    <w:p w:rsidR="00767BA4" w:rsidRPr="00103D78" w:rsidRDefault="00767BA4" w:rsidP="00767BA4">
      <w:pPr>
        <w:spacing w:after="240"/>
        <w:jc w:val="both"/>
        <w:rPr>
          <w:b/>
          <w:snapToGrid w:val="0"/>
        </w:rPr>
      </w:pPr>
      <w:bookmarkStart w:id="8" w:name="TextBodyEnd"/>
      <w:bookmarkEnd w:id="8"/>
      <w:r w:rsidRPr="00103D78">
        <w:rPr>
          <w:rFonts w:eastAsia="Calibri"/>
          <w:b/>
          <w:bCs/>
          <w:color w:val="000000"/>
          <w:szCs w:val="24"/>
          <w:lang w:val="es-ES"/>
        </w:rPr>
        <w:lastRenderedPageBreak/>
        <w:t>P</w:t>
      </w:r>
      <w:r w:rsidRPr="005F7239">
        <w:rPr>
          <w:rFonts w:eastAsia="Calibri"/>
          <w:b/>
          <w:bCs/>
          <w:color w:val="000000"/>
          <w:szCs w:val="24"/>
          <w:lang w:val="es-ES"/>
        </w:rPr>
        <w:t>9</w:t>
      </w:r>
      <w:r w:rsidRPr="00103D78">
        <w:rPr>
          <w:rFonts w:eastAsia="Calibri"/>
          <w:b/>
          <w:bCs/>
          <w:color w:val="000000"/>
          <w:szCs w:val="24"/>
          <w:lang w:val="es-ES"/>
        </w:rPr>
        <w:t>_TC</w:t>
      </w:r>
      <w:r w:rsidRPr="005F7239">
        <w:rPr>
          <w:rFonts w:eastAsia="Calibri"/>
          <w:b/>
          <w:bCs/>
          <w:color w:val="000000"/>
          <w:szCs w:val="24"/>
          <w:lang w:val="es-ES"/>
        </w:rPr>
        <w:t>1</w:t>
      </w:r>
      <w:r w:rsidRPr="00103D78">
        <w:rPr>
          <w:rFonts w:eastAsia="Calibri"/>
          <w:b/>
          <w:bCs/>
          <w:color w:val="000000"/>
          <w:szCs w:val="24"/>
          <w:lang w:val="es-ES"/>
        </w:rPr>
        <w:t>-</w:t>
      </w:r>
      <w:proofErr w:type="gramStart"/>
      <w:r w:rsidRPr="00103D78">
        <w:rPr>
          <w:rFonts w:eastAsia="Calibri"/>
          <w:b/>
          <w:bCs/>
          <w:color w:val="000000"/>
          <w:szCs w:val="24"/>
          <w:lang w:val="es-ES"/>
        </w:rPr>
        <w:t>COD(</w:t>
      </w:r>
      <w:proofErr w:type="gramEnd"/>
      <w:r w:rsidRPr="005F7239">
        <w:rPr>
          <w:rFonts w:eastAsia="Calibri"/>
          <w:b/>
          <w:bCs/>
          <w:color w:val="000000"/>
          <w:szCs w:val="24"/>
          <w:lang w:val="es-ES"/>
        </w:rPr>
        <w:t>20</w:t>
      </w:r>
      <w:r w:rsidRPr="005F7239">
        <w:rPr>
          <w:rFonts w:eastAsia="Calibri"/>
          <w:b/>
          <w:bCs/>
          <w:color w:val="000000"/>
          <w:szCs w:val="24"/>
        </w:rPr>
        <w:t>23</w:t>
      </w:r>
      <w:r w:rsidRPr="00103D78">
        <w:rPr>
          <w:rFonts w:eastAsia="Calibri"/>
          <w:b/>
          <w:bCs/>
          <w:color w:val="000000"/>
          <w:szCs w:val="24"/>
          <w:lang w:val="es-ES"/>
        </w:rPr>
        <w:t>)</w:t>
      </w:r>
      <w:r w:rsidRPr="005F7239">
        <w:rPr>
          <w:rFonts w:eastAsia="Calibri"/>
          <w:b/>
          <w:bCs/>
          <w:color w:val="000000"/>
          <w:szCs w:val="24"/>
          <w:lang w:val="es-ES"/>
        </w:rPr>
        <w:t>00</w:t>
      </w:r>
      <w:r w:rsidRPr="005F7239">
        <w:rPr>
          <w:rFonts w:eastAsia="Calibri"/>
          <w:b/>
          <w:bCs/>
          <w:color w:val="000000"/>
          <w:szCs w:val="24"/>
        </w:rPr>
        <w:t>33</w:t>
      </w:r>
    </w:p>
    <w:p w:rsidR="00767BA4" w:rsidRPr="00586493" w:rsidRDefault="00767BA4" w:rsidP="00767BA4">
      <w:pPr>
        <w:pStyle w:val="Titreobjet"/>
        <w:spacing w:line="240" w:lineRule="auto"/>
        <w:jc w:val="left"/>
      </w:pPr>
      <w:r w:rsidRPr="00103D78">
        <w:rPr>
          <w:szCs w:val="24"/>
        </w:rPr>
        <w:t xml:space="preserve">Posición del Parlamento Europeo aprobada en primera lectura el </w:t>
      </w:r>
      <w:r w:rsidRPr="005F7239">
        <w:rPr>
          <w:szCs w:val="24"/>
        </w:rPr>
        <w:t>7</w:t>
      </w:r>
      <w:r w:rsidRPr="00103D78">
        <w:rPr>
          <w:szCs w:val="24"/>
        </w:rPr>
        <w:t xml:space="preserve"> de febrero de </w:t>
      </w:r>
      <w:r w:rsidRPr="005F7239">
        <w:rPr>
          <w:szCs w:val="24"/>
        </w:rPr>
        <w:t>2024</w:t>
      </w:r>
      <w:r w:rsidRPr="00103D78">
        <w:rPr>
          <w:szCs w:val="24"/>
        </w:rPr>
        <w:t xml:space="preserve"> con vistas a la adopción de la Directiva (UE) </w:t>
      </w:r>
      <w:r w:rsidRPr="005F7239">
        <w:rPr>
          <w:szCs w:val="24"/>
        </w:rPr>
        <w:t>2024</w:t>
      </w:r>
      <w:r w:rsidRPr="00103D78">
        <w:rPr>
          <w:szCs w:val="24"/>
        </w:rPr>
        <w:t>/... del Parlamento Europeo y del Consejo</w:t>
      </w:r>
      <w:r w:rsidRPr="00103D78">
        <w:rPr>
          <w:b w:val="0"/>
          <w:szCs w:val="24"/>
        </w:rPr>
        <w:t xml:space="preserve"> </w:t>
      </w:r>
      <w:r w:rsidRPr="00103D78">
        <w:t>por la que se modifican la Directiva </w:t>
      </w:r>
      <w:r w:rsidRPr="005F7239">
        <w:t>2004</w:t>
      </w:r>
      <w:r w:rsidRPr="00103D78">
        <w:t>/</w:t>
      </w:r>
      <w:r w:rsidRPr="005F7239">
        <w:t>37</w:t>
      </w:r>
      <w:r w:rsidRPr="00103D78">
        <w:t>/CE del Parlamento Europeo y del Consejo, y la Directiva </w:t>
      </w:r>
      <w:r w:rsidRPr="005F7239">
        <w:t>98</w:t>
      </w:r>
      <w:r w:rsidRPr="00103D78">
        <w:t>/</w:t>
      </w:r>
      <w:r w:rsidRPr="005F7239">
        <w:t>24</w:t>
      </w:r>
      <w:r w:rsidRPr="00103D78">
        <w:t>/CE del Consejo, en lo que respecta a los valores límite para el plom</w:t>
      </w:r>
      <w:r w:rsidR="00586493">
        <w:t>o y sus compuestos inorgáni</w:t>
      </w:r>
      <w:r w:rsidR="00586493" w:rsidRPr="00586493">
        <w:t xml:space="preserve">cos </w:t>
      </w:r>
      <w:r w:rsidRPr="00586493">
        <w:t>y para los diisocianatos</w:t>
      </w:r>
    </w:p>
    <w:p w:rsidR="00586493" w:rsidRPr="00586493" w:rsidRDefault="00586493" w:rsidP="00586493">
      <w:pPr>
        <w:pStyle w:val="normal12hanging"/>
        <w:spacing w:before="240" w:beforeAutospacing="0" w:after="240" w:afterAutospacing="0"/>
        <w:ind w:firstLine="6"/>
        <w:rPr>
          <w:lang w:val="es-ES_tradnl" w:eastAsia="en-US"/>
        </w:rPr>
      </w:pPr>
      <w:r>
        <w:rPr>
          <w:i/>
          <w:lang w:val="es-ES_tradnl"/>
        </w:rPr>
        <w:t xml:space="preserve">(Dado que el Parlamento Europeo y el Consejo llegaron a un </w:t>
      </w:r>
      <w:bookmarkStart w:id="9" w:name="_GoBack"/>
      <w:bookmarkEnd w:id="9"/>
      <w:r>
        <w:rPr>
          <w:i/>
          <w:lang w:val="es-ES_tradnl"/>
        </w:rPr>
        <w:t>acuerdo, la posición del Parlamento coincide con el texto del acto legislativo definitivo, l</w:t>
      </w:r>
      <w:r w:rsidRPr="00586493">
        <w:rPr>
          <w:i/>
          <w:lang w:val="es-ES_tradnl"/>
        </w:rPr>
        <w:t>a Directiva (UE) 202</w:t>
      </w:r>
      <w:r w:rsidRPr="00586493">
        <w:rPr>
          <w:i/>
          <w:lang w:val="es-ES_tradnl"/>
        </w:rPr>
        <w:t>4</w:t>
      </w:r>
      <w:r w:rsidRPr="00586493">
        <w:rPr>
          <w:i/>
          <w:lang w:val="es-ES_tradnl"/>
        </w:rPr>
        <w:t>/</w:t>
      </w:r>
      <w:r w:rsidRPr="00586493">
        <w:rPr>
          <w:i/>
          <w:lang w:val="es-ES_tradnl"/>
        </w:rPr>
        <w:t>869</w:t>
      </w:r>
      <w:r w:rsidRPr="00586493">
        <w:rPr>
          <w:i/>
          <w:lang w:val="es-ES_tradnl"/>
        </w:rPr>
        <w:t>.)</w:t>
      </w:r>
    </w:p>
    <w:sectPr w:rsidR="00586493" w:rsidRPr="00586493" w:rsidSect="00586493">
      <w:footnotePr>
        <w:numRestart w:val="eachSect"/>
      </w:footnotePr>
      <w:pgSz w:w="11907" w:h="16840" w:code="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F7E" w:rsidRPr="00BD13C8" w:rsidRDefault="00601F7E">
      <w:r w:rsidRPr="00BD13C8">
        <w:separator/>
      </w:r>
    </w:p>
  </w:endnote>
  <w:endnote w:type="continuationSeparator" w:id="0">
    <w:p w:rsidR="00601F7E" w:rsidRPr="00BD13C8" w:rsidRDefault="00601F7E">
      <w:r w:rsidRPr="00BD13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7E" w:rsidRPr="00BD13C8" w:rsidRDefault="00601F7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7E" w:rsidRPr="00BD13C8" w:rsidRDefault="00601F7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7E" w:rsidRPr="00BD13C8" w:rsidRDefault="00601F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F7E" w:rsidRPr="00BD13C8" w:rsidRDefault="00601F7E">
      <w:r w:rsidRPr="00BD13C8">
        <w:separator/>
      </w:r>
    </w:p>
  </w:footnote>
  <w:footnote w:type="continuationSeparator" w:id="0">
    <w:p w:rsidR="00601F7E" w:rsidRPr="00BD13C8" w:rsidRDefault="00601F7E">
      <w:r w:rsidRPr="00BD13C8">
        <w:continuationSeparator/>
      </w:r>
    </w:p>
  </w:footnote>
  <w:footnote w:id="1">
    <w:p w:rsidR="00601F7E" w:rsidRPr="00767BA4" w:rsidRDefault="00601F7E" w:rsidP="00BD13C8">
      <w:pPr>
        <w:pStyle w:val="FootnoteText"/>
        <w:ind w:left="567" w:hanging="567"/>
        <w:rPr>
          <w:sz w:val="24"/>
          <w:szCs w:val="24"/>
          <w:lang w:val="es-ES_tradnl"/>
        </w:rPr>
      </w:pPr>
      <w:r w:rsidRPr="00767BA4">
        <w:rPr>
          <w:rStyle w:val="FootnoteReference"/>
          <w:sz w:val="24"/>
          <w:szCs w:val="24"/>
          <w:lang w:val="es-ES_tradnl"/>
        </w:rPr>
        <w:footnoteRef/>
      </w:r>
      <w:r w:rsidRPr="00767BA4">
        <w:rPr>
          <w:sz w:val="24"/>
          <w:szCs w:val="24"/>
          <w:lang w:val="es-ES_tradnl"/>
        </w:rPr>
        <w:t xml:space="preserve"> </w:t>
      </w:r>
      <w:r w:rsidRPr="00767BA4">
        <w:rPr>
          <w:sz w:val="24"/>
          <w:szCs w:val="24"/>
          <w:lang w:val="es-ES_tradnl"/>
        </w:rPr>
        <w:tab/>
        <w:t>Pendiente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7E" w:rsidRPr="00BD13C8" w:rsidRDefault="00601F7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7E" w:rsidRPr="00BD13C8" w:rsidRDefault="00601F7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7E" w:rsidRPr="00BD13C8" w:rsidRDefault="00601F7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7F4273"/>
    <w:multiLevelType w:val="singleLevel"/>
    <w:tmpl w:val="5C06B698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" w15:restartNumberingAfterBreak="0">
    <w:nsid w:val="22CA659A"/>
    <w:multiLevelType w:val="singleLevel"/>
    <w:tmpl w:val="59C6974C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" w15:restartNumberingAfterBreak="0">
    <w:nsid w:val="2D2D468B"/>
    <w:multiLevelType w:val="singleLevel"/>
    <w:tmpl w:val="970E6324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2DB37182"/>
    <w:multiLevelType w:val="singleLevel"/>
    <w:tmpl w:val="DEEEE4CE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5" w15:restartNumberingAfterBreak="0">
    <w:nsid w:val="394F5925"/>
    <w:multiLevelType w:val="singleLevel"/>
    <w:tmpl w:val="8454278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3DD66C9D"/>
    <w:multiLevelType w:val="singleLevel"/>
    <w:tmpl w:val="8738F506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8" w15:restartNumberingAfterBreak="0">
    <w:nsid w:val="3FC80B1B"/>
    <w:multiLevelType w:val="singleLevel"/>
    <w:tmpl w:val="E35E13EE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9" w15:restartNumberingAfterBreak="0">
    <w:nsid w:val="436E0A5D"/>
    <w:multiLevelType w:val="singleLevel"/>
    <w:tmpl w:val="9D78806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0" w15:restartNumberingAfterBreak="0">
    <w:nsid w:val="6E4E71E4"/>
    <w:multiLevelType w:val="singleLevel"/>
    <w:tmpl w:val="1608A9CC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1" w15:restartNumberingAfterBreak="0">
    <w:nsid w:val="79FA34D6"/>
    <w:multiLevelType w:val="singleLevel"/>
    <w:tmpl w:val="D70CA1AC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11"/>
  </w:num>
  <w:num w:numId="6">
    <w:abstractNumId w:val="2"/>
  </w:num>
  <w:num w:numId="7">
    <w:abstractNumId w:val="9"/>
  </w:num>
  <w:num w:numId="8">
    <w:abstractNumId w:val="5"/>
  </w:num>
  <w:num w:numId="9">
    <w:abstractNumId w:val="8"/>
  </w:num>
  <w:num w:numId="10">
    <w:abstractNumId w:val="10"/>
  </w:num>
  <w:num w:numId="11">
    <w:abstractNumId w:val="3"/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ES"/>
    <w:docVar w:name="dvnumam" w:val="0"/>
    <w:docVar w:name="dvpe" w:val="746.964"/>
    <w:docVar w:name="dvrapporteur" w:val="Ponente: "/>
    <w:docVar w:name="dvstar" w:val="***I"/>
    <w:docVar w:name="dvtitre" w:val="Resolución legislativa del Parlamento Europeo, de 7 de febrero de 2024, sobre la propuesta de Directiva del Parlamento Europeo y del Consejo por la que se modifican la Directiva 98/24/CE del Consejo y la Directiva 2004/37/CE del Parlamento Europeo y del Consejo en lo que respecta a los valores límite para el plomo y sus compuestos inorgánicos y los diisocianatos(COM(2023)0071 – C9-0022/2023 – 2023/0033(COD))"/>
  </w:docVars>
  <w:rsids>
    <w:rsidRoot w:val="00A952B9"/>
    <w:rsid w:val="00002272"/>
    <w:rsid w:val="00064002"/>
    <w:rsid w:val="000677B9"/>
    <w:rsid w:val="000831BA"/>
    <w:rsid w:val="000A42CC"/>
    <w:rsid w:val="000E7DD9"/>
    <w:rsid w:val="0010095E"/>
    <w:rsid w:val="00103D78"/>
    <w:rsid w:val="00114C4A"/>
    <w:rsid w:val="00125B37"/>
    <w:rsid w:val="00187494"/>
    <w:rsid w:val="001F32AE"/>
    <w:rsid w:val="002767FF"/>
    <w:rsid w:val="002B18FE"/>
    <w:rsid w:val="002B5493"/>
    <w:rsid w:val="002D55C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493"/>
    <w:rsid w:val="005C2568"/>
    <w:rsid w:val="005F7239"/>
    <w:rsid w:val="00601F7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BA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2B9"/>
    <w:rsid w:val="00AB441E"/>
    <w:rsid w:val="00AB6293"/>
    <w:rsid w:val="00AE0928"/>
    <w:rsid w:val="00AF3B82"/>
    <w:rsid w:val="00B12E95"/>
    <w:rsid w:val="00B22876"/>
    <w:rsid w:val="00B558F0"/>
    <w:rsid w:val="00BD13C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D2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C0BA3"/>
  <w15:chartTrackingRefBased/>
  <w15:docId w15:val="{853693C1-50ED-4774-B4D9-29A6DD0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D55C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2D55C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2D55C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2D55C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rsid w:val="002D55C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D55CE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2D55CE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2D55CE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2D55CE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nhideWhenUsed/>
    <w:qFormat/>
    <w:rsid w:val="002D55C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D55C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D55C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D55CE"/>
    <w:pPr>
      <w:spacing w:after="120"/>
    </w:pPr>
  </w:style>
  <w:style w:type="paragraph" w:customStyle="1" w:styleId="PageHeading">
    <w:name w:val="PageHeading"/>
    <w:basedOn w:val="Normal"/>
    <w:rsid w:val="002D55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D55CE"/>
    <w:rPr>
      <w:b/>
    </w:rPr>
  </w:style>
  <w:style w:type="paragraph" w:customStyle="1" w:styleId="NormalBold12a">
    <w:name w:val="NormalBold12a"/>
    <w:basedOn w:val="Normal"/>
    <w:rsid w:val="002D55CE"/>
    <w:pPr>
      <w:spacing w:after="240"/>
    </w:pPr>
    <w:rPr>
      <w:b/>
    </w:rPr>
  </w:style>
  <w:style w:type="paragraph" w:customStyle="1" w:styleId="AmJustText">
    <w:name w:val="AmJustText"/>
    <w:basedOn w:val="Normal"/>
    <w:rsid w:val="002D55C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D55C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D55CE"/>
    <w:pPr>
      <w:spacing w:after="480"/>
      <w:ind w:left="1417"/>
    </w:pPr>
  </w:style>
  <w:style w:type="paragraph" w:customStyle="1" w:styleId="CoverNormal">
    <w:name w:val="CoverNormal"/>
    <w:basedOn w:val="Normal"/>
    <w:rsid w:val="002D55CE"/>
    <w:pPr>
      <w:ind w:left="1418"/>
    </w:pPr>
  </w:style>
  <w:style w:type="paragraph" w:customStyle="1" w:styleId="AmCrossRef">
    <w:name w:val="AmCrossRef"/>
    <w:basedOn w:val="Normal"/>
    <w:rsid w:val="002D55C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D55C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D55C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D55C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D55C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D55C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D55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5CE"/>
    <w:rPr>
      <w:sz w:val="24"/>
      <w:lang w:val="es-ES_tradnl"/>
    </w:rPr>
  </w:style>
  <w:style w:type="paragraph" w:customStyle="1" w:styleId="AmOrLang">
    <w:name w:val="AmOrLang"/>
    <w:basedOn w:val="Normal"/>
    <w:rsid w:val="002D55C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D55C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D55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D55CE"/>
    <w:pPr>
      <w:spacing w:before="240"/>
    </w:pPr>
    <w:rPr>
      <w:b/>
    </w:rPr>
  </w:style>
  <w:style w:type="paragraph" w:customStyle="1" w:styleId="EPBody">
    <w:name w:val="EPBody"/>
    <w:basedOn w:val="Normal"/>
    <w:rsid w:val="002D55C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D55C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D55CE"/>
    <w:pPr>
      <w:spacing w:before="480" w:after="240"/>
    </w:pPr>
  </w:style>
  <w:style w:type="paragraph" w:customStyle="1" w:styleId="Lgendesigne">
    <w:name w:val="Légende signe"/>
    <w:basedOn w:val="Normal"/>
    <w:rsid w:val="002D55C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D55C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D55CE"/>
    <w:rPr>
      <w:sz w:val="18"/>
    </w:rPr>
  </w:style>
  <w:style w:type="paragraph" w:customStyle="1" w:styleId="Normal6">
    <w:name w:val="Normal6"/>
    <w:basedOn w:val="Normal"/>
    <w:link w:val="Normal6Char"/>
    <w:rsid w:val="002D55CE"/>
    <w:pPr>
      <w:spacing w:after="120"/>
    </w:pPr>
    <w:rPr>
      <w:lang w:val="es-ES"/>
    </w:rPr>
  </w:style>
  <w:style w:type="paragraph" w:customStyle="1" w:styleId="Normal12Italic">
    <w:name w:val="Normal12Italic"/>
    <w:basedOn w:val="Normal"/>
    <w:rsid w:val="002D55CE"/>
    <w:pPr>
      <w:spacing w:after="240"/>
    </w:pPr>
    <w:rPr>
      <w:i/>
      <w:noProof/>
      <w:lang w:val="es-ES"/>
    </w:rPr>
  </w:style>
  <w:style w:type="paragraph" w:customStyle="1" w:styleId="doc-ti">
    <w:name w:val="doc-ti"/>
    <w:basedOn w:val="Normal"/>
    <w:rsid w:val="002D55CE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2D55CE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2D55CE"/>
    <w:rPr>
      <w:color w:val="0000FF"/>
      <w:u w:val="single"/>
    </w:rPr>
  </w:style>
  <w:style w:type="character" w:customStyle="1" w:styleId="super">
    <w:name w:val="super"/>
    <w:basedOn w:val="DefaultParagraphFont"/>
    <w:rsid w:val="002D55CE"/>
  </w:style>
  <w:style w:type="character" w:styleId="CommentReference">
    <w:name w:val="annotation reference"/>
    <w:basedOn w:val="DefaultParagraphFont"/>
    <w:uiPriority w:val="99"/>
    <w:unhideWhenUsed/>
    <w:rsid w:val="002D55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55CE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55CE"/>
    <w:rPr>
      <w:rFonts w:eastAsiaTheme="minorHAnsi"/>
      <w:lang w:val="es-ES_tradnl" w:eastAsia="en-US"/>
    </w:rPr>
  </w:style>
  <w:style w:type="paragraph" w:styleId="BalloonText">
    <w:name w:val="Balloon Text"/>
    <w:basedOn w:val="Normal"/>
    <w:link w:val="BalloonTextChar"/>
    <w:unhideWhenUsed/>
    <w:rsid w:val="002D55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55CE"/>
    <w:rPr>
      <w:rFonts w:ascii="Segoe UI" w:hAnsi="Segoe UI" w:cs="Segoe UI"/>
      <w:sz w:val="18"/>
      <w:szCs w:val="18"/>
      <w:lang w:val="es-ES_tradnl"/>
    </w:rPr>
  </w:style>
  <w:style w:type="paragraph" w:styleId="ListBullet2">
    <w:name w:val="List Bullet 2"/>
    <w:basedOn w:val="Normal"/>
    <w:uiPriority w:val="99"/>
    <w:unhideWhenUsed/>
    <w:rsid w:val="002D55C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2D55CE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2D55CE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2D55CE"/>
  </w:style>
  <w:style w:type="paragraph" w:customStyle="1" w:styleId="title-gr-seq-level-2">
    <w:name w:val="title-gr-seq-level-2"/>
    <w:basedOn w:val="Normal"/>
    <w:rsid w:val="002D55C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2D55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5CE"/>
    <w:rPr>
      <w:sz w:val="24"/>
      <w:lang w:val="es-ES_tradnl"/>
    </w:rPr>
  </w:style>
  <w:style w:type="character" w:customStyle="1" w:styleId="NormalBoldChar">
    <w:name w:val="NormalBold Char"/>
    <w:basedOn w:val="DefaultParagraphFont"/>
    <w:link w:val="NormalBold"/>
    <w:rsid w:val="002D55CE"/>
    <w:rPr>
      <w:b/>
      <w:sz w:val="24"/>
      <w:lang w:val="es-ES_tradnl"/>
    </w:rPr>
  </w:style>
  <w:style w:type="paragraph" w:customStyle="1" w:styleId="JustificationTitle">
    <w:name w:val="JustificationTitle"/>
    <w:basedOn w:val="Normal"/>
    <w:next w:val="Normal"/>
    <w:rsid w:val="002D55CE"/>
    <w:pPr>
      <w:keepNext/>
      <w:spacing w:before="240" w:after="240"/>
      <w:jc w:val="center"/>
    </w:pPr>
    <w:rPr>
      <w:i/>
      <w:noProof/>
      <w:lang w:val="es-ES"/>
    </w:rPr>
  </w:style>
  <w:style w:type="character" w:customStyle="1" w:styleId="Normal6Char">
    <w:name w:val="Normal6 Char"/>
    <w:basedOn w:val="DefaultParagraphFont"/>
    <w:link w:val="Normal6"/>
    <w:rsid w:val="002D55CE"/>
    <w:rPr>
      <w:sz w:val="24"/>
      <w:lang w:val="es-ES"/>
    </w:rPr>
  </w:style>
  <w:style w:type="paragraph" w:customStyle="1" w:styleId="ColumnHeading">
    <w:name w:val="ColumnHeading"/>
    <w:basedOn w:val="Normal"/>
    <w:rsid w:val="002D55CE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2D55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2D55CE"/>
    <w:pPr>
      <w:spacing w:before="240"/>
      <w:jc w:val="center"/>
    </w:pPr>
    <w:rPr>
      <w:i/>
      <w:lang w:val="es-ES"/>
    </w:rPr>
  </w:style>
  <w:style w:type="paragraph" w:customStyle="1" w:styleId="Olang">
    <w:name w:val="Olang"/>
    <w:rsid w:val="002D55CE"/>
    <w:pPr>
      <w:jc w:val="right"/>
    </w:pPr>
    <w:rPr>
      <w:lang w:val="es-ES"/>
    </w:rPr>
  </w:style>
  <w:style w:type="character" w:customStyle="1" w:styleId="Footer2Middle">
    <w:name w:val="Footer2Middle"/>
    <w:rsid w:val="002D55CE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2D55CE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D55CE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D55CE"/>
    <w:rPr>
      <w:rFonts w:eastAsiaTheme="minorHAnsi"/>
      <w:b/>
      <w:bCs/>
      <w:lang w:val="es-ES_tradnl" w:eastAsia="en-US"/>
    </w:rPr>
  </w:style>
  <w:style w:type="paragraph" w:customStyle="1" w:styleId="Normal12a">
    <w:name w:val="Normal12a"/>
    <w:basedOn w:val="Normal"/>
    <w:rsid w:val="002D55CE"/>
    <w:pPr>
      <w:spacing w:after="240"/>
    </w:pPr>
  </w:style>
  <w:style w:type="paragraph" w:customStyle="1" w:styleId="RollCallVotes">
    <w:name w:val="RollCallVotes"/>
    <w:basedOn w:val="Normal"/>
    <w:rsid w:val="002D55C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D55C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D55C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D55CE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767BA4"/>
  </w:style>
  <w:style w:type="paragraph" w:customStyle="1" w:styleId="EntInstit">
    <w:name w:val="EntInstit"/>
    <w:basedOn w:val="Normal"/>
    <w:rsid w:val="00767BA4"/>
    <w:pPr>
      <w:jc w:val="right"/>
    </w:pPr>
    <w:rPr>
      <w:b/>
      <w:lang w:val="es-ES" w:eastAsia="fr-BE"/>
    </w:rPr>
  </w:style>
  <w:style w:type="paragraph" w:customStyle="1" w:styleId="EntRefer">
    <w:name w:val="EntRefer"/>
    <w:basedOn w:val="Normal"/>
    <w:rsid w:val="00767BA4"/>
    <w:rPr>
      <w:b/>
      <w:lang w:val="es-ES" w:eastAsia="fr-BE"/>
    </w:rPr>
  </w:style>
  <w:style w:type="paragraph" w:customStyle="1" w:styleId="Par-number10">
    <w:name w:val="Par-number 1)"/>
    <w:basedOn w:val="Normal"/>
    <w:next w:val="Normal"/>
    <w:rsid w:val="00767BA4"/>
    <w:pPr>
      <w:numPr>
        <w:numId w:val="9"/>
      </w:numPr>
      <w:spacing w:line="360" w:lineRule="auto"/>
    </w:pPr>
    <w:rPr>
      <w:lang w:val="es-ES" w:eastAsia="fr-BE"/>
    </w:rPr>
  </w:style>
  <w:style w:type="paragraph" w:customStyle="1" w:styleId="EntEmet">
    <w:name w:val="EntEmet"/>
    <w:basedOn w:val="Normal"/>
    <w:rsid w:val="00767BA4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val="es-ES" w:eastAsia="fr-BE"/>
    </w:rPr>
  </w:style>
  <w:style w:type="paragraph" w:customStyle="1" w:styleId="Par-bullet">
    <w:name w:val="Par-bullet"/>
    <w:basedOn w:val="Normal"/>
    <w:next w:val="Normal"/>
    <w:rsid w:val="00767BA4"/>
    <w:pPr>
      <w:numPr>
        <w:numId w:val="5"/>
      </w:numPr>
      <w:spacing w:line="360" w:lineRule="auto"/>
    </w:pPr>
    <w:rPr>
      <w:lang w:val="es-ES" w:eastAsia="fr-BE"/>
    </w:rPr>
  </w:style>
  <w:style w:type="paragraph" w:customStyle="1" w:styleId="Par-equal">
    <w:name w:val="Par-equal"/>
    <w:basedOn w:val="Normal"/>
    <w:next w:val="Normal"/>
    <w:rsid w:val="00767BA4"/>
    <w:pPr>
      <w:numPr>
        <w:numId w:val="7"/>
      </w:numPr>
      <w:spacing w:line="360" w:lineRule="auto"/>
    </w:pPr>
    <w:rPr>
      <w:lang w:val="es-ES" w:eastAsia="fr-BE"/>
    </w:rPr>
  </w:style>
  <w:style w:type="paragraph" w:customStyle="1" w:styleId="Par-number1">
    <w:name w:val="Par-number (1)"/>
    <w:basedOn w:val="Normal"/>
    <w:next w:val="Normal"/>
    <w:rsid w:val="00767BA4"/>
    <w:pPr>
      <w:numPr>
        <w:numId w:val="8"/>
      </w:numPr>
      <w:spacing w:line="360" w:lineRule="auto"/>
    </w:pPr>
    <w:rPr>
      <w:lang w:val="es-ES" w:eastAsia="fr-BE"/>
    </w:rPr>
  </w:style>
  <w:style w:type="paragraph" w:customStyle="1" w:styleId="Par-number11">
    <w:name w:val="Par-number 1."/>
    <w:basedOn w:val="Normal"/>
    <w:next w:val="Normal"/>
    <w:rsid w:val="00767BA4"/>
    <w:pPr>
      <w:numPr>
        <w:numId w:val="10"/>
      </w:numPr>
      <w:spacing w:line="360" w:lineRule="auto"/>
    </w:pPr>
    <w:rPr>
      <w:lang w:val="es-ES" w:eastAsia="fr-BE"/>
    </w:rPr>
  </w:style>
  <w:style w:type="paragraph" w:customStyle="1" w:styleId="Par-numberI">
    <w:name w:val="Par-number I."/>
    <w:basedOn w:val="Normal"/>
    <w:next w:val="Normal"/>
    <w:rsid w:val="00767BA4"/>
    <w:pPr>
      <w:numPr>
        <w:numId w:val="12"/>
      </w:numPr>
      <w:spacing w:line="360" w:lineRule="auto"/>
    </w:pPr>
    <w:rPr>
      <w:lang w:val="es-ES" w:eastAsia="fr-BE"/>
    </w:rPr>
  </w:style>
  <w:style w:type="paragraph" w:customStyle="1" w:styleId="Par-dash">
    <w:name w:val="Par-dash"/>
    <w:basedOn w:val="Normal"/>
    <w:next w:val="Normal"/>
    <w:rsid w:val="00767BA4"/>
    <w:pPr>
      <w:numPr>
        <w:numId w:val="6"/>
      </w:numPr>
      <w:spacing w:line="360" w:lineRule="auto"/>
    </w:pPr>
    <w:rPr>
      <w:lang w:val="es-ES" w:eastAsia="fr-BE"/>
    </w:rPr>
  </w:style>
  <w:style w:type="paragraph" w:customStyle="1" w:styleId="EntLogo">
    <w:name w:val="EntLogo"/>
    <w:basedOn w:val="Normal"/>
    <w:next w:val="EntInstit"/>
    <w:rsid w:val="00767BA4"/>
    <w:pPr>
      <w:spacing w:line="360" w:lineRule="auto"/>
    </w:pPr>
    <w:rPr>
      <w:b/>
      <w:lang w:val="es-ES" w:eastAsia="fr-BE"/>
    </w:rPr>
  </w:style>
  <w:style w:type="paragraph" w:customStyle="1" w:styleId="FooterLandscape">
    <w:name w:val="FooterLandscape"/>
    <w:basedOn w:val="Footer"/>
    <w:rsid w:val="00767BA4"/>
    <w:pPr>
      <w:tabs>
        <w:tab w:val="clear" w:pos="4513"/>
        <w:tab w:val="clear" w:pos="9026"/>
        <w:tab w:val="center" w:pos="7371"/>
        <w:tab w:val="center" w:pos="11340"/>
        <w:tab w:val="right" w:pos="14572"/>
      </w:tabs>
    </w:pPr>
    <w:rPr>
      <w:lang w:val="es-ES" w:eastAsia="fr-BE"/>
    </w:rPr>
  </w:style>
  <w:style w:type="paragraph" w:customStyle="1" w:styleId="Par-numberA">
    <w:name w:val="Par-number A."/>
    <w:basedOn w:val="Normal"/>
    <w:next w:val="Normal"/>
    <w:rsid w:val="00767BA4"/>
    <w:pPr>
      <w:numPr>
        <w:numId w:val="11"/>
      </w:numPr>
      <w:spacing w:line="360" w:lineRule="auto"/>
    </w:pPr>
    <w:rPr>
      <w:lang w:val="es-ES" w:eastAsia="fr-BE"/>
    </w:rPr>
  </w:style>
  <w:style w:type="paragraph" w:styleId="TOC4">
    <w:name w:val="toc 4"/>
    <w:basedOn w:val="Normal"/>
    <w:next w:val="Normal"/>
    <w:rsid w:val="00767BA4"/>
    <w:pPr>
      <w:tabs>
        <w:tab w:val="left" w:pos="2268"/>
        <w:tab w:val="right" w:pos="9639"/>
      </w:tabs>
      <w:spacing w:line="360" w:lineRule="auto"/>
      <w:ind w:left="2268" w:right="567" w:hanging="567"/>
    </w:pPr>
    <w:rPr>
      <w:lang w:val="es-ES" w:eastAsia="fr-BE"/>
    </w:rPr>
  </w:style>
  <w:style w:type="paragraph" w:styleId="TOC5">
    <w:name w:val="toc 5"/>
    <w:basedOn w:val="Normal"/>
    <w:next w:val="Normal"/>
    <w:rsid w:val="00767BA4"/>
    <w:pPr>
      <w:tabs>
        <w:tab w:val="left" w:pos="2835"/>
        <w:tab w:val="right" w:leader="dot" w:pos="9639"/>
      </w:tabs>
      <w:spacing w:line="360" w:lineRule="auto"/>
      <w:ind w:left="2835" w:right="567" w:hanging="567"/>
    </w:pPr>
    <w:rPr>
      <w:lang w:val="es-ES" w:eastAsia="fr-BE"/>
    </w:rPr>
  </w:style>
  <w:style w:type="paragraph" w:styleId="TOC6">
    <w:name w:val="toc 6"/>
    <w:basedOn w:val="Normal"/>
    <w:next w:val="Normal"/>
    <w:rsid w:val="00767BA4"/>
    <w:pPr>
      <w:tabs>
        <w:tab w:val="left" w:pos="3402"/>
        <w:tab w:val="right" w:leader="dot" w:pos="9639"/>
      </w:tabs>
      <w:spacing w:line="360" w:lineRule="auto"/>
      <w:ind w:left="3402" w:right="567" w:hanging="567"/>
    </w:pPr>
    <w:rPr>
      <w:lang w:val="es-ES" w:eastAsia="fr-BE"/>
    </w:rPr>
  </w:style>
  <w:style w:type="paragraph" w:styleId="TOC7">
    <w:name w:val="toc 7"/>
    <w:basedOn w:val="Normal"/>
    <w:next w:val="Normal"/>
    <w:rsid w:val="00767BA4"/>
    <w:pPr>
      <w:tabs>
        <w:tab w:val="left" w:pos="3969"/>
        <w:tab w:val="right" w:leader="dot" w:pos="9639"/>
      </w:tabs>
      <w:spacing w:line="360" w:lineRule="auto"/>
      <w:ind w:left="3969" w:right="567" w:hanging="567"/>
    </w:pPr>
    <w:rPr>
      <w:lang w:val="es-ES" w:eastAsia="fr-BE"/>
    </w:rPr>
  </w:style>
  <w:style w:type="paragraph" w:styleId="TOC8">
    <w:name w:val="toc 8"/>
    <w:basedOn w:val="Normal"/>
    <w:next w:val="Normal"/>
    <w:rsid w:val="00767BA4"/>
    <w:pPr>
      <w:tabs>
        <w:tab w:val="left" w:pos="4536"/>
        <w:tab w:val="right" w:leader="dot" w:pos="9639"/>
      </w:tabs>
      <w:spacing w:line="360" w:lineRule="auto"/>
      <w:ind w:left="4536" w:right="567" w:hanging="567"/>
    </w:pPr>
    <w:rPr>
      <w:lang w:val="es-ES" w:eastAsia="fr-BE"/>
    </w:rPr>
  </w:style>
  <w:style w:type="paragraph" w:styleId="TOC9">
    <w:name w:val="toc 9"/>
    <w:basedOn w:val="Normal"/>
    <w:next w:val="Normal"/>
    <w:rsid w:val="00767BA4"/>
    <w:pPr>
      <w:tabs>
        <w:tab w:val="left" w:pos="5103"/>
        <w:tab w:val="right" w:leader="dot" w:pos="9639"/>
      </w:tabs>
      <w:spacing w:line="360" w:lineRule="auto"/>
      <w:ind w:left="5103" w:right="567" w:hanging="567"/>
    </w:pPr>
    <w:rPr>
      <w:lang w:val="es-ES" w:eastAsia="fr-BE"/>
    </w:rPr>
  </w:style>
  <w:style w:type="paragraph" w:styleId="EndnoteText">
    <w:name w:val="endnote text"/>
    <w:basedOn w:val="Normal"/>
    <w:link w:val="EndnoteTextChar"/>
    <w:rsid w:val="00767BA4"/>
    <w:pPr>
      <w:tabs>
        <w:tab w:val="left" w:pos="567"/>
      </w:tabs>
      <w:ind w:left="567" w:hanging="567"/>
    </w:pPr>
    <w:rPr>
      <w:lang w:val="es-ES" w:eastAsia="fr-BE"/>
    </w:rPr>
  </w:style>
  <w:style w:type="character" w:customStyle="1" w:styleId="EndnoteTextChar">
    <w:name w:val="Endnote Text Char"/>
    <w:basedOn w:val="DefaultParagraphFont"/>
    <w:link w:val="EndnoteText"/>
    <w:rsid w:val="00767BA4"/>
    <w:rPr>
      <w:sz w:val="24"/>
      <w:lang w:val="es-ES" w:eastAsia="fr-BE"/>
    </w:rPr>
  </w:style>
  <w:style w:type="character" w:styleId="EndnoteReference">
    <w:name w:val="endnote reference"/>
    <w:rsid w:val="00767BA4"/>
    <w:rPr>
      <w:b/>
      <w:vertAlign w:val="superscript"/>
    </w:rPr>
  </w:style>
  <w:style w:type="paragraph" w:customStyle="1" w:styleId="AC">
    <w:name w:val="AC"/>
    <w:basedOn w:val="Normal"/>
    <w:next w:val="Normal"/>
    <w:rsid w:val="00767BA4"/>
    <w:pPr>
      <w:spacing w:line="360" w:lineRule="auto"/>
    </w:pPr>
    <w:rPr>
      <w:b/>
      <w:sz w:val="40"/>
      <w:lang w:val="es-ES" w:eastAsia="fr-BE"/>
    </w:rPr>
  </w:style>
  <w:style w:type="paragraph" w:customStyle="1" w:styleId="Par-numberi0">
    <w:name w:val="Par-number (i)"/>
    <w:basedOn w:val="Normal"/>
    <w:next w:val="Normal"/>
    <w:rsid w:val="00767BA4"/>
    <w:pPr>
      <w:numPr>
        <w:numId w:val="3"/>
      </w:numPr>
      <w:tabs>
        <w:tab w:val="clear" w:pos="720"/>
        <w:tab w:val="left" w:pos="567"/>
      </w:tabs>
      <w:spacing w:line="360" w:lineRule="auto"/>
    </w:pPr>
    <w:rPr>
      <w:lang w:val="es-ES" w:eastAsia="fr-BE"/>
    </w:rPr>
  </w:style>
  <w:style w:type="paragraph" w:customStyle="1" w:styleId="Par-numbera0">
    <w:name w:val="Par-number (a)"/>
    <w:basedOn w:val="Normal"/>
    <w:next w:val="Normal"/>
    <w:rsid w:val="00767BA4"/>
    <w:pPr>
      <w:numPr>
        <w:numId w:val="4"/>
      </w:numPr>
      <w:spacing w:line="360" w:lineRule="auto"/>
    </w:pPr>
    <w:rPr>
      <w:lang w:val="es-ES" w:eastAsia="fr-BE"/>
    </w:rPr>
  </w:style>
  <w:style w:type="character" w:customStyle="1" w:styleId="DontTranslate">
    <w:name w:val="DontTranslate"/>
    <w:basedOn w:val="DefaultParagraphFont"/>
    <w:rsid w:val="00767BA4"/>
  </w:style>
  <w:style w:type="paragraph" w:customStyle="1" w:styleId="AddReference">
    <w:name w:val="Add Reference"/>
    <w:basedOn w:val="Normal"/>
    <w:rsid w:val="00767BA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table" w:customStyle="1" w:styleId="TableGrid1">
    <w:name w:val="Table Grid1"/>
    <w:basedOn w:val="TableNormal"/>
    <w:next w:val="TableGrid"/>
    <w:uiPriority w:val="39"/>
    <w:rsid w:val="00767BA4"/>
    <w:pPr>
      <w:spacing w:after="200" w:line="276" w:lineRule="auto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7BA4"/>
    <w:pPr>
      <w:spacing w:line="254" w:lineRule="auto"/>
      <w:ind w:left="720"/>
      <w:contextualSpacing/>
    </w:pPr>
    <w:rPr>
      <w:lang w:val="es-ES" w:eastAsia="fr-BE"/>
    </w:rPr>
  </w:style>
  <w:style w:type="paragraph" w:customStyle="1" w:styleId="Title1">
    <w:name w:val="Title1"/>
    <w:basedOn w:val="Normal"/>
    <w:next w:val="Normal"/>
    <w:uiPriority w:val="10"/>
    <w:qFormat/>
    <w:rsid w:val="00767BA4"/>
    <w:pPr>
      <w:contextualSpacing/>
    </w:pPr>
    <w:rPr>
      <w:rFonts w:ascii="Cambria" w:hAnsi="Cambria"/>
      <w:spacing w:val="-10"/>
      <w:kern w:val="28"/>
      <w:sz w:val="56"/>
      <w:szCs w:val="56"/>
      <w:lang w:val="es-ES" w:eastAsia="fr-BE"/>
    </w:rPr>
  </w:style>
  <w:style w:type="character" w:customStyle="1" w:styleId="TitleChar">
    <w:name w:val="Title Char"/>
    <w:basedOn w:val="DefaultParagraphFont"/>
    <w:link w:val="Title"/>
    <w:uiPriority w:val="10"/>
    <w:rsid w:val="00767BA4"/>
    <w:rPr>
      <w:rFonts w:ascii="Cambria" w:eastAsia="Times New Roman" w:hAnsi="Cambria" w:cs="Times New Roman"/>
      <w:spacing w:val="-10"/>
      <w:kern w:val="28"/>
      <w:sz w:val="56"/>
      <w:szCs w:val="56"/>
      <w:lang w:val="es-ES_tradnl" w:eastAsia="en-US"/>
    </w:rPr>
  </w:style>
  <w:style w:type="paragraph" w:customStyle="1" w:styleId="Text1">
    <w:name w:val="Text 1"/>
    <w:basedOn w:val="Normal"/>
    <w:rsid w:val="00767BA4"/>
    <w:pPr>
      <w:widowControl/>
      <w:spacing w:before="120" w:after="120" w:line="360" w:lineRule="auto"/>
      <w:ind w:left="850"/>
    </w:pPr>
    <w:rPr>
      <w:rFonts w:eastAsia="Calibri"/>
      <w:szCs w:val="22"/>
      <w:lang w:val="es-ES" w:eastAsia="en-US"/>
    </w:rPr>
  </w:style>
  <w:style w:type="paragraph" w:customStyle="1" w:styleId="ManualNumPar1">
    <w:name w:val="Manual NumPar 1"/>
    <w:basedOn w:val="Normal"/>
    <w:next w:val="Text1"/>
    <w:rsid w:val="00767BA4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Datedadoption">
    <w:name w:val="Date d'adoption"/>
    <w:basedOn w:val="Normal"/>
    <w:next w:val="Titreobjet"/>
    <w:rsid w:val="00767BA4"/>
    <w:pPr>
      <w:widowControl/>
      <w:spacing w:before="36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Fait">
    <w:name w:val="Fait à"/>
    <w:basedOn w:val="Normal"/>
    <w:next w:val="Institutionquisigne"/>
    <w:rsid w:val="00767BA4"/>
    <w:pPr>
      <w:keepNext/>
      <w:widowControl/>
      <w:spacing w:before="120" w:line="360" w:lineRule="auto"/>
    </w:pPr>
    <w:rPr>
      <w:rFonts w:eastAsia="Calibri"/>
      <w:szCs w:val="22"/>
      <w:lang w:val="es-ES" w:eastAsia="en-US"/>
    </w:rPr>
  </w:style>
  <w:style w:type="paragraph" w:customStyle="1" w:styleId="Formuledadoption">
    <w:name w:val="Formule d'adoption"/>
    <w:basedOn w:val="Normal"/>
    <w:next w:val="Titrearticle"/>
    <w:rsid w:val="00767BA4"/>
    <w:pPr>
      <w:keepNext/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Institutionquiagit">
    <w:name w:val="Institution qui agit"/>
    <w:basedOn w:val="Normal"/>
    <w:next w:val="Normal"/>
    <w:rsid w:val="00767BA4"/>
    <w:pPr>
      <w:keepNext/>
      <w:widowControl/>
      <w:spacing w:before="600" w:after="120" w:line="360" w:lineRule="auto"/>
    </w:pPr>
    <w:rPr>
      <w:rFonts w:eastAsia="Calibri"/>
      <w:szCs w:val="22"/>
      <w:lang w:val="es-ES" w:eastAsia="en-US"/>
    </w:rPr>
  </w:style>
  <w:style w:type="paragraph" w:customStyle="1" w:styleId="Institutionquisigne">
    <w:name w:val="Institution qui signe"/>
    <w:basedOn w:val="Normal"/>
    <w:next w:val="Personnequisigne"/>
    <w:rsid w:val="00767BA4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val="es-ES" w:eastAsia="en-US"/>
    </w:rPr>
  </w:style>
  <w:style w:type="paragraph" w:customStyle="1" w:styleId="Personnequisigne">
    <w:name w:val="Personne qui signe"/>
    <w:basedOn w:val="Normal"/>
    <w:next w:val="Institutionquisigne"/>
    <w:rsid w:val="00767BA4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val="es-ES" w:eastAsia="en-US"/>
    </w:rPr>
  </w:style>
  <w:style w:type="paragraph" w:customStyle="1" w:styleId="Statut">
    <w:name w:val="Statut"/>
    <w:basedOn w:val="Normal"/>
    <w:next w:val="Typedudocument"/>
    <w:rsid w:val="00767BA4"/>
    <w:pPr>
      <w:widowControl/>
      <w:spacing w:before="36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Titrearticle">
    <w:name w:val="Titre article"/>
    <w:basedOn w:val="Normal"/>
    <w:next w:val="Normal"/>
    <w:rsid w:val="00767BA4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val="es-ES" w:eastAsia="en-US"/>
    </w:rPr>
  </w:style>
  <w:style w:type="paragraph" w:customStyle="1" w:styleId="Titreobjet">
    <w:name w:val="Titre objet"/>
    <w:basedOn w:val="Normal"/>
    <w:next w:val="Normal"/>
    <w:rsid w:val="00767BA4"/>
    <w:pPr>
      <w:widowControl/>
      <w:spacing w:before="360" w:after="36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Typedudocument">
    <w:name w:val="Type du document"/>
    <w:basedOn w:val="Normal"/>
    <w:next w:val="Datedadoption"/>
    <w:rsid w:val="00767BA4"/>
    <w:pPr>
      <w:widowControl/>
      <w:spacing w:before="36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Rfrenceinterinstitutionelle">
    <w:name w:val="Référence interinstitutionelle"/>
    <w:basedOn w:val="Normal"/>
    <w:next w:val="Statut"/>
    <w:rsid w:val="00767BA4"/>
    <w:pPr>
      <w:widowControl/>
      <w:spacing w:line="360" w:lineRule="auto"/>
      <w:ind w:left="5103"/>
    </w:pPr>
    <w:rPr>
      <w:rFonts w:eastAsia="Calibri"/>
      <w:szCs w:val="22"/>
      <w:lang w:val="es-ES" w:eastAsia="en-US"/>
    </w:rPr>
  </w:style>
  <w:style w:type="paragraph" w:customStyle="1" w:styleId="Annexetitre">
    <w:name w:val="Annexe titre"/>
    <w:basedOn w:val="Normal"/>
    <w:next w:val="Normal"/>
    <w:rsid w:val="00767BA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styleId="Revision">
    <w:name w:val="Revision"/>
    <w:hidden/>
    <w:uiPriority w:val="99"/>
    <w:semiHidden/>
    <w:rsid w:val="00767BA4"/>
    <w:rPr>
      <w:sz w:val="24"/>
      <w:lang w:val="es-ES" w:eastAsia="fr-B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67BA4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67BA4"/>
    <w:pPr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1">
    <w:name w:val="Title Char1"/>
    <w:basedOn w:val="DefaultParagraphFont"/>
    <w:rsid w:val="00767BA4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styleId="FollowedHyperlink">
    <w:name w:val="FollowedHyperlink"/>
    <w:basedOn w:val="DefaultParagraphFont"/>
    <w:rsid w:val="00767BA4"/>
    <w:rPr>
      <w:color w:val="954F72" w:themeColor="followedHyperlink"/>
      <w:u w:val="single"/>
    </w:rPr>
  </w:style>
  <w:style w:type="paragraph" w:customStyle="1" w:styleId="normal12hanging">
    <w:name w:val="normal12hanging"/>
    <w:basedOn w:val="Normal"/>
    <w:rsid w:val="00586493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71D4C-C173-4978-8813-7D96D4161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Rodríguez Fernán RELEC</cp:lastModifiedBy>
  <cp:revision>2</cp:revision>
  <cp:lastPrinted>2004-11-19T15:42:00Z</cp:lastPrinted>
  <dcterms:created xsi:type="dcterms:W3CDTF">2024-04-15T12:37:00Z</dcterms:created>
  <dcterms:modified xsi:type="dcterms:W3CDTF">2024-04-15T12:37:00Z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