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032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90321" w:rsidRDefault="009808DF" w:rsidP="0010095E">
            <w:pPr>
              <w:pStyle w:val="EPName"/>
            </w:pPr>
            <w:r w:rsidRPr="00390321">
              <w:t>Parlement européen</w:t>
            </w:r>
          </w:p>
          <w:p w:rsidR="00751A4A" w:rsidRPr="0039032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71C8">
              <w:t>2019</w:t>
            </w:r>
            <w:r w:rsidRPr="00390321">
              <w:t>-</w:t>
            </w:r>
            <w:r w:rsidRPr="007571C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90321" w:rsidRDefault="00187494" w:rsidP="0010095E">
            <w:pPr>
              <w:pStyle w:val="EPLogo"/>
            </w:pPr>
            <w:r w:rsidRPr="0039032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90321" w:rsidRDefault="00D058B8" w:rsidP="004C5D52">
      <w:pPr>
        <w:pStyle w:val="LineTop"/>
      </w:pPr>
    </w:p>
    <w:p w:rsidR="00680577" w:rsidRPr="00390321" w:rsidRDefault="009808DF" w:rsidP="00680577">
      <w:pPr>
        <w:pStyle w:val="EPBodyTA1"/>
      </w:pPr>
      <w:r w:rsidRPr="00390321">
        <w:t>TEXTES ADOPTÉS</w:t>
      </w:r>
    </w:p>
    <w:p w:rsidR="00D058B8" w:rsidRPr="00390321" w:rsidRDefault="00D058B8" w:rsidP="00D058B8">
      <w:pPr>
        <w:pStyle w:val="LineBottom"/>
      </w:pPr>
    </w:p>
    <w:p w:rsidR="009808DF" w:rsidRPr="00390321" w:rsidRDefault="009808DF" w:rsidP="009808DF">
      <w:pPr>
        <w:pStyle w:val="ATHeading1"/>
      </w:pPr>
      <w:bookmarkStart w:id="0" w:name="TANumber"/>
      <w:r w:rsidRPr="00390321">
        <w:t>P</w:t>
      </w:r>
      <w:r w:rsidRPr="007571C8">
        <w:t>9</w:t>
      </w:r>
      <w:r w:rsidRPr="00390321">
        <w:t>_</w:t>
      </w:r>
      <w:proofErr w:type="gramStart"/>
      <w:r w:rsidRPr="00390321">
        <w:t>TA(</w:t>
      </w:r>
      <w:proofErr w:type="gramEnd"/>
      <w:r w:rsidRPr="007571C8">
        <w:t>2024</w:t>
      </w:r>
      <w:r w:rsidRPr="00390321">
        <w:t>)</w:t>
      </w:r>
      <w:r w:rsidRPr="007571C8">
        <w:t>00</w:t>
      </w:r>
      <w:r w:rsidR="008472C3" w:rsidRPr="007571C8">
        <w:t>66</w:t>
      </w:r>
      <w:bookmarkEnd w:id="0"/>
    </w:p>
    <w:p w:rsidR="009808DF" w:rsidRPr="00390321" w:rsidRDefault="009808DF" w:rsidP="009808DF">
      <w:pPr>
        <w:pStyle w:val="ATHeading2"/>
      </w:pPr>
      <w:bookmarkStart w:id="1" w:name="title"/>
      <w:r w:rsidRPr="00390321">
        <w:t xml:space="preserve">Valeurs limites pour le plomb, ses composés inorganiques et les </w:t>
      </w:r>
      <w:proofErr w:type="spellStart"/>
      <w:r w:rsidRPr="00390321">
        <w:t>diisocyanates</w:t>
      </w:r>
      <w:bookmarkEnd w:id="1"/>
      <w:proofErr w:type="spellEnd"/>
    </w:p>
    <w:p w:rsidR="009808DF" w:rsidRPr="00390321" w:rsidRDefault="009808DF" w:rsidP="009808DF">
      <w:pPr>
        <w:rPr>
          <w:i/>
          <w:vanish/>
        </w:rPr>
      </w:pPr>
      <w:r w:rsidRPr="00390321">
        <w:rPr>
          <w:i/>
        </w:rPr>
        <w:fldChar w:fldCharType="begin"/>
      </w:r>
      <w:r w:rsidRPr="00390321">
        <w:rPr>
          <w:i/>
        </w:rPr>
        <w:instrText xml:space="preserve"> TC"(</w:instrText>
      </w:r>
      <w:bookmarkStart w:id="2" w:name="DocNumber"/>
      <w:r w:rsidRPr="00390321">
        <w:rPr>
          <w:i/>
        </w:rPr>
        <w:instrText>A</w:instrText>
      </w:r>
      <w:r w:rsidRPr="007571C8">
        <w:rPr>
          <w:i/>
        </w:rPr>
        <w:instrText>9</w:instrText>
      </w:r>
      <w:r w:rsidRPr="00390321">
        <w:rPr>
          <w:i/>
        </w:rPr>
        <w:instrText>-</w:instrText>
      </w:r>
      <w:r w:rsidRPr="007571C8">
        <w:rPr>
          <w:i/>
        </w:rPr>
        <w:instrText>0263</w:instrText>
      </w:r>
      <w:r w:rsidRPr="00390321">
        <w:rPr>
          <w:i/>
        </w:rPr>
        <w:instrText>/</w:instrText>
      </w:r>
      <w:r w:rsidRPr="007571C8">
        <w:rPr>
          <w:i/>
        </w:rPr>
        <w:instrText>2023</w:instrText>
      </w:r>
      <w:bookmarkEnd w:id="2"/>
      <w:r w:rsidRPr="00390321">
        <w:rPr>
          <w:i/>
        </w:rPr>
        <w:instrText xml:space="preserve"> - Rapporteur: Nikolaj </w:instrText>
      </w:r>
      <w:proofErr w:type="spellStart"/>
      <w:r w:rsidRPr="00390321">
        <w:rPr>
          <w:i/>
        </w:rPr>
        <w:instrText>Villumsen</w:instrText>
      </w:r>
      <w:proofErr w:type="spellEnd"/>
      <w:r w:rsidRPr="00390321">
        <w:rPr>
          <w:i/>
        </w:rPr>
        <w:instrText>)"\l</w:instrText>
      </w:r>
      <w:r w:rsidRPr="007571C8">
        <w:rPr>
          <w:i/>
        </w:rPr>
        <w:instrText>3</w:instrText>
      </w:r>
      <w:r w:rsidRPr="00390321">
        <w:rPr>
          <w:i/>
        </w:rPr>
        <w:instrText xml:space="preserve"> \n&gt; \* MERGEFORMAT </w:instrText>
      </w:r>
      <w:r w:rsidRPr="00390321">
        <w:rPr>
          <w:i/>
        </w:rPr>
        <w:fldChar w:fldCharType="end"/>
      </w:r>
    </w:p>
    <w:p w:rsidR="009808DF" w:rsidRPr="00390321" w:rsidRDefault="009808DF" w:rsidP="009808DF">
      <w:pPr>
        <w:rPr>
          <w:vanish/>
        </w:rPr>
      </w:pPr>
      <w:bookmarkStart w:id="3" w:name="Commission"/>
      <w:r w:rsidRPr="00390321">
        <w:rPr>
          <w:vanish/>
        </w:rPr>
        <w:t>Commission de l’emploi et des affaires sociales</w:t>
      </w:r>
      <w:bookmarkEnd w:id="3"/>
    </w:p>
    <w:p w:rsidR="009808DF" w:rsidRPr="00390321" w:rsidRDefault="009808DF" w:rsidP="009808DF">
      <w:pPr>
        <w:rPr>
          <w:vanish/>
        </w:rPr>
      </w:pPr>
      <w:bookmarkStart w:id="4" w:name="PE"/>
      <w:r w:rsidRPr="00390321">
        <w:rPr>
          <w:vanish/>
        </w:rPr>
        <w:t>PE</w:t>
      </w:r>
      <w:r w:rsidRPr="007571C8">
        <w:rPr>
          <w:vanish/>
        </w:rPr>
        <w:t>746</w:t>
      </w:r>
      <w:r w:rsidRPr="00390321">
        <w:rPr>
          <w:vanish/>
        </w:rPr>
        <w:t>.</w:t>
      </w:r>
      <w:r w:rsidRPr="007571C8">
        <w:rPr>
          <w:vanish/>
        </w:rPr>
        <w:t>964</w:t>
      </w:r>
      <w:bookmarkEnd w:id="4"/>
    </w:p>
    <w:p w:rsidR="009808DF" w:rsidRPr="00390321" w:rsidRDefault="009808DF" w:rsidP="009808DF">
      <w:pPr>
        <w:pStyle w:val="ATHeading3"/>
      </w:pPr>
      <w:bookmarkStart w:id="5" w:name="Sujet"/>
      <w:r w:rsidRPr="00390321">
        <w:t xml:space="preserve">Résolution législative du Parlement européen du </w:t>
      </w:r>
      <w:r w:rsidR="00F46C12" w:rsidRPr="007571C8">
        <w:t>7</w:t>
      </w:r>
      <w:r w:rsidR="00A45448">
        <w:t xml:space="preserve"> février</w:t>
      </w:r>
      <w:r w:rsidR="00A45448" w:rsidRPr="00390321">
        <w:t xml:space="preserve"> </w:t>
      </w:r>
      <w:r w:rsidRPr="007571C8">
        <w:t>2024</w:t>
      </w:r>
      <w:r w:rsidRPr="00390321">
        <w:t xml:space="preserve"> relatif à la proposition de directive du Parlement européen et du Conseil modifiant la directive </w:t>
      </w:r>
      <w:r w:rsidRPr="007571C8">
        <w:t>98</w:t>
      </w:r>
      <w:r w:rsidRPr="00390321">
        <w:t>/</w:t>
      </w:r>
      <w:r w:rsidRPr="007571C8">
        <w:t>24</w:t>
      </w:r>
      <w:r w:rsidRPr="00390321">
        <w:t>/CE du Conseil et la directive </w:t>
      </w:r>
      <w:r w:rsidRPr="007571C8">
        <w:t>2004</w:t>
      </w:r>
      <w:r w:rsidRPr="00390321">
        <w:t>/</w:t>
      </w:r>
      <w:r w:rsidRPr="007571C8">
        <w:t>37</w:t>
      </w:r>
      <w:r w:rsidRPr="00390321">
        <w:t xml:space="preserve">/CE du Parlement européen et du Conseil en ce qui concerne les valeurs limites pour le plomb, ses composés inorganiques et les </w:t>
      </w:r>
      <w:proofErr w:type="spellStart"/>
      <w:r w:rsidRPr="00390321">
        <w:t>diisocyanates</w:t>
      </w:r>
      <w:bookmarkEnd w:id="5"/>
      <w:proofErr w:type="spellEnd"/>
      <w:r w:rsidRPr="00390321">
        <w:t xml:space="preserve"> </w:t>
      </w:r>
      <w:bookmarkStart w:id="6" w:name="References"/>
      <w:r w:rsidRPr="00390321">
        <w:t>(</w:t>
      </w:r>
      <w:proofErr w:type="gramStart"/>
      <w:r w:rsidRPr="00390321">
        <w:t>COM(</w:t>
      </w:r>
      <w:proofErr w:type="gramEnd"/>
      <w:r w:rsidRPr="007571C8">
        <w:t>2023</w:t>
      </w:r>
      <w:r w:rsidRPr="00390321">
        <w:t>)</w:t>
      </w:r>
      <w:r w:rsidRPr="007571C8">
        <w:t>0071</w:t>
      </w:r>
      <w:r w:rsidRPr="00390321">
        <w:t xml:space="preserve"> – C</w:t>
      </w:r>
      <w:r w:rsidRPr="007571C8">
        <w:t>9</w:t>
      </w:r>
      <w:r w:rsidRPr="00390321">
        <w:t>-</w:t>
      </w:r>
      <w:r w:rsidRPr="007571C8">
        <w:t>0022</w:t>
      </w:r>
      <w:r w:rsidRPr="00390321">
        <w:t>/</w:t>
      </w:r>
      <w:r w:rsidRPr="007571C8">
        <w:t>2023</w:t>
      </w:r>
      <w:r w:rsidRPr="00390321">
        <w:t xml:space="preserve"> – </w:t>
      </w:r>
      <w:r w:rsidRPr="007571C8">
        <w:t>2023</w:t>
      </w:r>
      <w:r w:rsidRPr="00390321">
        <w:t>/</w:t>
      </w:r>
      <w:r w:rsidRPr="007571C8">
        <w:t>0033</w:t>
      </w:r>
      <w:r w:rsidRPr="00390321">
        <w:t>(COD))</w:t>
      </w:r>
      <w:bookmarkEnd w:id="6"/>
    </w:p>
    <w:p w:rsidR="009808DF" w:rsidRPr="00390321" w:rsidRDefault="009808DF" w:rsidP="009808DF"/>
    <w:p w:rsidR="00A11209" w:rsidRPr="00390321" w:rsidRDefault="00A11209" w:rsidP="00A11209">
      <w:pPr>
        <w:pStyle w:val="NormalBold"/>
      </w:pPr>
      <w:bookmarkStart w:id="7" w:name="TextBodyBegin"/>
      <w:bookmarkEnd w:id="7"/>
      <w:r w:rsidRPr="00390321">
        <w:t>(Procédure législative ordinaire: première lecture)</w:t>
      </w:r>
    </w:p>
    <w:p w:rsidR="00A11209" w:rsidRPr="00390321" w:rsidRDefault="00A11209" w:rsidP="00A11209">
      <w:pPr>
        <w:pStyle w:val="EPComma"/>
      </w:pPr>
      <w:r w:rsidRPr="00390321">
        <w:rPr>
          <w:i/>
        </w:rPr>
        <w:t>Le Parlement européen</w:t>
      </w:r>
      <w:r w:rsidRPr="00390321">
        <w:t>,</w:t>
      </w:r>
    </w:p>
    <w:p w:rsidR="00A11209" w:rsidRPr="00390321" w:rsidRDefault="00A11209" w:rsidP="00A11209">
      <w:pPr>
        <w:pStyle w:val="NormalHanging12a"/>
      </w:pPr>
      <w:r w:rsidRPr="00390321">
        <w:t>–</w:t>
      </w:r>
      <w:r w:rsidRPr="00390321">
        <w:tab/>
        <w:t>vu la proposition de la Commission au Parlement européen et au Conseil (</w:t>
      </w:r>
      <w:proofErr w:type="gramStart"/>
      <w:r w:rsidRPr="00390321">
        <w:t>COM(</w:t>
      </w:r>
      <w:proofErr w:type="gramEnd"/>
      <w:r w:rsidRPr="007571C8">
        <w:t>2023</w:t>
      </w:r>
      <w:r w:rsidRPr="00390321">
        <w:t>)</w:t>
      </w:r>
      <w:r w:rsidRPr="007571C8">
        <w:t>0071</w:t>
      </w:r>
      <w:r w:rsidRPr="00390321">
        <w:t>),</w:t>
      </w:r>
    </w:p>
    <w:p w:rsidR="00A11209" w:rsidRPr="00390321" w:rsidRDefault="00A11209" w:rsidP="00A11209">
      <w:pPr>
        <w:pStyle w:val="NormalHanging12a"/>
      </w:pPr>
      <w:r w:rsidRPr="00390321">
        <w:t>–</w:t>
      </w:r>
      <w:r w:rsidRPr="00390321">
        <w:tab/>
        <w:t>vu l’article </w:t>
      </w:r>
      <w:r w:rsidRPr="007571C8">
        <w:t>294</w:t>
      </w:r>
      <w:r w:rsidRPr="00390321">
        <w:t>, paragraphe </w:t>
      </w:r>
      <w:r w:rsidRPr="007571C8">
        <w:t>2</w:t>
      </w:r>
      <w:r w:rsidRPr="00390321">
        <w:t>, et l’article </w:t>
      </w:r>
      <w:r w:rsidRPr="007571C8">
        <w:t>153</w:t>
      </w:r>
      <w:r w:rsidRPr="00390321">
        <w:t>, paragraphe </w:t>
      </w:r>
      <w:r w:rsidRPr="007571C8">
        <w:t>2</w:t>
      </w:r>
      <w:r w:rsidRPr="00390321">
        <w:t>, point b), en liaison avec le paragraphe </w:t>
      </w:r>
      <w:r w:rsidRPr="007571C8">
        <w:t>1</w:t>
      </w:r>
      <w:r w:rsidRPr="00390321">
        <w:t xml:space="preserve">, </w:t>
      </w:r>
      <w:proofErr w:type="gramStart"/>
      <w:r w:rsidRPr="00390321">
        <w:t>point a</w:t>
      </w:r>
      <w:proofErr w:type="gramEnd"/>
      <w:r w:rsidRPr="00390321">
        <w:t>), du traité sur le fonctionnement de l’Union européenne, conformément auxquels la proposition lui a été présentée par la Commission (C</w:t>
      </w:r>
      <w:r w:rsidRPr="007571C8">
        <w:t>9</w:t>
      </w:r>
      <w:r w:rsidRPr="00390321">
        <w:noBreakHyphen/>
      </w:r>
      <w:r w:rsidRPr="007571C8">
        <w:t>0022</w:t>
      </w:r>
      <w:r w:rsidRPr="00390321">
        <w:t>/</w:t>
      </w:r>
      <w:r w:rsidRPr="007571C8">
        <w:t>2023</w:t>
      </w:r>
      <w:r w:rsidRPr="00390321">
        <w:t>),</w:t>
      </w:r>
    </w:p>
    <w:p w:rsidR="00A11209" w:rsidRPr="00390321" w:rsidRDefault="00A11209" w:rsidP="00A11209">
      <w:pPr>
        <w:pStyle w:val="NormalHanging12a"/>
      </w:pPr>
      <w:r w:rsidRPr="00390321">
        <w:t>–</w:t>
      </w:r>
      <w:r w:rsidRPr="00390321">
        <w:tab/>
        <w:t>vu l’article </w:t>
      </w:r>
      <w:r w:rsidRPr="007571C8">
        <w:t>294</w:t>
      </w:r>
      <w:r w:rsidRPr="00390321">
        <w:t>, paragraphe </w:t>
      </w:r>
      <w:r w:rsidRPr="007571C8">
        <w:t>3</w:t>
      </w:r>
      <w:r w:rsidRPr="00390321">
        <w:t>, du traité sur le fonctionnement de l’Union européenne,</w:t>
      </w:r>
    </w:p>
    <w:p w:rsidR="00A11209" w:rsidRDefault="00A11209" w:rsidP="00A11209">
      <w:pPr>
        <w:pStyle w:val="NormalHanging12a"/>
      </w:pPr>
      <w:r w:rsidRPr="00390321">
        <w:t>–</w:t>
      </w:r>
      <w:r w:rsidRPr="00390321">
        <w:tab/>
        <w:t xml:space="preserve">vu l’avis du Comité économique et social du </w:t>
      </w:r>
      <w:r w:rsidRPr="007571C8">
        <w:t>22</w:t>
      </w:r>
      <w:r w:rsidRPr="00390321">
        <w:t> mars </w:t>
      </w:r>
      <w:r w:rsidRPr="007571C8">
        <w:t>2023</w:t>
      </w:r>
      <w:r w:rsidRPr="00390321">
        <w:rPr>
          <w:vertAlign w:val="superscript"/>
        </w:rPr>
        <w:footnoteReference w:id="1"/>
      </w:r>
      <w:r w:rsidRPr="00390321">
        <w:t>,</w:t>
      </w:r>
    </w:p>
    <w:p w:rsidR="00A45448" w:rsidRDefault="00A45448" w:rsidP="00A11209">
      <w:pPr>
        <w:pStyle w:val="NormalHanging12a"/>
      </w:pPr>
      <w:r w:rsidRPr="00390321">
        <w:t>–</w:t>
      </w:r>
      <w:r>
        <w:tab/>
      </w:r>
      <w:r w:rsidR="00F46C12">
        <w:t>après consultation</w:t>
      </w:r>
      <w:r w:rsidRPr="00A45448">
        <w:t xml:space="preserve"> du Comité des Régions</w:t>
      </w:r>
      <w:r>
        <w:t>,</w:t>
      </w:r>
    </w:p>
    <w:p w:rsidR="00A45448" w:rsidRDefault="00A45448" w:rsidP="007571C8">
      <w:pPr>
        <w:pStyle w:val="NormalHanging12a"/>
      </w:pPr>
      <w:r>
        <w:t>–</w:t>
      </w:r>
      <w:r>
        <w:tab/>
        <w:t>vu l’accord provisoire approuvé en vertu de l’article </w:t>
      </w:r>
      <w:r w:rsidRPr="007571C8">
        <w:t>74</w:t>
      </w:r>
      <w:r>
        <w:t>, paragraphe </w:t>
      </w:r>
      <w:r w:rsidRPr="007571C8">
        <w:t>4</w:t>
      </w:r>
      <w:r>
        <w:t xml:space="preserve">, de son règlement intérieur par </w:t>
      </w:r>
      <w:r w:rsidRPr="00035BD7">
        <w:t>la commission compétente</w:t>
      </w:r>
      <w:r>
        <w:t xml:space="preserve"> et l’engagement pris par le représentant du Conseil, par lettre du </w:t>
      </w:r>
      <w:r w:rsidRPr="007571C8">
        <w:t>6</w:t>
      </w:r>
      <w:r>
        <w:t xml:space="preserve"> décembre </w:t>
      </w:r>
      <w:r w:rsidRPr="007571C8">
        <w:t>2023</w:t>
      </w:r>
      <w:r>
        <w:t xml:space="preserve">, d’approuver </w:t>
      </w:r>
      <w:r w:rsidRPr="00A45448">
        <w:t xml:space="preserve">la </w:t>
      </w:r>
      <w:r w:rsidRPr="00035BD7">
        <w:t>position du Parlement européen</w:t>
      </w:r>
      <w:r>
        <w:t>, conformément à l’article </w:t>
      </w:r>
      <w:r w:rsidRPr="007571C8">
        <w:t>294</w:t>
      </w:r>
      <w:r>
        <w:t>, paragraphe </w:t>
      </w:r>
      <w:r w:rsidRPr="007571C8">
        <w:t>4</w:t>
      </w:r>
      <w:r>
        <w:t>, du traité sur le fonctionnement de l’Union européenne,</w:t>
      </w:r>
    </w:p>
    <w:p w:rsidR="00A11209" w:rsidRPr="00390321" w:rsidRDefault="00A11209" w:rsidP="00A11209">
      <w:pPr>
        <w:pStyle w:val="NormalHanging12a"/>
      </w:pPr>
      <w:r w:rsidRPr="00390321">
        <w:t>–</w:t>
      </w:r>
      <w:r w:rsidRPr="00390321">
        <w:tab/>
        <w:t>vu l’article </w:t>
      </w:r>
      <w:r w:rsidRPr="007571C8">
        <w:t>59</w:t>
      </w:r>
      <w:r w:rsidRPr="00390321">
        <w:t xml:space="preserve"> de son règlement intérieur,</w:t>
      </w:r>
    </w:p>
    <w:p w:rsidR="00A11209" w:rsidRPr="00390321" w:rsidRDefault="00A11209" w:rsidP="00A11209">
      <w:pPr>
        <w:pStyle w:val="NormalHanging12a"/>
      </w:pPr>
      <w:r w:rsidRPr="00390321">
        <w:lastRenderedPageBreak/>
        <w:t>–</w:t>
      </w:r>
      <w:r w:rsidRPr="00390321">
        <w:tab/>
        <w:t>vu le rapport de la Commission de l’emploi et des affaires sociales (A</w:t>
      </w:r>
      <w:r w:rsidRPr="007571C8">
        <w:t>9</w:t>
      </w:r>
      <w:r w:rsidRPr="00390321">
        <w:t>-</w:t>
      </w:r>
      <w:r w:rsidRPr="007571C8">
        <w:t>0263</w:t>
      </w:r>
      <w:r w:rsidRPr="00390321">
        <w:t>/</w:t>
      </w:r>
      <w:r w:rsidRPr="007571C8">
        <w:t>2023</w:t>
      </w:r>
      <w:r w:rsidRPr="00390321">
        <w:t>),</w:t>
      </w:r>
    </w:p>
    <w:p w:rsidR="00A11209" w:rsidRPr="00390321" w:rsidRDefault="00A11209" w:rsidP="00A11209">
      <w:pPr>
        <w:pStyle w:val="NormalHanging12a"/>
      </w:pPr>
      <w:r w:rsidRPr="007571C8">
        <w:t>1</w:t>
      </w:r>
      <w:r w:rsidRPr="00390321">
        <w:t>.</w:t>
      </w:r>
      <w:r w:rsidRPr="00390321">
        <w:tab/>
        <w:t>arrête la position en première lecture figurant ci-après;</w:t>
      </w:r>
    </w:p>
    <w:p w:rsidR="00A11209" w:rsidRPr="00390321" w:rsidRDefault="00A11209" w:rsidP="00A11209">
      <w:pPr>
        <w:pStyle w:val="NormalHanging12a"/>
      </w:pPr>
      <w:r w:rsidRPr="007571C8">
        <w:t>2</w:t>
      </w:r>
      <w:r w:rsidRPr="00390321">
        <w:t>.</w:t>
      </w:r>
      <w:r w:rsidRPr="00390321">
        <w:tab/>
        <w:t>demande à la Commission de le saisir à nouveau, si elle remplace, modifie de manière substantielle ou entend modifier de manière substantielle sa proposition;</w:t>
      </w:r>
    </w:p>
    <w:p w:rsidR="00A11209" w:rsidRPr="00390321" w:rsidRDefault="00A11209" w:rsidP="00A11209">
      <w:pPr>
        <w:pStyle w:val="NormalHanging12a"/>
      </w:pPr>
      <w:r w:rsidRPr="007571C8">
        <w:t>3</w:t>
      </w:r>
      <w:r w:rsidRPr="00390321">
        <w:t>.</w:t>
      </w:r>
      <w:r w:rsidRPr="00390321">
        <w:tab/>
        <w:t>charge sa Présidente de transmettre la position du Parlement au Conseil et à la Commission ainsi qu’aux parlements nationaux.</w:t>
      </w:r>
    </w:p>
    <w:p w:rsidR="001F0957" w:rsidRDefault="001F0957" w:rsidP="00A11209">
      <w:pPr>
        <w:widowControl/>
        <w:sectPr w:rsidR="001F0957" w:rsidSect="00390321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F0957" w:rsidRPr="001F0957" w:rsidRDefault="001F0957" w:rsidP="001F0957">
      <w:pPr>
        <w:widowControl/>
        <w:spacing w:after="240"/>
        <w:jc w:val="both"/>
        <w:rPr>
          <w:b/>
          <w:szCs w:val="24"/>
        </w:rPr>
      </w:pPr>
      <w:r w:rsidRPr="001F0957">
        <w:rPr>
          <w:b/>
          <w:szCs w:val="24"/>
        </w:rPr>
        <w:lastRenderedPageBreak/>
        <w:t>P</w:t>
      </w:r>
      <w:r w:rsidRPr="007571C8">
        <w:rPr>
          <w:b/>
          <w:szCs w:val="24"/>
        </w:rPr>
        <w:t>9</w:t>
      </w:r>
      <w:r w:rsidRPr="001F0957">
        <w:rPr>
          <w:b/>
          <w:szCs w:val="24"/>
        </w:rPr>
        <w:t>_TC</w:t>
      </w:r>
      <w:r w:rsidRPr="007571C8">
        <w:rPr>
          <w:b/>
          <w:szCs w:val="24"/>
        </w:rPr>
        <w:t>1</w:t>
      </w:r>
      <w:r w:rsidRPr="001F0957">
        <w:rPr>
          <w:b/>
          <w:szCs w:val="24"/>
        </w:rPr>
        <w:t>-</w:t>
      </w:r>
      <w:proofErr w:type="gramStart"/>
      <w:r w:rsidRPr="001F0957">
        <w:rPr>
          <w:b/>
          <w:szCs w:val="24"/>
        </w:rPr>
        <w:t>COD(</w:t>
      </w:r>
      <w:proofErr w:type="gramEnd"/>
      <w:r w:rsidR="001E245D" w:rsidRPr="007571C8">
        <w:rPr>
          <w:b/>
          <w:szCs w:val="24"/>
        </w:rPr>
        <w:t>2023</w:t>
      </w:r>
      <w:r w:rsidRPr="001F0957">
        <w:rPr>
          <w:b/>
          <w:szCs w:val="24"/>
        </w:rPr>
        <w:t>)</w:t>
      </w:r>
      <w:r w:rsidR="001E245D" w:rsidRPr="007571C8">
        <w:rPr>
          <w:b/>
          <w:szCs w:val="24"/>
        </w:rPr>
        <w:t>0033</w:t>
      </w:r>
    </w:p>
    <w:p w:rsidR="0054177F" w:rsidRDefault="001F0957" w:rsidP="009660BA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1F0957">
        <w:rPr>
          <w:b/>
          <w:szCs w:val="24"/>
        </w:rPr>
        <w:t xml:space="preserve">Position du Parlement européen arrêtée en première lecture le </w:t>
      </w:r>
      <w:r w:rsidR="0054177F" w:rsidRPr="007571C8">
        <w:rPr>
          <w:b/>
          <w:szCs w:val="24"/>
        </w:rPr>
        <w:t>7</w:t>
      </w:r>
      <w:r w:rsidR="0054177F">
        <w:rPr>
          <w:b/>
          <w:szCs w:val="24"/>
        </w:rPr>
        <w:t xml:space="preserve"> février </w:t>
      </w:r>
      <w:r w:rsidR="0054177F" w:rsidRPr="007571C8">
        <w:rPr>
          <w:b/>
          <w:szCs w:val="24"/>
        </w:rPr>
        <w:t>2024</w:t>
      </w:r>
      <w:r w:rsidRPr="001F0957">
        <w:rPr>
          <w:b/>
          <w:szCs w:val="24"/>
        </w:rPr>
        <w:t xml:space="preserve"> en vue de l’adoption du </w:t>
      </w:r>
      <w:r w:rsidR="0054177F">
        <w:rPr>
          <w:b/>
          <w:szCs w:val="24"/>
        </w:rPr>
        <w:t xml:space="preserve">de la directive (UE) </w:t>
      </w:r>
      <w:r w:rsidR="0054177F" w:rsidRPr="007571C8">
        <w:rPr>
          <w:b/>
          <w:szCs w:val="24"/>
        </w:rPr>
        <w:t>2024</w:t>
      </w:r>
      <w:r w:rsidRPr="001F0957">
        <w:rPr>
          <w:b/>
          <w:szCs w:val="24"/>
        </w:rPr>
        <w:t>/... du Parl</w:t>
      </w:r>
      <w:r w:rsidR="0054177F">
        <w:rPr>
          <w:b/>
          <w:szCs w:val="24"/>
        </w:rPr>
        <w:t xml:space="preserve">ement européen et du Conseil </w:t>
      </w:r>
      <w:r w:rsidR="0054177F" w:rsidRPr="0054177F">
        <w:rPr>
          <w:rFonts w:eastAsia="Calibri"/>
          <w:b/>
          <w:szCs w:val="22"/>
          <w:lang w:eastAsia="en-US"/>
        </w:rPr>
        <w:t>du</w:t>
      </w:r>
      <w:r w:rsidR="0054177F">
        <w:rPr>
          <w:rFonts w:eastAsia="Calibri"/>
          <w:b/>
          <w:szCs w:val="22"/>
          <w:lang w:eastAsia="en-US"/>
        </w:rPr>
        <w:t xml:space="preserve"> </w:t>
      </w:r>
      <w:r w:rsidR="0054177F" w:rsidRPr="0054177F">
        <w:rPr>
          <w:rFonts w:eastAsia="Calibri"/>
          <w:b/>
          <w:szCs w:val="22"/>
          <w:lang w:eastAsia="en-US"/>
        </w:rPr>
        <w:t>...</w:t>
      </w:r>
      <w:r w:rsidR="0054177F">
        <w:rPr>
          <w:rFonts w:eastAsia="Calibri"/>
          <w:b/>
          <w:szCs w:val="22"/>
          <w:lang w:eastAsia="en-US"/>
        </w:rPr>
        <w:t xml:space="preserve"> </w:t>
      </w:r>
      <w:r w:rsidR="0054177F" w:rsidRPr="0054177F">
        <w:rPr>
          <w:rFonts w:eastAsia="Calibri"/>
          <w:b/>
          <w:szCs w:val="22"/>
          <w:lang w:eastAsia="en-US"/>
        </w:rPr>
        <w:t>modifiant la directive </w:t>
      </w:r>
      <w:r w:rsidR="0054177F" w:rsidRPr="007571C8">
        <w:rPr>
          <w:rFonts w:eastAsia="Calibri"/>
          <w:b/>
          <w:szCs w:val="22"/>
          <w:lang w:eastAsia="en-US"/>
        </w:rPr>
        <w:t>2004</w:t>
      </w:r>
      <w:r w:rsidR="0054177F" w:rsidRPr="0054177F">
        <w:rPr>
          <w:rFonts w:eastAsia="Calibri"/>
          <w:b/>
          <w:szCs w:val="22"/>
          <w:lang w:eastAsia="en-US"/>
        </w:rPr>
        <w:t>/</w:t>
      </w:r>
      <w:r w:rsidR="0054177F" w:rsidRPr="007571C8">
        <w:rPr>
          <w:rFonts w:eastAsia="Calibri"/>
          <w:b/>
          <w:szCs w:val="22"/>
          <w:lang w:eastAsia="en-US"/>
        </w:rPr>
        <w:t>37</w:t>
      </w:r>
      <w:r w:rsidR="0054177F" w:rsidRPr="0054177F">
        <w:rPr>
          <w:rFonts w:eastAsia="Calibri"/>
          <w:b/>
          <w:szCs w:val="22"/>
          <w:lang w:eastAsia="en-US"/>
        </w:rPr>
        <w:t>/CE du Parlement européen et du Conseil et la</w:t>
      </w:r>
      <w:r w:rsidR="0054177F">
        <w:rPr>
          <w:rFonts w:eastAsia="Calibri"/>
          <w:b/>
          <w:szCs w:val="22"/>
          <w:lang w:eastAsia="en-US"/>
        </w:rPr>
        <w:t xml:space="preserve"> directive </w:t>
      </w:r>
      <w:r w:rsidR="0054177F" w:rsidRPr="007571C8">
        <w:rPr>
          <w:rFonts w:eastAsia="Calibri"/>
          <w:b/>
          <w:szCs w:val="22"/>
          <w:lang w:eastAsia="en-US"/>
        </w:rPr>
        <w:t>98</w:t>
      </w:r>
      <w:r w:rsidR="0054177F">
        <w:rPr>
          <w:rFonts w:eastAsia="Calibri"/>
          <w:b/>
          <w:szCs w:val="22"/>
          <w:lang w:eastAsia="en-US"/>
        </w:rPr>
        <w:t>/</w:t>
      </w:r>
      <w:r w:rsidR="0054177F" w:rsidRPr="007571C8">
        <w:rPr>
          <w:rFonts w:eastAsia="Calibri"/>
          <w:b/>
          <w:szCs w:val="22"/>
          <w:lang w:eastAsia="en-US"/>
        </w:rPr>
        <w:t>24</w:t>
      </w:r>
      <w:r w:rsidR="0054177F">
        <w:rPr>
          <w:rFonts w:eastAsia="Calibri"/>
          <w:b/>
          <w:szCs w:val="22"/>
          <w:lang w:eastAsia="en-US"/>
        </w:rPr>
        <w:t xml:space="preserve">/CE du Conseil </w:t>
      </w:r>
      <w:r w:rsidR="0054177F" w:rsidRPr="0054177F">
        <w:rPr>
          <w:rFonts w:eastAsia="Calibri"/>
          <w:b/>
          <w:szCs w:val="22"/>
          <w:lang w:eastAsia="en-US"/>
        </w:rPr>
        <w:t xml:space="preserve">en ce qui concerne les valeurs limites </w:t>
      </w:r>
      <w:r w:rsidR="00905446">
        <w:rPr>
          <w:rFonts w:eastAsia="Calibri"/>
          <w:b/>
          <w:szCs w:val="22"/>
          <w:lang w:eastAsia="en-US"/>
        </w:rPr>
        <w:t xml:space="preserve">pour </w:t>
      </w:r>
      <w:r w:rsidR="0054177F" w:rsidRPr="0054177F">
        <w:rPr>
          <w:rFonts w:eastAsia="Calibri"/>
          <w:b/>
          <w:szCs w:val="22"/>
          <w:lang w:eastAsia="en-US"/>
        </w:rPr>
        <w:t xml:space="preserve">le plomb et ses composés inorganiques </w:t>
      </w:r>
      <w:r w:rsidR="0054177F" w:rsidRPr="009660BA">
        <w:rPr>
          <w:rFonts w:eastAsia="Calibri"/>
          <w:b/>
          <w:iCs/>
          <w:szCs w:val="22"/>
          <w:lang w:eastAsia="en-US"/>
        </w:rPr>
        <w:t>et</w:t>
      </w:r>
      <w:r w:rsidR="0054177F" w:rsidRPr="009660BA">
        <w:rPr>
          <w:rFonts w:eastAsia="Calibri"/>
          <w:b/>
          <w:szCs w:val="22"/>
          <w:lang w:eastAsia="en-US"/>
        </w:rPr>
        <w:t xml:space="preserve"> </w:t>
      </w:r>
      <w:r w:rsidR="0054177F" w:rsidRPr="0054177F">
        <w:rPr>
          <w:rFonts w:eastAsia="Calibri"/>
          <w:b/>
          <w:szCs w:val="22"/>
          <w:lang w:eastAsia="en-US"/>
        </w:rPr>
        <w:t xml:space="preserve">pour </w:t>
      </w:r>
      <w:r w:rsidR="0054177F" w:rsidRPr="009660BA">
        <w:rPr>
          <w:rFonts w:eastAsia="Calibri"/>
          <w:b/>
          <w:iCs/>
          <w:szCs w:val="22"/>
          <w:lang w:eastAsia="en-US"/>
        </w:rPr>
        <w:t>les</w:t>
      </w:r>
      <w:r w:rsidR="0054177F" w:rsidRPr="009660BA">
        <w:rPr>
          <w:rFonts w:eastAsia="Calibri"/>
          <w:b/>
          <w:szCs w:val="22"/>
          <w:lang w:eastAsia="en-US"/>
        </w:rPr>
        <w:t xml:space="preserve"> </w:t>
      </w:r>
      <w:proofErr w:type="spellStart"/>
      <w:r w:rsidR="0054177F" w:rsidRPr="009660BA">
        <w:rPr>
          <w:rFonts w:eastAsia="Calibri"/>
          <w:b/>
          <w:iCs/>
          <w:szCs w:val="22"/>
          <w:lang w:eastAsia="en-US"/>
        </w:rPr>
        <w:t>diisocyanates</w:t>
      </w:r>
      <w:proofErr w:type="spellEnd"/>
    </w:p>
    <w:p w:rsidR="009660BA" w:rsidRDefault="009660BA" w:rsidP="009660BA">
      <w:pPr>
        <w:pStyle w:val="NormalWeb"/>
        <w:spacing w:before="360" w:beforeAutospacing="0" w:after="240" w:afterAutospacing="0"/>
        <w:rPr>
          <w:lang w:val="fr-FR"/>
        </w:rPr>
      </w:pPr>
      <w:r>
        <w:rPr>
          <w:i/>
          <w:iCs/>
          <w:lang w:val="fr-FR"/>
        </w:rPr>
        <w:t>(Étant donné l'accord intervenu entre le Parlement et le Conseil, la position du Parlement correspond à l'acte législatif final, la directive (UE) 202</w:t>
      </w:r>
      <w:r>
        <w:rPr>
          <w:i/>
          <w:iCs/>
          <w:lang w:val="fr-FR"/>
        </w:rPr>
        <w:t>4</w:t>
      </w:r>
      <w:r>
        <w:rPr>
          <w:i/>
          <w:iCs/>
          <w:lang w:val="fr-FR"/>
        </w:rPr>
        <w:t>/</w:t>
      </w:r>
      <w:r>
        <w:rPr>
          <w:i/>
          <w:iCs/>
          <w:lang w:val="fr-FR"/>
        </w:rPr>
        <w:t>869</w:t>
      </w:r>
      <w:r>
        <w:rPr>
          <w:i/>
          <w:iCs/>
          <w:lang w:val="fr-FR"/>
        </w:rPr>
        <w:t>)</w:t>
      </w:r>
      <w:r>
        <w:rPr>
          <w:i/>
          <w:iCs/>
          <w:lang w:val="fr-FR"/>
        </w:rPr>
        <w:t>.</w:t>
      </w:r>
    </w:p>
    <w:p w:rsidR="009660BA" w:rsidRPr="0054177F" w:rsidRDefault="009660BA" w:rsidP="0054177F">
      <w:pPr>
        <w:widowControl/>
        <w:spacing w:after="240"/>
        <w:jc w:val="both"/>
        <w:rPr>
          <w:rFonts w:eastAsia="Calibri"/>
          <w:b/>
          <w:szCs w:val="22"/>
          <w:lang w:eastAsia="en-US"/>
        </w:rPr>
      </w:pPr>
      <w:bookmarkStart w:id="8" w:name="_GoBack"/>
      <w:bookmarkEnd w:id="8"/>
    </w:p>
    <w:sectPr w:rsidR="009660BA" w:rsidRPr="0054177F" w:rsidSect="009660BA">
      <w:footnotePr>
        <w:numRestart w:val="eachSect"/>
      </w:footnotePr>
      <w:pgSz w:w="11907" w:h="16840" w:code="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C12" w:rsidRPr="00390321" w:rsidRDefault="00F46C12">
      <w:r w:rsidRPr="00390321">
        <w:separator/>
      </w:r>
    </w:p>
  </w:endnote>
  <w:endnote w:type="continuationSeparator" w:id="0">
    <w:p w:rsidR="00F46C12" w:rsidRPr="00390321" w:rsidRDefault="00F46C12">
      <w:r w:rsidRPr="003903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C12" w:rsidRPr="00390321" w:rsidRDefault="00F46C12">
      <w:r w:rsidRPr="00390321">
        <w:separator/>
      </w:r>
    </w:p>
  </w:footnote>
  <w:footnote w:type="continuationSeparator" w:id="0">
    <w:p w:rsidR="00F46C12" w:rsidRPr="00390321" w:rsidRDefault="00F46C12">
      <w:r w:rsidRPr="00390321">
        <w:continuationSeparator/>
      </w:r>
    </w:p>
  </w:footnote>
  <w:footnote w:id="1">
    <w:p w:rsidR="00F46C12" w:rsidRPr="00390321" w:rsidRDefault="00F46C12" w:rsidP="00390321">
      <w:pPr>
        <w:pStyle w:val="FootnoteText"/>
        <w:ind w:left="567" w:hanging="567"/>
        <w:rPr>
          <w:sz w:val="24"/>
        </w:rPr>
      </w:pPr>
      <w:r w:rsidRPr="00390321">
        <w:rPr>
          <w:rStyle w:val="FootnoteReference"/>
          <w:sz w:val="24"/>
        </w:rPr>
        <w:footnoteRef/>
      </w:r>
      <w:r w:rsidRPr="00390321">
        <w:rPr>
          <w:sz w:val="24"/>
        </w:rPr>
        <w:t xml:space="preserve"> </w:t>
      </w:r>
      <w:r w:rsidRPr="00390321">
        <w:rPr>
          <w:sz w:val="24"/>
        </w:rPr>
        <w:tab/>
        <w:t>Non encore paru au Journal officiel.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68E9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449C6F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002BB94" w:tentative="1">
      <w:start w:val="1"/>
      <w:numFmt w:val="lowerLetter"/>
      <w:lvlText w:val="%2."/>
      <w:lvlJc w:val="left"/>
      <w:pPr>
        <w:ind w:left="1440" w:hanging="360"/>
      </w:pPr>
    </w:lvl>
    <w:lvl w:ilvl="2" w:tplc="D228FC80" w:tentative="1">
      <w:start w:val="1"/>
      <w:numFmt w:val="lowerRoman"/>
      <w:lvlText w:val="%3."/>
      <w:lvlJc w:val="right"/>
      <w:pPr>
        <w:ind w:left="2160" w:hanging="180"/>
      </w:pPr>
    </w:lvl>
    <w:lvl w:ilvl="3" w:tplc="4808CB58" w:tentative="1">
      <w:start w:val="1"/>
      <w:numFmt w:val="decimal"/>
      <w:lvlText w:val="%4."/>
      <w:lvlJc w:val="left"/>
      <w:pPr>
        <w:ind w:left="2880" w:hanging="360"/>
      </w:pPr>
    </w:lvl>
    <w:lvl w:ilvl="4" w:tplc="9352506C" w:tentative="1">
      <w:start w:val="1"/>
      <w:numFmt w:val="lowerLetter"/>
      <w:lvlText w:val="%5."/>
      <w:lvlJc w:val="left"/>
      <w:pPr>
        <w:ind w:left="3600" w:hanging="360"/>
      </w:pPr>
    </w:lvl>
    <w:lvl w:ilvl="5" w:tplc="B7EA2B3C" w:tentative="1">
      <w:start w:val="1"/>
      <w:numFmt w:val="lowerRoman"/>
      <w:lvlText w:val="%6."/>
      <w:lvlJc w:val="right"/>
      <w:pPr>
        <w:ind w:left="4320" w:hanging="180"/>
      </w:pPr>
    </w:lvl>
    <w:lvl w:ilvl="6" w:tplc="1B143D9A" w:tentative="1">
      <w:start w:val="1"/>
      <w:numFmt w:val="decimal"/>
      <w:lvlText w:val="%7."/>
      <w:lvlJc w:val="left"/>
      <w:pPr>
        <w:ind w:left="5040" w:hanging="360"/>
      </w:pPr>
    </w:lvl>
    <w:lvl w:ilvl="7" w:tplc="D15EA0C2" w:tentative="1">
      <w:start w:val="1"/>
      <w:numFmt w:val="lowerLetter"/>
      <w:lvlText w:val="%8."/>
      <w:lvlJc w:val="left"/>
      <w:pPr>
        <w:ind w:left="5760" w:hanging="360"/>
      </w:pPr>
    </w:lvl>
    <w:lvl w:ilvl="8" w:tplc="D92E6B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3160B3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0824D4" w:tentative="1">
      <w:start w:val="1"/>
      <w:numFmt w:val="lowerLetter"/>
      <w:lvlText w:val="%2."/>
      <w:lvlJc w:val="left"/>
      <w:pPr>
        <w:ind w:left="1440" w:hanging="360"/>
      </w:pPr>
    </w:lvl>
    <w:lvl w:ilvl="2" w:tplc="50AC58EA" w:tentative="1">
      <w:start w:val="1"/>
      <w:numFmt w:val="lowerRoman"/>
      <w:lvlText w:val="%3."/>
      <w:lvlJc w:val="right"/>
      <w:pPr>
        <w:ind w:left="2160" w:hanging="180"/>
      </w:pPr>
    </w:lvl>
    <w:lvl w:ilvl="3" w:tplc="7DF2110C" w:tentative="1">
      <w:start w:val="1"/>
      <w:numFmt w:val="decimal"/>
      <w:lvlText w:val="%4."/>
      <w:lvlJc w:val="left"/>
      <w:pPr>
        <w:ind w:left="2880" w:hanging="360"/>
      </w:pPr>
    </w:lvl>
    <w:lvl w:ilvl="4" w:tplc="74460784" w:tentative="1">
      <w:start w:val="1"/>
      <w:numFmt w:val="lowerLetter"/>
      <w:lvlText w:val="%5."/>
      <w:lvlJc w:val="left"/>
      <w:pPr>
        <w:ind w:left="3600" w:hanging="360"/>
      </w:pPr>
    </w:lvl>
    <w:lvl w:ilvl="5" w:tplc="99ACE230" w:tentative="1">
      <w:start w:val="1"/>
      <w:numFmt w:val="lowerRoman"/>
      <w:lvlText w:val="%6."/>
      <w:lvlJc w:val="right"/>
      <w:pPr>
        <w:ind w:left="4320" w:hanging="180"/>
      </w:pPr>
    </w:lvl>
    <w:lvl w:ilvl="6" w:tplc="FCDC2320" w:tentative="1">
      <w:start w:val="1"/>
      <w:numFmt w:val="decimal"/>
      <w:lvlText w:val="%7."/>
      <w:lvlJc w:val="left"/>
      <w:pPr>
        <w:ind w:left="5040" w:hanging="360"/>
      </w:pPr>
    </w:lvl>
    <w:lvl w:ilvl="7" w:tplc="C5341994" w:tentative="1">
      <w:start w:val="1"/>
      <w:numFmt w:val="lowerLetter"/>
      <w:lvlText w:val="%8."/>
      <w:lvlJc w:val="left"/>
      <w:pPr>
        <w:ind w:left="5760" w:hanging="360"/>
      </w:pPr>
    </w:lvl>
    <w:lvl w:ilvl="8" w:tplc="BDC6C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C76889C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657C9FEC" w:tentative="1">
      <w:start w:val="1"/>
      <w:numFmt w:val="lowerLetter"/>
      <w:lvlText w:val="%2."/>
      <w:lvlJc w:val="left"/>
      <w:pPr>
        <w:ind w:left="1440" w:hanging="360"/>
      </w:pPr>
    </w:lvl>
    <w:lvl w:ilvl="2" w:tplc="B64891F4" w:tentative="1">
      <w:start w:val="1"/>
      <w:numFmt w:val="lowerRoman"/>
      <w:lvlText w:val="%3."/>
      <w:lvlJc w:val="right"/>
      <w:pPr>
        <w:ind w:left="2160" w:hanging="180"/>
      </w:pPr>
    </w:lvl>
    <w:lvl w:ilvl="3" w:tplc="C2667BDC" w:tentative="1">
      <w:start w:val="1"/>
      <w:numFmt w:val="decimal"/>
      <w:lvlText w:val="%4."/>
      <w:lvlJc w:val="left"/>
      <w:pPr>
        <w:ind w:left="2880" w:hanging="360"/>
      </w:pPr>
    </w:lvl>
    <w:lvl w:ilvl="4" w:tplc="0B30908E" w:tentative="1">
      <w:start w:val="1"/>
      <w:numFmt w:val="lowerLetter"/>
      <w:lvlText w:val="%5."/>
      <w:lvlJc w:val="left"/>
      <w:pPr>
        <w:ind w:left="3600" w:hanging="360"/>
      </w:pPr>
    </w:lvl>
    <w:lvl w:ilvl="5" w:tplc="0818DECC" w:tentative="1">
      <w:start w:val="1"/>
      <w:numFmt w:val="lowerRoman"/>
      <w:lvlText w:val="%6."/>
      <w:lvlJc w:val="right"/>
      <w:pPr>
        <w:ind w:left="4320" w:hanging="180"/>
      </w:pPr>
    </w:lvl>
    <w:lvl w:ilvl="6" w:tplc="B4FA824A" w:tentative="1">
      <w:start w:val="1"/>
      <w:numFmt w:val="decimal"/>
      <w:lvlText w:val="%7."/>
      <w:lvlJc w:val="left"/>
      <w:pPr>
        <w:ind w:left="5040" w:hanging="360"/>
      </w:pPr>
    </w:lvl>
    <w:lvl w:ilvl="7" w:tplc="F9D85ECC" w:tentative="1">
      <w:start w:val="1"/>
      <w:numFmt w:val="lowerLetter"/>
      <w:lvlText w:val="%8."/>
      <w:lvlJc w:val="left"/>
      <w:pPr>
        <w:ind w:left="5760" w:hanging="360"/>
      </w:pPr>
    </w:lvl>
    <w:lvl w:ilvl="8" w:tplc="26CA596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FR"/>
    <w:docVar w:name="dvnumam" w:val="47"/>
    <w:docVar w:name="dvpe" w:val="746.964"/>
    <w:docVar w:name="dvrapporteur" w:val="Rapporteur: "/>
    <w:docVar w:name="dvstar" w:val="***I"/>
    <w:docVar w:name="dvtitre" w:val="Résolution législative du Parlement européen du ... 2024 relatif à la proposition de directive du Parlement européen et du Conseil modifiant la directive 98/24/CE du Conseil et la directive 2004/37/CE du Parlement européen et du Conseil en ce qui concerne les valeurs limites pour le plomb, ses composés inorganiques et les diisocyanates(COM(2023)0071 – C9-0022/2023 – 2023/0033(COD))"/>
  </w:docVars>
  <w:rsids>
    <w:rsidRoot w:val="009808DF"/>
    <w:rsid w:val="00002272"/>
    <w:rsid w:val="00035BD7"/>
    <w:rsid w:val="00064002"/>
    <w:rsid w:val="000677B9"/>
    <w:rsid w:val="000831BA"/>
    <w:rsid w:val="000A42CC"/>
    <w:rsid w:val="000E7DD9"/>
    <w:rsid w:val="0010095E"/>
    <w:rsid w:val="00125B37"/>
    <w:rsid w:val="00187494"/>
    <w:rsid w:val="001E245D"/>
    <w:rsid w:val="001F0957"/>
    <w:rsid w:val="001F32AE"/>
    <w:rsid w:val="002767FF"/>
    <w:rsid w:val="002B18FE"/>
    <w:rsid w:val="002B5493"/>
    <w:rsid w:val="00343214"/>
    <w:rsid w:val="00361C00"/>
    <w:rsid w:val="0039032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177F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1C8"/>
    <w:rsid w:val="00762C74"/>
    <w:rsid w:val="00766FF7"/>
    <w:rsid w:val="00786EC0"/>
    <w:rsid w:val="007D1690"/>
    <w:rsid w:val="007E22AD"/>
    <w:rsid w:val="00817416"/>
    <w:rsid w:val="00842779"/>
    <w:rsid w:val="008472C3"/>
    <w:rsid w:val="00865F67"/>
    <w:rsid w:val="00881A7B"/>
    <w:rsid w:val="008840E5"/>
    <w:rsid w:val="00887B3E"/>
    <w:rsid w:val="008C2AC6"/>
    <w:rsid w:val="00905446"/>
    <w:rsid w:val="00910D27"/>
    <w:rsid w:val="00930C23"/>
    <w:rsid w:val="0093193B"/>
    <w:rsid w:val="009509D8"/>
    <w:rsid w:val="00950B64"/>
    <w:rsid w:val="009660BA"/>
    <w:rsid w:val="009808DF"/>
    <w:rsid w:val="00981893"/>
    <w:rsid w:val="00A11209"/>
    <w:rsid w:val="00A1687D"/>
    <w:rsid w:val="00A43E52"/>
    <w:rsid w:val="00A45448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CDA"/>
    <w:rsid w:val="00B93A1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C1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D2B19"/>
  <w15:chartTrackingRefBased/>
  <w15:docId w15:val="{D7BED966-C2A8-4DA1-B086-54E73FF7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1120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1120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1120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1120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1120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11209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semiHidden/>
    <w:rsid w:val="00A11209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A11209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A11209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nhideWhenUsed/>
    <w:qFormat/>
    <w:rsid w:val="00A1120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1120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1120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11209"/>
    <w:pPr>
      <w:spacing w:after="120"/>
    </w:pPr>
  </w:style>
  <w:style w:type="paragraph" w:customStyle="1" w:styleId="PageHeading">
    <w:name w:val="PageHeading"/>
    <w:basedOn w:val="Normal"/>
    <w:rsid w:val="00A1120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11209"/>
    <w:rPr>
      <w:b/>
    </w:rPr>
  </w:style>
  <w:style w:type="paragraph" w:customStyle="1" w:styleId="NormalBold12a">
    <w:name w:val="NormalBold12a"/>
    <w:basedOn w:val="Normal"/>
    <w:rsid w:val="00A11209"/>
    <w:pPr>
      <w:spacing w:after="240"/>
    </w:pPr>
    <w:rPr>
      <w:b/>
    </w:rPr>
  </w:style>
  <w:style w:type="paragraph" w:customStyle="1" w:styleId="AmJustText">
    <w:name w:val="AmJustText"/>
    <w:basedOn w:val="Normal"/>
    <w:rsid w:val="00A1120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1120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11209"/>
    <w:pPr>
      <w:spacing w:after="480"/>
      <w:ind w:left="1417"/>
    </w:pPr>
  </w:style>
  <w:style w:type="paragraph" w:customStyle="1" w:styleId="CoverNormal">
    <w:name w:val="CoverNormal"/>
    <w:basedOn w:val="Normal"/>
    <w:rsid w:val="00A11209"/>
    <w:pPr>
      <w:ind w:left="1418"/>
    </w:pPr>
  </w:style>
  <w:style w:type="paragraph" w:customStyle="1" w:styleId="AmCrossRef">
    <w:name w:val="AmCrossRef"/>
    <w:basedOn w:val="Normal"/>
    <w:rsid w:val="00A1120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1120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1120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1120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1120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1120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1120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1209"/>
    <w:rPr>
      <w:sz w:val="24"/>
      <w:lang w:val="fr-FR"/>
    </w:rPr>
  </w:style>
  <w:style w:type="paragraph" w:customStyle="1" w:styleId="AmOrLang">
    <w:name w:val="AmOrLang"/>
    <w:basedOn w:val="Normal"/>
    <w:rsid w:val="00A1120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1120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1120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11209"/>
    <w:pPr>
      <w:spacing w:before="240"/>
    </w:pPr>
    <w:rPr>
      <w:b/>
    </w:rPr>
  </w:style>
  <w:style w:type="paragraph" w:customStyle="1" w:styleId="EPBody">
    <w:name w:val="EPBody"/>
    <w:basedOn w:val="Normal"/>
    <w:rsid w:val="00A1120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1120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11209"/>
    <w:pPr>
      <w:spacing w:before="480" w:after="240"/>
    </w:pPr>
  </w:style>
  <w:style w:type="paragraph" w:customStyle="1" w:styleId="Lgendesigne">
    <w:name w:val="Légende signe"/>
    <w:basedOn w:val="Normal"/>
    <w:rsid w:val="00A1120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1120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11209"/>
    <w:rPr>
      <w:sz w:val="18"/>
    </w:rPr>
  </w:style>
  <w:style w:type="paragraph" w:customStyle="1" w:styleId="Normal6">
    <w:name w:val="Normal6"/>
    <w:basedOn w:val="Normal"/>
    <w:link w:val="Normal6Char"/>
    <w:rsid w:val="00A11209"/>
    <w:pPr>
      <w:spacing w:after="120"/>
    </w:pPr>
  </w:style>
  <w:style w:type="paragraph" w:customStyle="1" w:styleId="Normal12Italic">
    <w:name w:val="Normal12Italic"/>
    <w:basedOn w:val="Normal"/>
    <w:rsid w:val="00A11209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A1120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A1120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A11209"/>
    <w:rPr>
      <w:color w:val="0000FF"/>
      <w:u w:val="single"/>
    </w:rPr>
  </w:style>
  <w:style w:type="character" w:customStyle="1" w:styleId="super">
    <w:name w:val="super"/>
    <w:basedOn w:val="DefaultParagraphFont"/>
    <w:rsid w:val="00A11209"/>
  </w:style>
  <w:style w:type="character" w:styleId="CommentReference">
    <w:name w:val="annotation reference"/>
    <w:basedOn w:val="DefaultParagraphFont"/>
    <w:uiPriority w:val="99"/>
    <w:unhideWhenUsed/>
    <w:rsid w:val="00A112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209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209"/>
    <w:rPr>
      <w:rFonts w:eastAsiaTheme="minorHAnsi"/>
      <w:lang w:val="fr-FR" w:eastAsia="en-US"/>
    </w:rPr>
  </w:style>
  <w:style w:type="paragraph" w:styleId="BalloonText">
    <w:name w:val="Balloon Text"/>
    <w:basedOn w:val="Normal"/>
    <w:link w:val="BalloonTextChar"/>
    <w:unhideWhenUsed/>
    <w:rsid w:val="00A112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1209"/>
    <w:rPr>
      <w:rFonts w:ascii="Segoe UI" w:hAnsi="Segoe UI" w:cs="Segoe UI"/>
      <w:sz w:val="18"/>
      <w:szCs w:val="18"/>
      <w:lang w:val="fr-FR"/>
    </w:rPr>
  </w:style>
  <w:style w:type="paragraph" w:styleId="ListBullet2">
    <w:name w:val="List Bullet 2"/>
    <w:basedOn w:val="Normal"/>
    <w:uiPriority w:val="99"/>
    <w:unhideWhenUsed/>
    <w:rsid w:val="00A11209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A11209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A11209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A11209"/>
  </w:style>
  <w:style w:type="paragraph" w:customStyle="1" w:styleId="title-gr-seq-level-2">
    <w:name w:val="title-gr-seq-level-2"/>
    <w:basedOn w:val="Normal"/>
    <w:rsid w:val="00A1120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112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209"/>
    <w:rPr>
      <w:sz w:val="24"/>
      <w:lang w:val="fr-FR"/>
    </w:rPr>
  </w:style>
  <w:style w:type="character" w:customStyle="1" w:styleId="NormalBoldChar">
    <w:name w:val="NormalBold Char"/>
    <w:basedOn w:val="DefaultParagraphFont"/>
    <w:link w:val="NormalBold"/>
    <w:rsid w:val="00A11209"/>
    <w:rPr>
      <w:b/>
      <w:sz w:val="24"/>
      <w:lang w:val="fr-FR"/>
    </w:rPr>
  </w:style>
  <w:style w:type="paragraph" w:customStyle="1" w:styleId="JustificationTitle">
    <w:name w:val="JustificationTitle"/>
    <w:basedOn w:val="Normal"/>
    <w:next w:val="Normal"/>
    <w:rsid w:val="00A11209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A11209"/>
    <w:rPr>
      <w:sz w:val="24"/>
      <w:lang w:val="fr-FR"/>
    </w:rPr>
  </w:style>
  <w:style w:type="paragraph" w:customStyle="1" w:styleId="ColumnHeading">
    <w:name w:val="ColumnHeading"/>
    <w:basedOn w:val="Normal"/>
    <w:rsid w:val="00A1120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1120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11209"/>
    <w:pPr>
      <w:spacing w:before="240"/>
      <w:jc w:val="center"/>
    </w:pPr>
    <w:rPr>
      <w:i/>
    </w:rPr>
  </w:style>
  <w:style w:type="paragraph" w:customStyle="1" w:styleId="Olang">
    <w:name w:val="Olang"/>
    <w:rsid w:val="00A11209"/>
    <w:pPr>
      <w:jc w:val="right"/>
    </w:pPr>
    <w:rPr>
      <w:lang w:val="fr-FR"/>
    </w:rPr>
  </w:style>
  <w:style w:type="character" w:customStyle="1" w:styleId="Footer2Middle">
    <w:name w:val="Footer2Middle"/>
    <w:rsid w:val="00A11209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A11209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11209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A11209"/>
    <w:rPr>
      <w:rFonts w:eastAsiaTheme="minorHAnsi"/>
      <w:b/>
      <w:bCs/>
      <w:lang w:val="fr-FR" w:eastAsia="en-US"/>
    </w:rPr>
  </w:style>
  <w:style w:type="paragraph" w:customStyle="1" w:styleId="Normal12a">
    <w:name w:val="Normal12a"/>
    <w:basedOn w:val="Normal"/>
    <w:rsid w:val="00A11209"/>
    <w:pPr>
      <w:spacing w:after="240"/>
    </w:pPr>
  </w:style>
  <w:style w:type="paragraph" w:customStyle="1" w:styleId="RollCallVotes">
    <w:name w:val="RollCallVotes"/>
    <w:basedOn w:val="Normal"/>
    <w:rsid w:val="00A1120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1120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1120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11209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766FF7"/>
    <w:rPr>
      <w:sz w:val="24"/>
      <w:lang w:val="fr-FR"/>
    </w:rPr>
  </w:style>
  <w:style w:type="paragraph" w:customStyle="1" w:styleId="HeaderCouncil">
    <w:name w:val="Header Council"/>
    <w:basedOn w:val="Normal"/>
    <w:rsid w:val="0054177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4177F"/>
    <w:pPr>
      <w:widowControl/>
    </w:pPr>
    <w:rPr>
      <w:rFonts w:eastAsia="Calibri"/>
      <w:sz w:val="2"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54177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54177F"/>
    <w:rPr>
      <w:rFonts w:ascii="Calibri" w:eastAsia="Calibri" w:hAnsi="Calibri" w:cs="Arial"/>
      <w:sz w:val="22"/>
      <w:szCs w:val="22"/>
      <w:lang w:val="fr-FR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CouncilLarge">
    <w:name w:val="Header Council Large"/>
    <w:basedOn w:val="Normal"/>
    <w:link w:val="HeaderCouncilLargeChar"/>
    <w:rsid w:val="0054177F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54177F"/>
    <w:rPr>
      <w:rFonts w:eastAsia="Calibri"/>
      <w:sz w:val="2"/>
      <w:szCs w:val="22"/>
      <w:lang w:val="fr-FR" w:eastAsia="en-US"/>
    </w:rPr>
  </w:style>
  <w:style w:type="paragraph" w:styleId="NormalWeb">
    <w:name w:val="Normal (Web)"/>
    <w:basedOn w:val="Normal"/>
    <w:uiPriority w:val="99"/>
    <w:unhideWhenUsed/>
    <w:rsid w:val="009660BA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EFAD7-7362-413C-95E6-2207C5A39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DELECROIX Dorothee</cp:lastModifiedBy>
  <cp:revision>2</cp:revision>
  <cp:lastPrinted>2004-11-19T15:42:00Z</cp:lastPrinted>
  <dcterms:created xsi:type="dcterms:W3CDTF">2024-04-22T13:20:00Z</dcterms:created>
  <dcterms:modified xsi:type="dcterms:W3CDTF">2024-04-22T13:20:00Z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