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013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3013E" w:rsidRDefault="00D318A2" w:rsidP="0010095E">
            <w:pPr>
              <w:pStyle w:val="EPName"/>
            </w:pPr>
            <w:r w:rsidRPr="00F3013E">
              <w:t>Europski parlament</w:t>
            </w:r>
          </w:p>
          <w:p w:rsidR="00751A4A" w:rsidRPr="00F3013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4674">
              <w:t>2019</w:t>
            </w:r>
            <w:r w:rsidRPr="00F3013E">
              <w:t>-</w:t>
            </w:r>
            <w:r w:rsidRPr="0016467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3013E" w:rsidRDefault="00187494" w:rsidP="0010095E">
            <w:pPr>
              <w:pStyle w:val="EPLogo"/>
            </w:pPr>
            <w:r w:rsidRPr="00F3013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3013E" w:rsidRDefault="00D058B8" w:rsidP="004C5D52">
      <w:pPr>
        <w:pStyle w:val="LineTop"/>
      </w:pPr>
    </w:p>
    <w:p w:rsidR="00680577" w:rsidRPr="00F3013E" w:rsidRDefault="00D318A2" w:rsidP="00680577">
      <w:pPr>
        <w:pStyle w:val="EPBodyTA1"/>
      </w:pPr>
      <w:r w:rsidRPr="00F3013E">
        <w:t>USVOJENI TEKSTOVI</w:t>
      </w:r>
    </w:p>
    <w:p w:rsidR="00D058B8" w:rsidRPr="00F3013E" w:rsidRDefault="00D058B8" w:rsidP="00D058B8">
      <w:pPr>
        <w:pStyle w:val="LineBottom"/>
      </w:pPr>
    </w:p>
    <w:p w:rsidR="00D318A2" w:rsidRPr="00F3013E" w:rsidRDefault="00D318A2" w:rsidP="00D318A2">
      <w:pPr>
        <w:pStyle w:val="ATHeading1"/>
      </w:pPr>
      <w:bookmarkStart w:id="0" w:name="TANumber"/>
      <w:r w:rsidRPr="00F3013E">
        <w:t>P</w:t>
      </w:r>
      <w:r w:rsidRPr="00164674">
        <w:t>9</w:t>
      </w:r>
      <w:r w:rsidRPr="00F3013E">
        <w:t>_TA(</w:t>
      </w:r>
      <w:r w:rsidRPr="00164674">
        <w:t>2024</w:t>
      </w:r>
      <w:r w:rsidRPr="00F3013E">
        <w:t>)</w:t>
      </w:r>
      <w:r w:rsidRPr="00164674">
        <w:t>00</w:t>
      </w:r>
      <w:r w:rsidR="00F3013E" w:rsidRPr="00164674">
        <w:t>66</w:t>
      </w:r>
      <w:bookmarkEnd w:id="0"/>
    </w:p>
    <w:p w:rsidR="00D318A2" w:rsidRPr="00F3013E" w:rsidRDefault="00D318A2" w:rsidP="00D318A2">
      <w:pPr>
        <w:pStyle w:val="ATHeading2"/>
      </w:pPr>
      <w:bookmarkStart w:id="1" w:name="title"/>
      <w:r w:rsidRPr="00F3013E">
        <w:t>Granične vrijednosti za olovo i njegove anorganske spojeve te za diizocijanate</w:t>
      </w:r>
      <w:bookmarkEnd w:id="1"/>
    </w:p>
    <w:p w:rsidR="00D318A2" w:rsidRPr="00F3013E" w:rsidRDefault="00D318A2" w:rsidP="00D318A2">
      <w:pPr>
        <w:rPr>
          <w:i/>
          <w:vanish/>
        </w:rPr>
      </w:pPr>
      <w:r w:rsidRPr="00F3013E">
        <w:rPr>
          <w:i/>
        </w:rPr>
        <w:fldChar w:fldCharType="begin"/>
      </w:r>
      <w:r w:rsidRPr="00F3013E">
        <w:rPr>
          <w:i/>
        </w:rPr>
        <w:instrText xml:space="preserve"> TC"(</w:instrText>
      </w:r>
      <w:bookmarkStart w:id="2" w:name="DocNumber"/>
      <w:r w:rsidRPr="00F3013E">
        <w:rPr>
          <w:i/>
        </w:rPr>
        <w:instrText>A</w:instrText>
      </w:r>
      <w:r w:rsidRPr="00164674">
        <w:rPr>
          <w:i/>
        </w:rPr>
        <w:instrText>9</w:instrText>
      </w:r>
      <w:r w:rsidRPr="00F3013E">
        <w:rPr>
          <w:i/>
        </w:rPr>
        <w:instrText>-</w:instrText>
      </w:r>
      <w:r w:rsidRPr="00164674">
        <w:rPr>
          <w:i/>
        </w:rPr>
        <w:instrText>0263</w:instrText>
      </w:r>
      <w:r w:rsidRPr="00F3013E">
        <w:rPr>
          <w:i/>
        </w:rPr>
        <w:instrText>/</w:instrText>
      </w:r>
      <w:r w:rsidRPr="00164674">
        <w:rPr>
          <w:i/>
        </w:rPr>
        <w:instrText>2023</w:instrText>
      </w:r>
      <w:bookmarkEnd w:id="2"/>
      <w:r w:rsidRPr="00F3013E">
        <w:rPr>
          <w:i/>
        </w:rPr>
        <w:instrText xml:space="preserve"> - Izvjestitelj: Nikolaj Villumsen)"\l</w:instrText>
      </w:r>
      <w:r w:rsidRPr="00164674">
        <w:rPr>
          <w:i/>
        </w:rPr>
        <w:instrText>3</w:instrText>
      </w:r>
      <w:r w:rsidRPr="00F3013E">
        <w:rPr>
          <w:i/>
        </w:rPr>
        <w:instrText xml:space="preserve"> \n&gt; \* MERGEFORMAT </w:instrText>
      </w:r>
      <w:r w:rsidRPr="00F3013E">
        <w:rPr>
          <w:i/>
        </w:rPr>
        <w:fldChar w:fldCharType="end"/>
      </w:r>
    </w:p>
    <w:p w:rsidR="00D318A2" w:rsidRPr="00F3013E" w:rsidRDefault="00D318A2" w:rsidP="00D318A2">
      <w:pPr>
        <w:rPr>
          <w:vanish/>
        </w:rPr>
      </w:pPr>
      <w:bookmarkStart w:id="3" w:name="Commission"/>
      <w:r w:rsidRPr="00F3013E">
        <w:rPr>
          <w:vanish/>
        </w:rPr>
        <w:t>Odbor za zapošljavanje i socijalna pitanja</w:t>
      </w:r>
      <w:bookmarkEnd w:id="3"/>
    </w:p>
    <w:p w:rsidR="00D318A2" w:rsidRPr="00F3013E" w:rsidRDefault="00D318A2" w:rsidP="00D318A2">
      <w:pPr>
        <w:rPr>
          <w:vanish/>
        </w:rPr>
      </w:pPr>
      <w:bookmarkStart w:id="4" w:name="PE"/>
      <w:r w:rsidRPr="00F3013E">
        <w:rPr>
          <w:vanish/>
        </w:rPr>
        <w:t>PE</w:t>
      </w:r>
      <w:r w:rsidRPr="00164674">
        <w:rPr>
          <w:vanish/>
        </w:rPr>
        <w:t>746</w:t>
      </w:r>
      <w:r w:rsidRPr="00F3013E">
        <w:rPr>
          <w:vanish/>
        </w:rPr>
        <w:t>.</w:t>
      </w:r>
      <w:r w:rsidRPr="00164674">
        <w:rPr>
          <w:vanish/>
        </w:rPr>
        <w:t>964</w:t>
      </w:r>
      <w:bookmarkEnd w:id="4"/>
    </w:p>
    <w:p w:rsidR="00D318A2" w:rsidRPr="00F3013E" w:rsidRDefault="00D318A2" w:rsidP="00D318A2">
      <w:pPr>
        <w:pStyle w:val="ATHeading3"/>
      </w:pPr>
      <w:bookmarkStart w:id="5" w:name="Sujet"/>
      <w:r w:rsidRPr="00F3013E">
        <w:t xml:space="preserve">Zakonodavna rezolucija Europskog parlamenta od </w:t>
      </w:r>
      <w:r w:rsidR="00FA5095" w:rsidRPr="00164674">
        <w:t>7</w:t>
      </w:r>
      <w:r w:rsidR="00E21553" w:rsidRPr="00F3013E">
        <w:t>. veljače</w:t>
      </w:r>
      <w:r w:rsidRPr="00F3013E">
        <w:t xml:space="preserve"> </w:t>
      </w:r>
      <w:r w:rsidRPr="00164674">
        <w:t>2024</w:t>
      </w:r>
      <w:r w:rsidRPr="00F3013E">
        <w:t xml:space="preserve">. o Prijedlogu direktive Europskog parlamenta i Vijeća o izmjeni Direktive Vijeća </w:t>
      </w:r>
      <w:r w:rsidRPr="00164674">
        <w:t>98</w:t>
      </w:r>
      <w:r w:rsidRPr="00F3013E">
        <w:t>/</w:t>
      </w:r>
      <w:r w:rsidRPr="00164674">
        <w:t>24</w:t>
      </w:r>
      <w:r w:rsidRPr="00F3013E">
        <w:t xml:space="preserve">/EZ i Direktive </w:t>
      </w:r>
      <w:r w:rsidRPr="00164674">
        <w:t>2004</w:t>
      </w:r>
      <w:r w:rsidRPr="00F3013E">
        <w:t>/</w:t>
      </w:r>
      <w:r w:rsidRPr="00164674">
        <w:t>37</w:t>
      </w:r>
      <w:r w:rsidRPr="00F3013E">
        <w:t>/EZ Europskog parlamenta i Vijeća u pogledu graničnih vrijednosti za olovo i njegove anorganske spojeve te za diizocijanate</w:t>
      </w:r>
      <w:bookmarkEnd w:id="5"/>
      <w:r w:rsidRPr="00F3013E">
        <w:t xml:space="preserve"> </w:t>
      </w:r>
      <w:bookmarkStart w:id="6" w:name="References"/>
      <w:r w:rsidRPr="00F3013E">
        <w:t>(COM(</w:t>
      </w:r>
      <w:r w:rsidRPr="00164674">
        <w:t>2023</w:t>
      </w:r>
      <w:r w:rsidRPr="00F3013E">
        <w:t>)</w:t>
      </w:r>
      <w:r w:rsidRPr="00164674">
        <w:t>0071</w:t>
      </w:r>
      <w:r w:rsidRPr="00F3013E">
        <w:t xml:space="preserve"> – C</w:t>
      </w:r>
      <w:r w:rsidRPr="00164674">
        <w:t>9</w:t>
      </w:r>
      <w:r w:rsidRPr="00F3013E">
        <w:t>-</w:t>
      </w:r>
      <w:r w:rsidRPr="00164674">
        <w:t>0022</w:t>
      </w:r>
      <w:r w:rsidRPr="00F3013E">
        <w:t>/</w:t>
      </w:r>
      <w:r w:rsidRPr="00164674">
        <w:t>2023</w:t>
      </w:r>
      <w:r w:rsidRPr="00F3013E">
        <w:t xml:space="preserve"> – </w:t>
      </w:r>
      <w:r w:rsidRPr="00164674">
        <w:t>2023</w:t>
      </w:r>
      <w:r w:rsidRPr="00F3013E">
        <w:t>/</w:t>
      </w:r>
      <w:r w:rsidRPr="00164674">
        <w:t>0033</w:t>
      </w:r>
      <w:r w:rsidRPr="00F3013E">
        <w:t>(COD))</w:t>
      </w:r>
      <w:bookmarkEnd w:id="6"/>
    </w:p>
    <w:p w:rsidR="00D318A2" w:rsidRPr="00F3013E" w:rsidRDefault="00D318A2" w:rsidP="00D318A2"/>
    <w:p w:rsidR="003D7298" w:rsidRPr="00F3013E" w:rsidRDefault="003D7298" w:rsidP="003D7298">
      <w:pPr>
        <w:pStyle w:val="NormalBold"/>
      </w:pPr>
      <w:bookmarkStart w:id="7" w:name="TextBodyBegin"/>
      <w:bookmarkEnd w:id="7"/>
      <w:r w:rsidRPr="00F3013E">
        <w:t>(Redovni zakonodavni postupak: prvo čitanje)</w:t>
      </w:r>
    </w:p>
    <w:p w:rsidR="003D7298" w:rsidRPr="00F3013E" w:rsidRDefault="003D7298" w:rsidP="003D7298">
      <w:pPr>
        <w:pStyle w:val="EPComma"/>
      </w:pPr>
      <w:r w:rsidRPr="00F3013E">
        <w:rPr>
          <w:i/>
        </w:rPr>
        <w:t>Europski parlament</w:t>
      </w:r>
      <w:r w:rsidRPr="00F3013E">
        <w:t>,</w:t>
      </w:r>
    </w:p>
    <w:p w:rsidR="003D7298" w:rsidRPr="00F3013E" w:rsidRDefault="003D7298" w:rsidP="003D7298">
      <w:pPr>
        <w:pStyle w:val="NormalHanging12a"/>
      </w:pPr>
      <w:r w:rsidRPr="00F3013E">
        <w:t>–</w:t>
      </w:r>
      <w:r w:rsidRPr="00F3013E">
        <w:tab/>
        <w:t>uzimajući u obzir Prijedlog Komisije upućen Europskom parlamentu i Vijeću (COM(</w:t>
      </w:r>
      <w:r w:rsidRPr="00164674">
        <w:t>2023</w:t>
      </w:r>
      <w:r w:rsidRPr="00F3013E">
        <w:t>)</w:t>
      </w:r>
      <w:r w:rsidRPr="00164674">
        <w:t>0071</w:t>
      </w:r>
      <w:r w:rsidRPr="00F3013E">
        <w:t>),</w:t>
      </w:r>
    </w:p>
    <w:p w:rsidR="003D7298" w:rsidRPr="00F3013E" w:rsidRDefault="003D7298" w:rsidP="003D7298">
      <w:pPr>
        <w:pStyle w:val="NormalHanging12a"/>
      </w:pPr>
      <w:r w:rsidRPr="00F3013E">
        <w:t>–</w:t>
      </w:r>
      <w:r w:rsidRPr="00F3013E">
        <w:tab/>
        <w:t>uzimajući u obzir članak </w:t>
      </w:r>
      <w:r w:rsidRPr="00164674">
        <w:t>294</w:t>
      </w:r>
      <w:r w:rsidRPr="00F3013E">
        <w:t>. stavak </w:t>
      </w:r>
      <w:r w:rsidRPr="00164674">
        <w:t>2</w:t>
      </w:r>
      <w:r w:rsidRPr="00F3013E">
        <w:t>. i članak </w:t>
      </w:r>
      <w:r w:rsidRPr="00164674">
        <w:t>153</w:t>
      </w:r>
      <w:r w:rsidRPr="00F3013E">
        <w:t>. stavak </w:t>
      </w:r>
      <w:r w:rsidRPr="00164674">
        <w:t>2</w:t>
      </w:r>
      <w:r w:rsidRPr="00F3013E">
        <w:t>. točku (b), zajedno sa stavkom </w:t>
      </w:r>
      <w:r w:rsidRPr="00164674">
        <w:t>1</w:t>
      </w:r>
      <w:r w:rsidRPr="00F3013E">
        <w:t>. točkom (a) Ugovora o funkcioniranju Europske unije, u skladu s kojima je Komisija podnijela prijedlog Parlamentu (C</w:t>
      </w:r>
      <w:r w:rsidRPr="00164674">
        <w:t>9</w:t>
      </w:r>
      <w:r w:rsidRPr="00F3013E">
        <w:noBreakHyphen/>
      </w:r>
      <w:r w:rsidRPr="00164674">
        <w:t>0022</w:t>
      </w:r>
      <w:r w:rsidRPr="00F3013E">
        <w:t>/</w:t>
      </w:r>
      <w:r w:rsidRPr="00164674">
        <w:t>2023</w:t>
      </w:r>
      <w:r w:rsidRPr="00F3013E">
        <w:t>),</w:t>
      </w:r>
    </w:p>
    <w:p w:rsidR="003D7298" w:rsidRPr="00F3013E" w:rsidRDefault="003D7298" w:rsidP="003D7298">
      <w:pPr>
        <w:pStyle w:val="NormalHanging12a"/>
      </w:pPr>
      <w:r w:rsidRPr="00F3013E">
        <w:t>–</w:t>
      </w:r>
      <w:r w:rsidRPr="00F3013E">
        <w:tab/>
        <w:t xml:space="preserve">uzimajući u obzir članak </w:t>
      </w:r>
      <w:r w:rsidRPr="00164674">
        <w:t>294</w:t>
      </w:r>
      <w:r w:rsidRPr="00F3013E">
        <w:t xml:space="preserve">. stavak </w:t>
      </w:r>
      <w:r w:rsidRPr="00164674">
        <w:t>3</w:t>
      </w:r>
      <w:r w:rsidRPr="00F3013E">
        <w:t>. Ugovora o funkcioniranju Europske unije,</w:t>
      </w:r>
    </w:p>
    <w:p w:rsidR="003D7298" w:rsidRPr="00F3013E" w:rsidRDefault="003D7298" w:rsidP="003D7298">
      <w:pPr>
        <w:pStyle w:val="NormalHanging12a"/>
      </w:pPr>
      <w:r w:rsidRPr="00F3013E">
        <w:t>–</w:t>
      </w:r>
      <w:r w:rsidRPr="00F3013E">
        <w:tab/>
        <w:t>uzimajući u obzir mišljenje Europskog</w:t>
      </w:r>
      <w:r w:rsidR="004D3E9C" w:rsidRPr="00F3013E">
        <w:t>a</w:t>
      </w:r>
      <w:r w:rsidRPr="00F3013E">
        <w:t xml:space="preserve"> gospodarskog i socijalnog odbora od </w:t>
      </w:r>
      <w:r w:rsidRPr="00164674">
        <w:t>22</w:t>
      </w:r>
      <w:r w:rsidRPr="00F3013E">
        <w:t xml:space="preserve">. ožujka </w:t>
      </w:r>
      <w:r w:rsidRPr="00164674">
        <w:t>2023</w:t>
      </w:r>
      <w:r w:rsidRPr="00F3013E">
        <w:t>.</w:t>
      </w:r>
      <w:r w:rsidRPr="00F3013E">
        <w:rPr>
          <w:vertAlign w:val="superscript"/>
        </w:rPr>
        <w:footnoteReference w:id="1"/>
      </w:r>
      <w:r w:rsidRPr="00F3013E">
        <w:t>,</w:t>
      </w:r>
    </w:p>
    <w:p w:rsidR="00E21553" w:rsidRPr="00F3013E" w:rsidRDefault="00E21553" w:rsidP="003D7298">
      <w:pPr>
        <w:pStyle w:val="NormalHanging12a"/>
      </w:pPr>
      <w:r w:rsidRPr="00F3013E">
        <w:t>–</w:t>
      </w:r>
      <w:r w:rsidRPr="00F3013E">
        <w:tab/>
        <w:t>nakon savjetovanja s Odborom regija,</w:t>
      </w:r>
    </w:p>
    <w:p w:rsidR="00E21553" w:rsidRPr="00F3013E" w:rsidRDefault="00E21553" w:rsidP="003D7298">
      <w:pPr>
        <w:pStyle w:val="NormalHanging12a"/>
      </w:pPr>
      <w:r w:rsidRPr="00F3013E">
        <w:t>–</w:t>
      </w:r>
      <w:r w:rsidRPr="00F3013E">
        <w:tab/>
        <w:t xml:space="preserve">uzimajući u obzir privremeni sporazum koji je odobrio nadležni odbor u skladu s člankom </w:t>
      </w:r>
      <w:r w:rsidRPr="00164674">
        <w:t>74</w:t>
      </w:r>
      <w:r w:rsidRPr="00F3013E">
        <w:t xml:space="preserve">. stavkom </w:t>
      </w:r>
      <w:r w:rsidRPr="00164674">
        <w:t>4</w:t>
      </w:r>
      <w:r w:rsidRPr="00F3013E">
        <w:t xml:space="preserve">. Poslovnika te činjenicu da se predstavnik Vijeća pismom od </w:t>
      </w:r>
      <w:r w:rsidRPr="00164674">
        <w:t>6</w:t>
      </w:r>
      <w:r w:rsidRPr="00F3013E">
        <w:t xml:space="preserve">. prosinca </w:t>
      </w:r>
      <w:r w:rsidRPr="00164674">
        <w:t>2023</w:t>
      </w:r>
      <w:r w:rsidRPr="00F3013E">
        <w:t xml:space="preserve">. obvezao prihvatiti stajalište Europskog parlamenta u skladu s člankom </w:t>
      </w:r>
      <w:r w:rsidRPr="00164674">
        <w:t>294</w:t>
      </w:r>
      <w:r w:rsidRPr="00F3013E">
        <w:t xml:space="preserve">. stavkom </w:t>
      </w:r>
      <w:r w:rsidRPr="00164674">
        <w:t>4</w:t>
      </w:r>
      <w:r w:rsidRPr="00F3013E">
        <w:t>. Ugovora o funkcioniranju Europske unije,</w:t>
      </w:r>
    </w:p>
    <w:p w:rsidR="003D7298" w:rsidRPr="00F3013E" w:rsidRDefault="003D7298" w:rsidP="003D7298">
      <w:pPr>
        <w:pStyle w:val="NormalHanging12a"/>
      </w:pPr>
      <w:r w:rsidRPr="00F3013E">
        <w:t>–</w:t>
      </w:r>
      <w:r w:rsidRPr="00F3013E">
        <w:tab/>
        <w:t xml:space="preserve">uzimajući u obzir članak </w:t>
      </w:r>
      <w:r w:rsidRPr="00164674">
        <w:t>59</w:t>
      </w:r>
      <w:r w:rsidRPr="00F3013E">
        <w:t>. Poslovnika,</w:t>
      </w:r>
    </w:p>
    <w:p w:rsidR="003D7298" w:rsidRPr="00F3013E" w:rsidRDefault="003D7298" w:rsidP="003D7298">
      <w:pPr>
        <w:pStyle w:val="NormalHanging12a"/>
      </w:pPr>
      <w:r w:rsidRPr="00F3013E">
        <w:t>–</w:t>
      </w:r>
      <w:r w:rsidRPr="00F3013E">
        <w:tab/>
        <w:t>uzimajući u obzir izvješće Odbora za zapošljavanje i socijalna pitanja (A</w:t>
      </w:r>
      <w:r w:rsidRPr="00164674">
        <w:t>9</w:t>
      </w:r>
      <w:r w:rsidRPr="00F3013E">
        <w:noBreakHyphen/>
      </w:r>
      <w:r w:rsidRPr="00164674">
        <w:t>0263</w:t>
      </w:r>
      <w:r w:rsidRPr="00F3013E">
        <w:t>/</w:t>
      </w:r>
      <w:r w:rsidRPr="00164674">
        <w:t>2023</w:t>
      </w:r>
      <w:r w:rsidRPr="00F3013E">
        <w:t>),</w:t>
      </w:r>
    </w:p>
    <w:p w:rsidR="003D7298" w:rsidRPr="00F3013E" w:rsidRDefault="003D7298" w:rsidP="003D7298">
      <w:pPr>
        <w:pStyle w:val="NormalHanging12a"/>
      </w:pPr>
      <w:r w:rsidRPr="00164674">
        <w:t>1</w:t>
      </w:r>
      <w:r w:rsidRPr="00F3013E">
        <w:t>.</w:t>
      </w:r>
      <w:r w:rsidRPr="00F3013E">
        <w:tab/>
        <w:t>usvaja sljedeće stajalište u prvom čitanju;</w:t>
      </w:r>
    </w:p>
    <w:p w:rsidR="003D7298" w:rsidRPr="00F3013E" w:rsidRDefault="003D7298" w:rsidP="003D7298">
      <w:pPr>
        <w:pStyle w:val="NormalHanging12a"/>
      </w:pPr>
      <w:r w:rsidRPr="00164674">
        <w:t>2</w:t>
      </w:r>
      <w:r w:rsidRPr="00F3013E">
        <w:t>.</w:t>
      </w:r>
      <w:r w:rsidRPr="00F3013E">
        <w:tab/>
        <w:t xml:space="preserve">poziva Komisiju da predmet ponovno uputi Parlamentu ako zamijeni, bitno izmijeni ili </w:t>
      </w:r>
      <w:r w:rsidRPr="00F3013E">
        <w:lastRenderedPageBreak/>
        <w:t>namjerava bitno izmijeniti svoj Prijedlog;</w:t>
      </w:r>
    </w:p>
    <w:p w:rsidR="003D7298" w:rsidRPr="00F3013E" w:rsidRDefault="003D7298" w:rsidP="003D7298">
      <w:pPr>
        <w:pStyle w:val="NormalHanging12a"/>
      </w:pPr>
      <w:r w:rsidRPr="00164674">
        <w:t>3</w:t>
      </w:r>
      <w:r w:rsidRPr="00F3013E">
        <w:t>.</w:t>
      </w:r>
      <w:r w:rsidRPr="00F3013E">
        <w:tab/>
        <w:t>nalaže svojoj predsjednici da stajalište Parlamenta proslijedi Vijeću, Komisiji i nacionalnim parlamentima.</w:t>
      </w:r>
    </w:p>
    <w:p w:rsidR="00164674" w:rsidRDefault="00164674" w:rsidP="003D7298">
      <w:pPr>
        <w:widowControl/>
        <w:sectPr w:rsidR="00164674" w:rsidSect="00FA5095">
          <w:headerReference w:type="default" r:id="rId9"/>
          <w:headerReference w:type="first" r:id="rId10"/>
          <w:footerReference w:type="first" r:id="rId11"/>
          <w:footnotePr>
            <w:numRestart w:val="eachSect"/>
          </w:footnotePr>
          <w:pgSz w:w="11907" w:h="16840" w:code="9"/>
          <w:pgMar w:top="624" w:right="1134" w:bottom="1134" w:left="1134" w:header="567" w:footer="567" w:gutter="0"/>
          <w:pgNumType w:start="1"/>
          <w:cols w:space="720"/>
          <w:docGrid w:linePitch="360"/>
        </w:sectPr>
      </w:pPr>
    </w:p>
    <w:p w:rsidR="00FA5095" w:rsidRPr="00164674" w:rsidRDefault="00FA5095" w:rsidP="00FA509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164674">
        <w:rPr>
          <w:rFonts w:eastAsia="Calibri"/>
          <w:b/>
          <w:bCs/>
          <w:color w:val="000000"/>
          <w:szCs w:val="24"/>
        </w:rPr>
        <w:lastRenderedPageBreak/>
        <w:t>P9_TC1-COD(2023)0033</w:t>
      </w:r>
    </w:p>
    <w:p w:rsidR="00FA5095" w:rsidRPr="000E3A6A" w:rsidRDefault="00FA5095" w:rsidP="00F3013E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F3013E">
        <w:rPr>
          <w:rFonts w:eastAsia="Calibri"/>
          <w:b/>
          <w:szCs w:val="22"/>
          <w:lang w:eastAsia="en-US"/>
        </w:rPr>
        <w:t xml:space="preserve">Stajalište Europskog parlamenta usvojeno u prvom čitanju </w:t>
      </w:r>
      <w:r w:rsidRPr="00164674">
        <w:rPr>
          <w:rFonts w:eastAsia="Calibri"/>
          <w:b/>
          <w:szCs w:val="22"/>
          <w:lang w:eastAsia="en-US"/>
        </w:rPr>
        <w:t>7</w:t>
      </w:r>
      <w:r w:rsidRPr="00F3013E">
        <w:rPr>
          <w:rFonts w:eastAsia="Calibri"/>
          <w:b/>
          <w:szCs w:val="22"/>
          <w:lang w:eastAsia="en-US"/>
        </w:rPr>
        <w:t xml:space="preserve">. veljače </w:t>
      </w:r>
      <w:r w:rsidRPr="00164674">
        <w:rPr>
          <w:rFonts w:eastAsia="Calibri"/>
          <w:b/>
          <w:szCs w:val="22"/>
          <w:lang w:eastAsia="en-US"/>
        </w:rPr>
        <w:t>2024</w:t>
      </w:r>
      <w:r w:rsidRPr="00F3013E">
        <w:rPr>
          <w:rFonts w:eastAsia="Calibri"/>
          <w:b/>
          <w:szCs w:val="22"/>
          <w:lang w:eastAsia="en-US"/>
        </w:rPr>
        <w:t>. radi donošenja Di</w:t>
      </w:r>
      <w:r w:rsidR="00164674">
        <w:rPr>
          <w:rFonts w:eastAsia="Calibri"/>
          <w:b/>
          <w:szCs w:val="22"/>
          <w:lang w:eastAsia="en-US"/>
        </w:rPr>
        <w:t>r</w:t>
      </w:r>
      <w:r w:rsidRPr="00F3013E">
        <w:rPr>
          <w:rFonts w:eastAsia="Calibri"/>
          <w:b/>
          <w:szCs w:val="22"/>
          <w:lang w:eastAsia="en-US"/>
        </w:rPr>
        <w:t xml:space="preserve">ektive (EU) </w:t>
      </w:r>
      <w:r w:rsidRPr="00164674">
        <w:rPr>
          <w:rFonts w:eastAsia="Calibri"/>
          <w:b/>
          <w:szCs w:val="22"/>
          <w:lang w:eastAsia="en-US"/>
        </w:rPr>
        <w:t>2024</w:t>
      </w:r>
      <w:r w:rsidRPr="00F3013E">
        <w:rPr>
          <w:rFonts w:eastAsia="Calibri"/>
          <w:b/>
          <w:szCs w:val="22"/>
          <w:lang w:eastAsia="en-US"/>
        </w:rPr>
        <w:t xml:space="preserve">/... Europskog parlamenta i Vijeća o izmjeni Direktive </w:t>
      </w:r>
      <w:r w:rsidRPr="00164674">
        <w:rPr>
          <w:rFonts w:eastAsia="Calibri"/>
          <w:b/>
          <w:szCs w:val="22"/>
          <w:lang w:eastAsia="en-US"/>
        </w:rPr>
        <w:t>2004</w:t>
      </w:r>
      <w:r w:rsidRPr="00F3013E">
        <w:rPr>
          <w:rFonts w:eastAsia="Calibri"/>
          <w:b/>
          <w:szCs w:val="22"/>
          <w:lang w:eastAsia="en-US"/>
        </w:rPr>
        <w:t>/</w:t>
      </w:r>
      <w:r w:rsidRPr="00164674">
        <w:rPr>
          <w:rFonts w:eastAsia="Calibri"/>
          <w:b/>
          <w:szCs w:val="22"/>
          <w:lang w:eastAsia="en-US"/>
        </w:rPr>
        <w:t>37</w:t>
      </w:r>
      <w:r w:rsidRPr="00F3013E">
        <w:rPr>
          <w:rFonts w:eastAsia="Calibri"/>
          <w:b/>
          <w:szCs w:val="22"/>
          <w:lang w:eastAsia="en-US"/>
        </w:rPr>
        <w:t xml:space="preserve">/EZ Europskog parlamenta i Vijeća i Direktive Vijeća </w:t>
      </w:r>
      <w:r w:rsidRPr="00164674">
        <w:rPr>
          <w:rFonts w:eastAsia="Calibri"/>
          <w:b/>
          <w:szCs w:val="22"/>
          <w:lang w:eastAsia="en-US"/>
        </w:rPr>
        <w:t>98</w:t>
      </w:r>
      <w:r w:rsidRPr="00F3013E">
        <w:rPr>
          <w:rFonts w:eastAsia="Calibri"/>
          <w:b/>
          <w:szCs w:val="22"/>
          <w:lang w:eastAsia="en-US"/>
        </w:rPr>
        <w:t>/</w:t>
      </w:r>
      <w:r w:rsidRPr="00164674">
        <w:rPr>
          <w:rFonts w:eastAsia="Calibri"/>
          <w:b/>
          <w:szCs w:val="22"/>
          <w:lang w:eastAsia="en-US"/>
        </w:rPr>
        <w:t>24</w:t>
      </w:r>
      <w:r w:rsidRPr="00F3013E">
        <w:rPr>
          <w:rFonts w:eastAsia="Calibri"/>
          <w:b/>
          <w:szCs w:val="22"/>
          <w:lang w:eastAsia="en-US"/>
        </w:rPr>
        <w:t xml:space="preserve">/EZ u pogledu graničnih vrijednosti za olovo i njegove anorganske spojeve i za </w:t>
      </w:r>
      <w:r w:rsidRPr="000E3A6A">
        <w:rPr>
          <w:rFonts w:eastAsia="Calibri"/>
          <w:b/>
          <w:szCs w:val="22"/>
          <w:lang w:eastAsia="en-US"/>
        </w:rPr>
        <w:t>diizocijanate</w:t>
      </w:r>
    </w:p>
    <w:p w:rsidR="000E3A6A" w:rsidRPr="000E3A6A" w:rsidRDefault="000E3A6A" w:rsidP="00F3013E">
      <w:pPr>
        <w:widowControl/>
        <w:spacing w:before="360" w:after="360"/>
        <w:rPr>
          <w:rFonts w:eastAsia="Calibri"/>
          <w:b/>
          <w:i/>
          <w:szCs w:val="22"/>
          <w:lang w:eastAsia="en-US"/>
        </w:rPr>
      </w:pPr>
      <w:r w:rsidRPr="000E3A6A">
        <w:rPr>
          <w:rFonts w:eastAsia="Calibri"/>
          <w:i/>
          <w:szCs w:val="22"/>
          <w:lang w:eastAsia="en-US"/>
        </w:rPr>
        <w:t>(S obzirom da je postignut sporazum Parlamenta i Vijeća, stajalište Parlamenta odgovara konačnom zakonodavn</w:t>
      </w:r>
      <w:bookmarkStart w:id="9" w:name="_GoBack"/>
      <w:bookmarkEnd w:id="9"/>
      <w:r w:rsidRPr="000E3A6A">
        <w:rPr>
          <w:rFonts w:eastAsia="Calibri"/>
          <w:i/>
          <w:szCs w:val="22"/>
          <w:lang w:eastAsia="en-US"/>
        </w:rPr>
        <w:t>om aktu</w:t>
      </w:r>
      <w:r w:rsidRPr="000E3A6A">
        <w:rPr>
          <w:rFonts w:eastAsia="Calibri"/>
          <w:szCs w:val="22"/>
          <w:lang w:eastAsia="en-US"/>
        </w:rPr>
        <w:t xml:space="preserve">, </w:t>
      </w:r>
      <w:r w:rsidRPr="000E3A6A">
        <w:rPr>
          <w:rFonts w:eastAsia="Calibri"/>
          <w:i/>
          <w:szCs w:val="22"/>
          <w:lang w:eastAsia="en-US"/>
        </w:rPr>
        <w:t>Direktivi (EU) 2024/869).</w:t>
      </w:r>
    </w:p>
    <w:sectPr w:rsidR="000E3A6A" w:rsidRPr="000E3A6A" w:rsidSect="000E3A6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 w:code="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8A2" w:rsidRPr="001F47C8" w:rsidRDefault="00D318A2">
      <w:r w:rsidRPr="001F47C8">
        <w:separator/>
      </w:r>
    </w:p>
  </w:endnote>
  <w:endnote w:type="continuationSeparator" w:id="0">
    <w:p w:rsidR="00D318A2" w:rsidRPr="001F47C8" w:rsidRDefault="00D318A2">
      <w:r w:rsidRPr="001F47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095" w:rsidRPr="00B514BC" w:rsidRDefault="00FA5095" w:rsidP="00947C5D">
    <w:pPr>
      <w:pStyle w:val="Footer"/>
      <w:tabs>
        <w:tab w:val="clear" w:pos="4513"/>
        <w:tab w:val="center" w:pos="4535"/>
        <w:tab w:val="right" w:pos="8505"/>
        <w:tab w:val="right" w:pos="9921"/>
      </w:tabs>
      <w:autoSpaceDE w:val="0"/>
      <w:autoSpaceDN w:val="0"/>
      <w:adjustRightInd w:val="0"/>
      <w:spacing w:before="360"/>
      <w:ind w:right="-850"/>
      <w:rPr>
        <w:rFonts w:cs="Symbol"/>
        <w:lang w:eastAsia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47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47C8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47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8A2" w:rsidRPr="001F47C8" w:rsidRDefault="00D318A2">
      <w:r w:rsidRPr="001F47C8">
        <w:separator/>
      </w:r>
    </w:p>
  </w:footnote>
  <w:footnote w:type="continuationSeparator" w:id="0">
    <w:p w:rsidR="00D318A2" w:rsidRPr="001F47C8" w:rsidRDefault="00D318A2">
      <w:r w:rsidRPr="001F47C8">
        <w:continuationSeparator/>
      </w:r>
    </w:p>
  </w:footnote>
  <w:footnote w:id="1">
    <w:p w:rsidR="003D7298" w:rsidRPr="001F47C8" w:rsidRDefault="003D7298" w:rsidP="001F47C8">
      <w:pPr>
        <w:pStyle w:val="FootnoteText"/>
        <w:ind w:left="567" w:hanging="567"/>
        <w:rPr>
          <w:sz w:val="24"/>
          <w:lang w:val="hr-HR"/>
        </w:rPr>
      </w:pPr>
      <w:r w:rsidRPr="001F47C8">
        <w:rPr>
          <w:rStyle w:val="FootnoteReference"/>
          <w:sz w:val="24"/>
          <w:lang w:val="hr-HR"/>
        </w:rPr>
        <w:footnoteRef/>
      </w:r>
      <w:r w:rsidR="001F47C8" w:rsidRPr="001F47C8">
        <w:rPr>
          <w:sz w:val="24"/>
          <w:lang w:val="hr-HR"/>
        </w:rPr>
        <w:t xml:space="preserve"> </w:t>
      </w:r>
      <w:r w:rsidR="001F47C8" w:rsidRPr="001F47C8">
        <w:rPr>
          <w:sz w:val="24"/>
          <w:lang w:val="hr-HR"/>
        </w:rPr>
        <w:tab/>
      </w:r>
      <w:r w:rsidR="00E21553">
        <w:rPr>
          <w:sz w:val="24"/>
          <w:lang w:val="hr-HR"/>
        </w:rPr>
        <w:t>J</w:t>
      </w:r>
      <w:r w:rsidRPr="001F47C8">
        <w:rPr>
          <w:sz w:val="24"/>
          <w:lang w:val="hr-HR"/>
        </w:rPr>
        <w:t>oš nije objavljeno u Službenom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095" w:rsidRPr="00B514BC" w:rsidRDefault="00FA5095" w:rsidP="00B92B3B">
    <w:pPr>
      <w:pStyle w:val="HeaderCouncilLarge"/>
      <w:rPr>
        <w:lang w:val="hr-HR"/>
      </w:rPr>
    </w:pPr>
    <w:r w:rsidRPr="00B514BC">
      <w:rPr>
        <w:lang w:val="hr-HR"/>
      </w:rP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095" w:rsidRPr="00B514BC" w:rsidRDefault="00FA5095" w:rsidP="00B92B3B">
    <w:pPr>
      <w:pStyle w:val="HeaderCouncil"/>
    </w:pPr>
    <w:r w:rsidRPr="00B514BC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47C8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47C8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47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76A6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BE8A62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166DA2E" w:tentative="1">
      <w:start w:val="1"/>
      <w:numFmt w:val="lowerLetter"/>
      <w:lvlText w:val="%2."/>
      <w:lvlJc w:val="left"/>
      <w:pPr>
        <w:ind w:left="1440" w:hanging="360"/>
      </w:pPr>
    </w:lvl>
    <w:lvl w:ilvl="2" w:tplc="A25E5F7E" w:tentative="1">
      <w:start w:val="1"/>
      <w:numFmt w:val="lowerRoman"/>
      <w:lvlText w:val="%3."/>
      <w:lvlJc w:val="right"/>
      <w:pPr>
        <w:ind w:left="2160" w:hanging="180"/>
      </w:pPr>
    </w:lvl>
    <w:lvl w:ilvl="3" w:tplc="DA30253A" w:tentative="1">
      <w:start w:val="1"/>
      <w:numFmt w:val="decimal"/>
      <w:lvlText w:val="%4."/>
      <w:lvlJc w:val="left"/>
      <w:pPr>
        <w:ind w:left="2880" w:hanging="360"/>
      </w:pPr>
    </w:lvl>
    <w:lvl w:ilvl="4" w:tplc="887471D6" w:tentative="1">
      <w:start w:val="1"/>
      <w:numFmt w:val="lowerLetter"/>
      <w:lvlText w:val="%5."/>
      <w:lvlJc w:val="left"/>
      <w:pPr>
        <w:ind w:left="3600" w:hanging="360"/>
      </w:pPr>
    </w:lvl>
    <w:lvl w:ilvl="5" w:tplc="87322962" w:tentative="1">
      <w:start w:val="1"/>
      <w:numFmt w:val="lowerRoman"/>
      <w:lvlText w:val="%6."/>
      <w:lvlJc w:val="right"/>
      <w:pPr>
        <w:ind w:left="4320" w:hanging="180"/>
      </w:pPr>
    </w:lvl>
    <w:lvl w:ilvl="6" w:tplc="D8F4C2E8" w:tentative="1">
      <w:start w:val="1"/>
      <w:numFmt w:val="decimal"/>
      <w:lvlText w:val="%7."/>
      <w:lvlJc w:val="left"/>
      <w:pPr>
        <w:ind w:left="5040" w:hanging="360"/>
      </w:pPr>
    </w:lvl>
    <w:lvl w:ilvl="7" w:tplc="CE761E9A" w:tentative="1">
      <w:start w:val="1"/>
      <w:numFmt w:val="lowerLetter"/>
      <w:lvlText w:val="%8."/>
      <w:lvlJc w:val="left"/>
      <w:pPr>
        <w:ind w:left="5760" w:hanging="360"/>
      </w:pPr>
    </w:lvl>
    <w:lvl w:ilvl="8" w:tplc="3B36FF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73E0CA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E8C7BE" w:tentative="1">
      <w:start w:val="1"/>
      <w:numFmt w:val="lowerLetter"/>
      <w:lvlText w:val="%2."/>
      <w:lvlJc w:val="left"/>
      <w:pPr>
        <w:ind w:left="1440" w:hanging="360"/>
      </w:pPr>
    </w:lvl>
    <w:lvl w:ilvl="2" w:tplc="5AEC64CE" w:tentative="1">
      <w:start w:val="1"/>
      <w:numFmt w:val="lowerRoman"/>
      <w:lvlText w:val="%3."/>
      <w:lvlJc w:val="right"/>
      <w:pPr>
        <w:ind w:left="2160" w:hanging="180"/>
      </w:pPr>
    </w:lvl>
    <w:lvl w:ilvl="3" w:tplc="B284108E" w:tentative="1">
      <w:start w:val="1"/>
      <w:numFmt w:val="decimal"/>
      <w:lvlText w:val="%4."/>
      <w:lvlJc w:val="left"/>
      <w:pPr>
        <w:ind w:left="2880" w:hanging="360"/>
      </w:pPr>
    </w:lvl>
    <w:lvl w:ilvl="4" w:tplc="8464971C" w:tentative="1">
      <w:start w:val="1"/>
      <w:numFmt w:val="lowerLetter"/>
      <w:lvlText w:val="%5."/>
      <w:lvlJc w:val="left"/>
      <w:pPr>
        <w:ind w:left="3600" w:hanging="360"/>
      </w:pPr>
    </w:lvl>
    <w:lvl w:ilvl="5" w:tplc="A5C28F42" w:tentative="1">
      <w:start w:val="1"/>
      <w:numFmt w:val="lowerRoman"/>
      <w:lvlText w:val="%6."/>
      <w:lvlJc w:val="right"/>
      <w:pPr>
        <w:ind w:left="4320" w:hanging="180"/>
      </w:pPr>
    </w:lvl>
    <w:lvl w:ilvl="6" w:tplc="6654301C" w:tentative="1">
      <w:start w:val="1"/>
      <w:numFmt w:val="decimal"/>
      <w:lvlText w:val="%7."/>
      <w:lvlJc w:val="left"/>
      <w:pPr>
        <w:ind w:left="5040" w:hanging="360"/>
      </w:pPr>
    </w:lvl>
    <w:lvl w:ilvl="7" w:tplc="286046E2" w:tentative="1">
      <w:start w:val="1"/>
      <w:numFmt w:val="lowerLetter"/>
      <w:lvlText w:val="%8."/>
      <w:lvlJc w:val="left"/>
      <w:pPr>
        <w:ind w:left="5760" w:hanging="360"/>
      </w:pPr>
    </w:lvl>
    <w:lvl w:ilvl="8" w:tplc="CF4E80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CE041FD0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BA2A756E" w:tentative="1">
      <w:start w:val="1"/>
      <w:numFmt w:val="lowerLetter"/>
      <w:lvlText w:val="%2."/>
      <w:lvlJc w:val="left"/>
      <w:pPr>
        <w:ind w:left="1440" w:hanging="360"/>
      </w:pPr>
    </w:lvl>
    <w:lvl w:ilvl="2" w:tplc="9A0E8472" w:tentative="1">
      <w:start w:val="1"/>
      <w:numFmt w:val="lowerRoman"/>
      <w:lvlText w:val="%3."/>
      <w:lvlJc w:val="right"/>
      <w:pPr>
        <w:ind w:left="2160" w:hanging="180"/>
      </w:pPr>
    </w:lvl>
    <w:lvl w:ilvl="3" w:tplc="86C0DCFE" w:tentative="1">
      <w:start w:val="1"/>
      <w:numFmt w:val="decimal"/>
      <w:lvlText w:val="%4."/>
      <w:lvlJc w:val="left"/>
      <w:pPr>
        <w:ind w:left="2880" w:hanging="360"/>
      </w:pPr>
    </w:lvl>
    <w:lvl w:ilvl="4" w:tplc="8F5C24D4" w:tentative="1">
      <w:start w:val="1"/>
      <w:numFmt w:val="lowerLetter"/>
      <w:lvlText w:val="%5."/>
      <w:lvlJc w:val="left"/>
      <w:pPr>
        <w:ind w:left="3600" w:hanging="360"/>
      </w:pPr>
    </w:lvl>
    <w:lvl w:ilvl="5" w:tplc="4D4CBB62" w:tentative="1">
      <w:start w:val="1"/>
      <w:numFmt w:val="lowerRoman"/>
      <w:lvlText w:val="%6."/>
      <w:lvlJc w:val="right"/>
      <w:pPr>
        <w:ind w:left="4320" w:hanging="180"/>
      </w:pPr>
    </w:lvl>
    <w:lvl w:ilvl="6" w:tplc="2B18B1EC" w:tentative="1">
      <w:start w:val="1"/>
      <w:numFmt w:val="decimal"/>
      <w:lvlText w:val="%7."/>
      <w:lvlJc w:val="left"/>
      <w:pPr>
        <w:ind w:left="5040" w:hanging="360"/>
      </w:pPr>
    </w:lvl>
    <w:lvl w:ilvl="7" w:tplc="4C34F8C4" w:tentative="1">
      <w:start w:val="1"/>
      <w:numFmt w:val="lowerLetter"/>
      <w:lvlText w:val="%8."/>
      <w:lvlJc w:val="left"/>
      <w:pPr>
        <w:ind w:left="5760" w:hanging="360"/>
      </w:pPr>
    </w:lvl>
    <w:lvl w:ilvl="8" w:tplc="128CD36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HR"/>
    <w:docVar w:name="dvnumam" w:val="47"/>
    <w:docVar w:name="dvpe" w:val="746.964"/>
    <w:docVar w:name="dvrapporteur" w:val="Izvjestitelj: "/>
    <w:docVar w:name="dvstar" w:val="***I"/>
    <w:docVar w:name="dvtitre" w:val="Zakonodavna rezolucija Europskog parlamenta od .... 2024. o Prijedlogu direktive Europskog parlamenta i Vijeća o izmjeni Direktive Vijeća 98/24/EZ i Direktive 2004/37/EZ Europskog parlamenta i Vijeća u pogledu graničnih vrijednosti za olovo i njegove anorganske spojeve te za diizocijanate(COM(2023)0071 – C9-0022/2023 – 2023/0033(COD))"/>
  </w:docVars>
  <w:rsids>
    <w:rsidRoot w:val="00D318A2"/>
    <w:rsid w:val="00002272"/>
    <w:rsid w:val="00064002"/>
    <w:rsid w:val="000677B9"/>
    <w:rsid w:val="000831BA"/>
    <w:rsid w:val="000A42CC"/>
    <w:rsid w:val="000E3A6A"/>
    <w:rsid w:val="000E7DD9"/>
    <w:rsid w:val="0010095E"/>
    <w:rsid w:val="00125B37"/>
    <w:rsid w:val="00164674"/>
    <w:rsid w:val="00187494"/>
    <w:rsid w:val="001F32AE"/>
    <w:rsid w:val="001F47C8"/>
    <w:rsid w:val="002767FF"/>
    <w:rsid w:val="002B18FE"/>
    <w:rsid w:val="002B5493"/>
    <w:rsid w:val="00343214"/>
    <w:rsid w:val="00361C00"/>
    <w:rsid w:val="00395FA1"/>
    <w:rsid w:val="003D729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E9C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01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18A2"/>
    <w:rsid w:val="00D56C11"/>
    <w:rsid w:val="00D834A0"/>
    <w:rsid w:val="00D872DF"/>
    <w:rsid w:val="00D91E21"/>
    <w:rsid w:val="00DA7FCD"/>
    <w:rsid w:val="00E2155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13E"/>
    <w:rsid w:val="00F5134D"/>
    <w:rsid w:val="00F74202"/>
    <w:rsid w:val="00F87713"/>
    <w:rsid w:val="00FA509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5A1857"/>
  <w15:chartTrackingRefBased/>
  <w15:docId w15:val="{D18F717A-2AD7-4925-96BC-464FF1DF0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D729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D729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D729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D729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D729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D7298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3D7298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3D7298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3D7298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nhideWhenUsed/>
    <w:qFormat/>
    <w:rsid w:val="003D729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D729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D729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D7298"/>
    <w:pPr>
      <w:spacing w:after="120"/>
    </w:pPr>
  </w:style>
  <w:style w:type="paragraph" w:customStyle="1" w:styleId="PageHeading">
    <w:name w:val="PageHeading"/>
    <w:basedOn w:val="Normal"/>
    <w:rsid w:val="003D729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D7298"/>
    <w:rPr>
      <w:b/>
    </w:rPr>
  </w:style>
  <w:style w:type="paragraph" w:customStyle="1" w:styleId="NormalBold12a">
    <w:name w:val="NormalBold12a"/>
    <w:basedOn w:val="Normal"/>
    <w:rsid w:val="003D7298"/>
    <w:pPr>
      <w:spacing w:after="240"/>
    </w:pPr>
    <w:rPr>
      <w:b/>
    </w:rPr>
  </w:style>
  <w:style w:type="paragraph" w:customStyle="1" w:styleId="AmJustText">
    <w:name w:val="AmJustText"/>
    <w:basedOn w:val="Normal"/>
    <w:rsid w:val="003D729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D729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D7298"/>
    <w:pPr>
      <w:spacing w:after="480"/>
      <w:ind w:left="1417"/>
    </w:pPr>
  </w:style>
  <w:style w:type="paragraph" w:customStyle="1" w:styleId="CoverNormal">
    <w:name w:val="CoverNormal"/>
    <w:basedOn w:val="Normal"/>
    <w:rsid w:val="003D7298"/>
    <w:pPr>
      <w:ind w:left="1418"/>
    </w:pPr>
  </w:style>
  <w:style w:type="paragraph" w:customStyle="1" w:styleId="AmCrossRef">
    <w:name w:val="AmCrossRef"/>
    <w:basedOn w:val="Normal"/>
    <w:rsid w:val="003D729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D729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D729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D729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D729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D729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D72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298"/>
    <w:rPr>
      <w:sz w:val="24"/>
      <w:lang w:val="hr-HR"/>
    </w:rPr>
  </w:style>
  <w:style w:type="paragraph" w:customStyle="1" w:styleId="AmOrLang">
    <w:name w:val="AmOrLang"/>
    <w:basedOn w:val="Normal"/>
    <w:rsid w:val="003D729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D729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D729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D7298"/>
    <w:pPr>
      <w:spacing w:before="240"/>
    </w:pPr>
    <w:rPr>
      <w:b/>
    </w:rPr>
  </w:style>
  <w:style w:type="paragraph" w:customStyle="1" w:styleId="EPBody">
    <w:name w:val="EPBody"/>
    <w:basedOn w:val="Normal"/>
    <w:rsid w:val="003D729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D72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D7298"/>
    <w:pPr>
      <w:spacing w:before="480" w:after="240"/>
    </w:pPr>
  </w:style>
  <w:style w:type="paragraph" w:customStyle="1" w:styleId="Lgendesigne">
    <w:name w:val="Légende signe"/>
    <w:basedOn w:val="Normal"/>
    <w:rsid w:val="003D729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D729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D7298"/>
    <w:rPr>
      <w:sz w:val="18"/>
    </w:rPr>
  </w:style>
  <w:style w:type="paragraph" w:customStyle="1" w:styleId="Normal6">
    <w:name w:val="Normal6"/>
    <w:basedOn w:val="Normal"/>
    <w:link w:val="Normal6Char"/>
    <w:rsid w:val="003D7298"/>
    <w:pPr>
      <w:spacing w:after="120"/>
    </w:pPr>
  </w:style>
  <w:style w:type="paragraph" w:customStyle="1" w:styleId="Normal12Italic">
    <w:name w:val="Normal12Italic"/>
    <w:basedOn w:val="Normal"/>
    <w:rsid w:val="003D7298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3D7298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3D7298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3D7298"/>
    <w:rPr>
      <w:color w:val="0000FF"/>
      <w:u w:val="single"/>
    </w:rPr>
  </w:style>
  <w:style w:type="character" w:customStyle="1" w:styleId="super">
    <w:name w:val="super"/>
    <w:basedOn w:val="DefaultParagraphFont"/>
    <w:rsid w:val="003D7298"/>
  </w:style>
  <w:style w:type="character" w:styleId="CommentReference">
    <w:name w:val="annotation reference"/>
    <w:basedOn w:val="DefaultParagraphFont"/>
    <w:uiPriority w:val="99"/>
    <w:unhideWhenUsed/>
    <w:rsid w:val="003D72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7298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7298"/>
    <w:rPr>
      <w:rFonts w:eastAsiaTheme="minorHAnsi"/>
      <w:lang w:val="hr-HR" w:eastAsia="en-US"/>
    </w:rPr>
  </w:style>
  <w:style w:type="paragraph" w:styleId="BalloonText">
    <w:name w:val="Balloon Text"/>
    <w:basedOn w:val="Normal"/>
    <w:link w:val="BalloonTextChar"/>
    <w:unhideWhenUsed/>
    <w:rsid w:val="003D72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D7298"/>
    <w:rPr>
      <w:rFonts w:ascii="Segoe UI" w:hAnsi="Segoe UI" w:cs="Segoe UI"/>
      <w:sz w:val="18"/>
      <w:szCs w:val="18"/>
      <w:lang w:val="hr-HR"/>
    </w:rPr>
  </w:style>
  <w:style w:type="paragraph" w:styleId="ListBullet2">
    <w:name w:val="List Bullet 2"/>
    <w:basedOn w:val="Normal"/>
    <w:uiPriority w:val="99"/>
    <w:unhideWhenUsed/>
    <w:rsid w:val="003D7298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3D7298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3D7298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3D7298"/>
  </w:style>
  <w:style w:type="paragraph" w:customStyle="1" w:styleId="title-gr-seq-level-2">
    <w:name w:val="title-gr-seq-level-2"/>
    <w:basedOn w:val="Normal"/>
    <w:rsid w:val="003D7298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3D72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298"/>
    <w:rPr>
      <w:sz w:val="24"/>
      <w:lang w:val="hr-HR"/>
    </w:rPr>
  </w:style>
  <w:style w:type="character" w:customStyle="1" w:styleId="NormalBoldChar">
    <w:name w:val="NormalBold Char"/>
    <w:basedOn w:val="DefaultParagraphFont"/>
    <w:link w:val="NormalBold"/>
    <w:rsid w:val="003D7298"/>
    <w:rPr>
      <w:b/>
      <w:sz w:val="24"/>
      <w:lang w:val="hr-HR"/>
    </w:rPr>
  </w:style>
  <w:style w:type="paragraph" w:customStyle="1" w:styleId="JustificationTitle">
    <w:name w:val="JustificationTitle"/>
    <w:basedOn w:val="Normal"/>
    <w:next w:val="Normal"/>
    <w:rsid w:val="003D7298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3D7298"/>
    <w:rPr>
      <w:sz w:val="24"/>
      <w:lang w:val="hr-HR"/>
    </w:rPr>
  </w:style>
  <w:style w:type="paragraph" w:customStyle="1" w:styleId="ColumnHeading">
    <w:name w:val="ColumnHeading"/>
    <w:basedOn w:val="Normal"/>
    <w:rsid w:val="003D729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D729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D7298"/>
    <w:pPr>
      <w:spacing w:before="240"/>
      <w:jc w:val="center"/>
    </w:pPr>
    <w:rPr>
      <w:i/>
    </w:rPr>
  </w:style>
  <w:style w:type="paragraph" w:customStyle="1" w:styleId="Olang">
    <w:name w:val="Olang"/>
    <w:rsid w:val="003D7298"/>
    <w:pPr>
      <w:jc w:val="right"/>
    </w:pPr>
    <w:rPr>
      <w:lang w:val="hr-HR"/>
    </w:rPr>
  </w:style>
  <w:style w:type="character" w:customStyle="1" w:styleId="Footer2Middle">
    <w:name w:val="Footer2Middle"/>
    <w:rsid w:val="003D7298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3D7298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D7298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3D7298"/>
    <w:rPr>
      <w:rFonts w:eastAsiaTheme="minorHAnsi"/>
      <w:b/>
      <w:bCs/>
      <w:lang w:val="hr-HR" w:eastAsia="en-US"/>
    </w:rPr>
  </w:style>
  <w:style w:type="paragraph" w:customStyle="1" w:styleId="Normal12a">
    <w:name w:val="Normal12a"/>
    <w:basedOn w:val="Normal"/>
    <w:rsid w:val="003D7298"/>
    <w:pPr>
      <w:spacing w:after="240"/>
    </w:pPr>
  </w:style>
  <w:style w:type="paragraph" w:customStyle="1" w:styleId="RollCallVotes">
    <w:name w:val="RollCallVotes"/>
    <w:basedOn w:val="Normal"/>
    <w:rsid w:val="003D729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D729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D729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D7298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3D7298"/>
    <w:rPr>
      <w:color w:val="954F72" w:themeColor="followedHyperlink"/>
      <w:u w:val="single"/>
    </w:rPr>
  </w:style>
  <w:style w:type="paragraph" w:customStyle="1" w:styleId="HeaderCouncil">
    <w:name w:val="Header Council"/>
    <w:basedOn w:val="Normal"/>
    <w:rsid w:val="00FA5095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FA5095"/>
    <w:pPr>
      <w:widowControl/>
      <w:spacing w:after="440" w:line="360" w:lineRule="auto"/>
    </w:pPr>
    <w:rPr>
      <w:rFonts w:eastAsia="Calibri"/>
      <w:sz w:val="2"/>
      <w:lang w:val="fr-BE" w:eastAsia="fr-BE"/>
    </w:rPr>
  </w:style>
  <w:style w:type="character" w:customStyle="1" w:styleId="HeaderCouncilLargeChar">
    <w:name w:val="Header Council Large Char"/>
    <w:link w:val="HeaderCouncilLarge"/>
    <w:rsid w:val="00FA5095"/>
    <w:rPr>
      <w:rFonts w:eastAsia="Calibri"/>
      <w:sz w:val="2"/>
      <w:lang w:val="fr-B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20705-3529-433E-A39A-33A9F3761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308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2024-04-16T08:26:00Z</dcterms:created>
  <dcterms:modified xsi:type="dcterms:W3CDTF">2024-04-16T08:26:00Z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